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23BA55" w14:textId="787F697C" w:rsidR="004D0DEA" w:rsidRDefault="004D0DEA" w:rsidP="004D0DEA">
      <w:pPr>
        <w:pStyle w:val="ACMAReportTitle"/>
      </w:pPr>
      <w:bookmarkStart w:id="0" w:name="_GoBack"/>
      <w:bookmarkEnd w:id="0"/>
      <w:r>
        <w:t>Five-year spectrum outlook</w:t>
      </w:r>
    </w:p>
    <w:p w14:paraId="64B02A5D" w14:textId="77777777" w:rsidR="00F06E14" w:rsidRPr="00A51D1A" w:rsidRDefault="004D0DEA" w:rsidP="00A51D1A">
      <w:pPr>
        <w:pStyle w:val="ACMAReportTitle"/>
      </w:pPr>
      <w:r>
        <w:t>2016–20</w:t>
      </w:r>
    </w:p>
    <w:p w14:paraId="555629AB" w14:textId="4AFEBEBF" w:rsidR="00F06E14" w:rsidRDefault="004D0DEA" w:rsidP="00F06E14">
      <w:pPr>
        <w:pStyle w:val="ACMAReportSubTitle"/>
      </w:pPr>
      <w:r w:rsidRPr="00524B01">
        <w:t xml:space="preserve">The ACMA’s spectrum management </w:t>
      </w:r>
      <w:r w:rsidR="005E6A11">
        <w:br/>
      </w:r>
      <w:r w:rsidRPr="00524B01">
        <w:t>work program</w:t>
      </w:r>
    </w:p>
    <w:p w14:paraId="658976EF" w14:textId="77777777" w:rsidR="00F06E14" w:rsidRDefault="004D0DEA" w:rsidP="00D47AEB">
      <w:pPr>
        <w:pStyle w:val="ACMAReportDate"/>
        <w:spacing w:after="720"/>
      </w:pPr>
      <w:r>
        <w:t>OCTOBER 2016</w:t>
      </w:r>
    </w:p>
    <w:p w14:paraId="65A4ABA7" w14:textId="77777777" w:rsidR="00461D47" w:rsidRPr="00E302D0" w:rsidRDefault="00461D47" w:rsidP="00461D47">
      <w:pPr>
        <w:pStyle w:val="ACMAInstructions"/>
        <w:spacing w:after="240"/>
        <w:rPr>
          <w:b w:val="0"/>
          <w:sz w:val="20"/>
          <w:szCs w:val="20"/>
        </w:rPr>
      </w:pPr>
    </w:p>
    <w:p w14:paraId="795A1708" w14:textId="77777777" w:rsidR="00C97736" w:rsidRPr="000D76E0" w:rsidRDefault="00C97736" w:rsidP="0041071D">
      <w:pPr>
        <w:rPr>
          <w:rFonts w:cs="Arial"/>
        </w:rPr>
      </w:pPr>
    </w:p>
    <w:p w14:paraId="1032874B"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7D7D059C" w14:textId="77777777" w:rsidR="0005011A" w:rsidRPr="00F44F3A" w:rsidRDefault="0005011A" w:rsidP="00FC07B9">
      <w:pPr>
        <w:pStyle w:val="ACMACorporateAddressHeader"/>
      </w:pPr>
      <w:r w:rsidRPr="00F44F3A">
        <w:lastRenderedPageBreak/>
        <w:t>Canberra</w:t>
      </w:r>
    </w:p>
    <w:p w14:paraId="404D28C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B235FD8" w14:textId="77777777" w:rsidR="0005011A" w:rsidRPr="00FC07B9" w:rsidRDefault="0005011A" w:rsidP="00FC07B9">
      <w:pPr>
        <w:pStyle w:val="ACMACorporateAddresses"/>
      </w:pPr>
      <w:r w:rsidRPr="00FC07B9">
        <w:t>PO Box 78</w:t>
      </w:r>
      <w:r w:rsidRPr="00FC07B9">
        <w:br/>
        <w:t>Belconnen ACT 2616</w:t>
      </w:r>
    </w:p>
    <w:p w14:paraId="4720C8B8"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FC1205F" w14:textId="77777777" w:rsidR="0005011A" w:rsidRPr="00F44F3A" w:rsidRDefault="0005011A" w:rsidP="00FC07B9">
      <w:pPr>
        <w:pStyle w:val="ACMACorporateAddressHeader"/>
      </w:pPr>
      <w:r w:rsidRPr="00F44F3A">
        <w:t>Melbourne</w:t>
      </w:r>
    </w:p>
    <w:p w14:paraId="3F03BB1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D2C8439"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FD93AA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BABD822" w14:textId="77777777" w:rsidR="0005011A" w:rsidRPr="00F44F3A" w:rsidRDefault="0005011A" w:rsidP="00FC07B9">
      <w:pPr>
        <w:pStyle w:val="ACMACorporateAddressHeader"/>
      </w:pPr>
      <w:r w:rsidRPr="00F44F3A">
        <w:t>Sydney</w:t>
      </w:r>
    </w:p>
    <w:p w14:paraId="1A8F648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A0F354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47CAAA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DABC726" w14:textId="77777777" w:rsidR="00140318" w:rsidRPr="006D46E5" w:rsidRDefault="00140318" w:rsidP="00FC07B9">
      <w:pPr>
        <w:pStyle w:val="ACMACopyrightHeader"/>
      </w:pPr>
      <w:r w:rsidRPr="00140318">
        <w:t>Copyright notice</w:t>
      </w:r>
    </w:p>
    <w:p w14:paraId="0203C7AA" w14:textId="77777777" w:rsidR="00140318" w:rsidRPr="006D46E5" w:rsidRDefault="00623FF9" w:rsidP="00623FF9">
      <w:pPr>
        <w:pStyle w:val="ACMACClogo"/>
      </w:pPr>
      <w:r w:rsidRPr="00623FF9">
        <w:rPr>
          <w:noProof/>
        </w:rPr>
        <w:drawing>
          <wp:inline distT="0" distB="0" distL="0" distR="0" wp14:anchorId="67E727AC" wp14:editId="29E9D7C3">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660F637A" w14:textId="77777777" w:rsidR="00140318" w:rsidRPr="00431792" w:rsidRDefault="00D67EC2"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77682B4B"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251C345"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B6003C">
        <w:t>ations and Media Authority) 2016</w:t>
      </w:r>
      <w:r w:rsidR="00140318" w:rsidRPr="006D46E5">
        <w:t>.</w:t>
      </w:r>
    </w:p>
    <w:p w14:paraId="45BD24FA" w14:textId="77777777" w:rsidR="00140318" w:rsidRPr="006D46E5" w:rsidRDefault="00140318" w:rsidP="00FC07B9">
      <w:pPr>
        <w:pStyle w:val="ACMACorporateAddresses"/>
      </w:pPr>
      <w:r>
        <w:t>All other rights are reserved.</w:t>
      </w:r>
    </w:p>
    <w:p w14:paraId="04406EDB"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6E9677B" w14:textId="77777777" w:rsidR="00140318" w:rsidRPr="006D46E5" w:rsidRDefault="00140318" w:rsidP="00FC07B9">
      <w:pPr>
        <w:pStyle w:val="ACMACorporateAddresses"/>
      </w:pPr>
      <w:r w:rsidRPr="006D46E5">
        <w:t>Written enquiries may be sent to:</w:t>
      </w:r>
    </w:p>
    <w:p w14:paraId="33339BB2"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Pr="00431792">
          <w:rPr>
            <w:rStyle w:val="Hyperlink"/>
          </w:rPr>
          <w:t>candinfo@acma.gov.au</w:t>
        </w:r>
      </w:hyperlink>
    </w:p>
    <w:p w14:paraId="5DE8D67A" w14:textId="77777777" w:rsidR="00D16FE3" w:rsidRDefault="00D16FE3" w:rsidP="00D16FE3">
      <w:pPr>
        <w:pStyle w:val="ACMACorporateAddresses"/>
        <w:rPr>
          <w:rStyle w:val="Hyperlink"/>
        </w:rPr>
      </w:pPr>
    </w:p>
    <w:p w14:paraId="4878E5DB"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7A0D42F5" w14:textId="7FE9B0D3" w:rsidR="00FE1145" w:rsidRDefault="00F748DB">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"ACMA_ExecSummaryHeading,1,Exec Summary Heading,1" </w:instrText>
      </w:r>
      <w:r>
        <w:rPr>
          <w:rFonts w:cs="Arial"/>
          <w:b w:val="0"/>
        </w:rPr>
        <w:fldChar w:fldCharType="separate"/>
      </w:r>
      <w:hyperlink w:anchor="_Toc463351289" w:history="1">
        <w:r w:rsidR="00FE1145" w:rsidRPr="00BA1828">
          <w:rPr>
            <w:rStyle w:val="Hyperlink"/>
            <w:rFonts w:eastAsiaTheme="minorHAnsi"/>
          </w:rPr>
          <w:t>Acknowledgements</w:t>
        </w:r>
        <w:r w:rsidR="00FE1145">
          <w:rPr>
            <w:webHidden/>
          </w:rPr>
          <w:tab/>
        </w:r>
      </w:hyperlink>
      <w:r w:rsidR="00FE1145" w:rsidRPr="00FE1145">
        <w:t>vi</w:t>
      </w:r>
    </w:p>
    <w:p w14:paraId="69CE9F85" w14:textId="77777777" w:rsidR="00FE1145" w:rsidRDefault="00D67EC2">
      <w:pPr>
        <w:pStyle w:val="TOC1"/>
        <w:rPr>
          <w:rFonts w:asciiTheme="minorHAnsi" w:eastAsiaTheme="minorEastAsia" w:hAnsiTheme="minorHAnsi" w:cstheme="minorBidi"/>
          <w:b w:val="0"/>
          <w:spacing w:val="0"/>
          <w:sz w:val="22"/>
          <w:szCs w:val="22"/>
        </w:rPr>
      </w:pPr>
      <w:hyperlink w:anchor="_Toc463351290" w:history="1">
        <w:r w:rsidR="00FE1145" w:rsidRPr="00BA1828">
          <w:rPr>
            <w:rStyle w:val="Hyperlink"/>
          </w:rPr>
          <w:t>Chairman’s message</w:t>
        </w:r>
        <w:r w:rsidR="00FE1145">
          <w:rPr>
            <w:webHidden/>
          </w:rPr>
          <w:tab/>
        </w:r>
        <w:r w:rsidR="00FE1145">
          <w:rPr>
            <w:webHidden/>
          </w:rPr>
          <w:fldChar w:fldCharType="begin"/>
        </w:r>
        <w:r w:rsidR="00FE1145">
          <w:rPr>
            <w:webHidden/>
          </w:rPr>
          <w:instrText xml:space="preserve"> PAGEREF _Toc463351290 \h </w:instrText>
        </w:r>
        <w:r w:rsidR="00FE1145">
          <w:rPr>
            <w:webHidden/>
          </w:rPr>
        </w:r>
        <w:r w:rsidR="00FE1145">
          <w:rPr>
            <w:webHidden/>
          </w:rPr>
          <w:fldChar w:fldCharType="separate"/>
        </w:r>
        <w:r w:rsidR="00B73ECC">
          <w:rPr>
            <w:webHidden/>
          </w:rPr>
          <w:t>1</w:t>
        </w:r>
        <w:r w:rsidR="00FE1145">
          <w:rPr>
            <w:webHidden/>
          </w:rPr>
          <w:fldChar w:fldCharType="end"/>
        </w:r>
      </w:hyperlink>
    </w:p>
    <w:p w14:paraId="36CAAE86" w14:textId="77777777" w:rsidR="00FE1145" w:rsidRDefault="00D67EC2">
      <w:pPr>
        <w:pStyle w:val="TOC1"/>
        <w:rPr>
          <w:rFonts w:asciiTheme="minorHAnsi" w:eastAsiaTheme="minorEastAsia" w:hAnsiTheme="minorHAnsi" w:cstheme="minorBidi"/>
          <w:b w:val="0"/>
          <w:spacing w:val="0"/>
          <w:sz w:val="22"/>
          <w:szCs w:val="22"/>
        </w:rPr>
      </w:pPr>
      <w:hyperlink w:anchor="_Toc463351291" w:history="1">
        <w:r w:rsidR="00FE1145" w:rsidRPr="00BA1828">
          <w:rPr>
            <w:rStyle w:val="Hyperlink"/>
          </w:rPr>
          <w:t>Executive summary</w:t>
        </w:r>
        <w:r w:rsidR="00FE1145">
          <w:rPr>
            <w:webHidden/>
          </w:rPr>
          <w:tab/>
        </w:r>
        <w:r w:rsidR="00FE1145">
          <w:rPr>
            <w:webHidden/>
          </w:rPr>
          <w:fldChar w:fldCharType="begin"/>
        </w:r>
        <w:r w:rsidR="00FE1145">
          <w:rPr>
            <w:webHidden/>
          </w:rPr>
          <w:instrText xml:space="preserve"> PAGEREF _Toc463351291 \h </w:instrText>
        </w:r>
        <w:r w:rsidR="00FE1145">
          <w:rPr>
            <w:webHidden/>
          </w:rPr>
        </w:r>
        <w:r w:rsidR="00FE1145">
          <w:rPr>
            <w:webHidden/>
          </w:rPr>
          <w:fldChar w:fldCharType="separate"/>
        </w:r>
        <w:r w:rsidR="00B73ECC">
          <w:rPr>
            <w:webHidden/>
          </w:rPr>
          <w:t>3</w:t>
        </w:r>
        <w:r w:rsidR="00FE1145">
          <w:rPr>
            <w:webHidden/>
          </w:rPr>
          <w:fldChar w:fldCharType="end"/>
        </w:r>
      </w:hyperlink>
    </w:p>
    <w:p w14:paraId="1896122A" w14:textId="77777777" w:rsidR="00FE1145" w:rsidRDefault="00D67EC2">
      <w:pPr>
        <w:pStyle w:val="TOC1"/>
        <w:rPr>
          <w:rFonts w:asciiTheme="minorHAnsi" w:eastAsiaTheme="minorEastAsia" w:hAnsiTheme="minorHAnsi" w:cstheme="minorBidi"/>
          <w:b w:val="0"/>
          <w:spacing w:val="0"/>
          <w:sz w:val="22"/>
          <w:szCs w:val="22"/>
        </w:rPr>
      </w:pPr>
      <w:hyperlink w:anchor="_Toc463351292" w:history="1">
        <w:r w:rsidR="00FE1145" w:rsidRPr="00BA1828">
          <w:rPr>
            <w:rStyle w:val="Hyperlink"/>
          </w:rPr>
          <w:t>Issues for comment</w:t>
        </w:r>
        <w:r w:rsidR="00FE1145">
          <w:rPr>
            <w:webHidden/>
          </w:rPr>
          <w:tab/>
        </w:r>
        <w:r w:rsidR="00FE1145">
          <w:rPr>
            <w:webHidden/>
          </w:rPr>
          <w:fldChar w:fldCharType="begin"/>
        </w:r>
        <w:r w:rsidR="00FE1145">
          <w:rPr>
            <w:webHidden/>
          </w:rPr>
          <w:instrText xml:space="preserve"> PAGEREF _Toc463351292 \h </w:instrText>
        </w:r>
        <w:r w:rsidR="00FE1145">
          <w:rPr>
            <w:webHidden/>
          </w:rPr>
        </w:r>
        <w:r w:rsidR="00FE1145">
          <w:rPr>
            <w:webHidden/>
          </w:rPr>
          <w:fldChar w:fldCharType="separate"/>
        </w:r>
        <w:r w:rsidR="00B73ECC">
          <w:rPr>
            <w:webHidden/>
          </w:rPr>
          <w:t>5</w:t>
        </w:r>
        <w:r w:rsidR="00FE1145">
          <w:rPr>
            <w:webHidden/>
          </w:rPr>
          <w:fldChar w:fldCharType="end"/>
        </w:r>
      </w:hyperlink>
    </w:p>
    <w:p w14:paraId="504393AC" w14:textId="49C56C25" w:rsidR="00FE1145" w:rsidRDefault="00D67EC2">
      <w:pPr>
        <w:pStyle w:val="TOC1"/>
        <w:rPr>
          <w:rFonts w:asciiTheme="minorHAnsi" w:eastAsiaTheme="minorEastAsia" w:hAnsiTheme="minorHAnsi" w:cstheme="minorBidi"/>
          <w:b w:val="0"/>
          <w:spacing w:val="0"/>
          <w:sz w:val="22"/>
          <w:szCs w:val="22"/>
        </w:rPr>
      </w:pPr>
      <w:hyperlink w:anchor="_Toc463351293" w:history="1">
        <w:r w:rsidR="00FE1145" w:rsidRPr="00BA1828">
          <w:rPr>
            <w:rStyle w:val="Hyperlink"/>
          </w:rPr>
          <w:t>Part 1—</w:t>
        </w:r>
        <w:r w:rsidR="00FE1145" w:rsidRPr="00BA1828">
          <w:rPr>
            <w:rStyle w:val="Hyperlink"/>
            <w:rFonts w:eastAsiaTheme="minorHAnsi"/>
            <w:lang w:eastAsia="en-US"/>
          </w:rPr>
          <w:t>Setting the ACMA’s priorities and annual work program</w:t>
        </w:r>
        <w:r w:rsidR="00FE1145">
          <w:rPr>
            <w:webHidden/>
          </w:rPr>
          <w:tab/>
        </w:r>
        <w:r w:rsidR="00FE1145">
          <w:rPr>
            <w:webHidden/>
          </w:rPr>
          <w:fldChar w:fldCharType="begin"/>
        </w:r>
        <w:r w:rsidR="00FE1145">
          <w:rPr>
            <w:webHidden/>
          </w:rPr>
          <w:instrText xml:space="preserve"> PAGEREF _Toc463351293 \h </w:instrText>
        </w:r>
        <w:r w:rsidR="00FE1145">
          <w:rPr>
            <w:webHidden/>
          </w:rPr>
        </w:r>
        <w:r w:rsidR="00FE1145">
          <w:rPr>
            <w:webHidden/>
          </w:rPr>
          <w:fldChar w:fldCharType="separate"/>
        </w:r>
        <w:r w:rsidR="00B73ECC">
          <w:rPr>
            <w:webHidden/>
          </w:rPr>
          <w:t>7</w:t>
        </w:r>
        <w:r w:rsidR="00FE1145">
          <w:rPr>
            <w:webHidden/>
          </w:rPr>
          <w:fldChar w:fldCharType="end"/>
        </w:r>
      </w:hyperlink>
    </w:p>
    <w:p w14:paraId="4B851316" w14:textId="77777777" w:rsidR="00FE1145" w:rsidRDefault="00D67EC2">
      <w:pPr>
        <w:pStyle w:val="TOC2"/>
        <w:rPr>
          <w:rFonts w:asciiTheme="minorHAnsi" w:eastAsiaTheme="minorEastAsia" w:hAnsiTheme="minorHAnsi" w:cstheme="minorBidi"/>
          <w:spacing w:val="0"/>
          <w:sz w:val="22"/>
          <w:szCs w:val="22"/>
        </w:rPr>
      </w:pPr>
      <w:hyperlink w:anchor="_Toc463351294" w:history="1">
        <w:r w:rsidR="00FE1145" w:rsidRPr="00BA1828">
          <w:rPr>
            <w:rStyle w:val="Hyperlink"/>
          </w:rPr>
          <w:t>Introduction</w:t>
        </w:r>
        <w:r w:rsidR="00FE1145">
          <w:rPr>
            <w:webHidden/>
          </w:rPr>
          <w:tab/>
        </w:r>
        <w:r w:rsidR="00FE1145">
          <w:rPr>
            <w:webHidden/>
          </w:rPr>
          <w:fldChar w:fldCharType="begin"/>
        </w:r>
        <w:r w:rsidR="00FE1145">
          <w:rPr>
            <w:webHidden/>
          </w:rPr>
          <w:instrText xml:space="preserve"> PAGEREF _Toc463351294 \h </w:instrText>
        </w:r>
        <w:r w:rsidR="00FE1145">
          <w:rPr>
            <w:webHidden/>
          </w:rPr>
        </w:r>
        <w:r w:rsidR="00FE1145">
          <w:rPr>
            <w:webHidden/>
          </w:rPr>
          <w:fldChar w:fldCharType="separate"/>
        </w:r>
        <w:r w:rsidR="00B73ECC">
          <w:rPr>
            <w:webHidden/>
          </w:rPr>
          <w:t>8</w:t>
        </w:r>
        <w:r w:rsidR="00FE1145">
          <w:rPr>
            <w:webHidden/>
          </w:rPr>
          <w:fldChar w:fldCharType="end"/>
        </w:r>
      </w:hyperlink>
    </w:p>
    <w:p w14:paraId="4B3A1885" w14:textId="77777777" w:rsidR="00FE1145" w:rsidRDefault="00D67EC2">
      <w:pPr>
        <w:pStyle w:val="TOC3"/>
        <w:rPr>
          <w:rFonts w:asciiTheme="minorHAnsi" w:eastAsiaTheme="minorEastAsia" w:hAnsiTheme="minorHAnsi" w:cstheme="minorBidi"/>
        </w:rPr>
      </w:pPr>
      <w:hyperlink w:anchor="_Toc463351295" w:history="1">
        <w:r w:rsidR="00FE1145" w:rsidRPr="00BA1828">
          <w:rPr>
            <w:rStyle w:val="Hyperlink"/>
          </w:rPr>
          <w:t>Purpose</w:t>
        </w:r>
        <w:r w:rsidR="00FE1145">
          <w:rPr>
            <w:webHidden/>
          </w:rPr>
          <w:tab/>
        </w:r>
        <w:r w:rsidR="00FE1145">
          <w:rPr>
            <w:webHidden/>
          </w:rPr>
          <w:fldChar w:fldCharType="begin"/>
        </w:r>
        <w:r w:rsidR="00FE1145">
          <w:rPr>
            <w:webHidden/>
          </w:rPr>
          <w:instrText xml:space="preserve"> PAGEREF _Toc463351295 \h </w:instrText>
        </w:r>
        <w:r w:rsidR="00FE1145">
          <w:rPr>
            <w:webHidden/>
          </w:rPr>
        </w:r>
        <w:r w:rsidR="00FE1145">
          <w:rPr>
            <w:webHidden/>
          </w:rPr>
          <w:fldChar w:fldCharType="separate"/>
        </w:r>
        <w:r w:rsidR="00B73ECC">
          <w:rPr>
            <w:webHidden/>
          </w:rPr>
          <w:t>8</w:t>
        </w:r>
        <w:r w:rsidR="00FE1145">
          <w:rPr>
            <w:webHidden/>
          </w:rPr>
          <w:fldChar w:fldCharType="end"/>
        </w:r>
      </w:hyperlink>
    </w:p>
    <w:p w14:paraId="0ECB84E1" w14:textId="77777777" w:rsidR="00FE1145" w:rsidRDefault="00D67EC2">
      <w:pPr>
        <w:pStyle w:val="TOC3"/>
        <w:rPr>
          <w:rFonts w:asciiTheme="minorHAnsi" w:eastAsiaTheme="minorEastAsia" w:hAnsiTheme="minorHAnsi" w:cstheme="minorBidi"/>
        </w:rPr>
      </w:pPr>
      <w:hyperlink w:anchor="_Toc463351296" w:history="1">
        <w:r w:rsidR="00FE1145" w:rsidRPr="00BA1828">
          <w:rPr>
            <w:rStyle w:val="Hyperlink"/>
          </w:rPr>
          <w:t>How evidence informs the development of the FYSO</w:t>
        </w:r>
        <w:r w:rsidR="00FE1145">
          <w:rPr>
            <w:webHidden/>
          </w:rPr>
          <w:tab/>
        </w:r>
        <w:r w:rsidR="00FE1145">
          <w:rPr>
            <w:webHidden/>
          </w:rPr>
          <w:fldChar w:fldCharType="begin"/>
        </w:r>
        <w:r w:rsidR="00FE1145">
          <w:rPr>
            <w:webHidden/>
          </w:rPr>
          <w:instrText xml:space="preserve"> PAGEREF _Toc463351296 \h </w:instrText>
        </w:r>
        <w:r w:rsidR="00FE1145">
          <w:rPr>
            <w:webHidden/>
          </w:rPr>
        </w:r>
        <w:r w:rsidR="00FE1145">
          <w:rPr>
            <w:webHidden/>
          </w:rPr>
          <w:fldChar w:fldCharType="separate"/>
        </w:r>
        <w:r w:rsidR="00B73ECC">
          <w:rPr>
            <w:webHidden/>
          </w:rPr>
          <w:t>8</w:t>
        </w:r>
        <w:r w:rsidR="00FE1145">
          <w:rPr>
            <w:webHidden/>
          </w:rPr>
          <w:fldChar w:fldCharType="end"/>
        </w:r>
      </w:hyperlink>
    </w:p>
    <w:p w14:paraId="30B5680F" w14:textId="77777777" w:rsidR="00FE1145" w:rsidRDefault="00D67EC2">
      <w:pPr>
        <w:pStyle w:val="TOC3"/>
        <w:rPr>
          <w:rFonts w:asciiTheme="minorHAnsi" w:eastAsiaTheme="minorEastAsia" w:hAnsiTheme="minorHAnsi" w:cstheme="minorBidi"/>
        </w:rPr>
      </w:pPr>
      <w:hyperlink w:anchor="_Toc463351297" w:history="1">
        <w:r w:rsidR="00FE1145" w:rsidRPr="00BA1828">
          <w:rPr>
            <w:rStyle w:val="Hyperlink"/>
          </w:rPr>
          <w:t>Spectrum research program</w:t>
        </w:r>
        <w:r w:rsidR="00FE1145">
          <w:rPr>
            <w:webHidden/>
          </w:rPr>
          <w:tab/>
        </w:r>
        <w:r w:rsidR="00FE1145">
          <w:rPr>
            <w:webHidden/>
          </w:rPr>
          <w:fldChar w:fldCharType="begin"/>
        </w:r>
        <w:r w:rsidR="00FE1145">
          <w:rPr>
            <w:webHidden/>
          </w:rPr>
          <w:instrText xml:space="preserve"> PAGEREF _Toc463351297 \h </w:instrText>
        </w:r>
        <w:r w:rsidR="00FE1145">
          <w:rPr>
            <w:webHidden/>
          </w:rPr>
        </w:r>
        <w:r w:rsidR="00FE1145">
          <w:rPr>
            <w:webHidden/>
          </w:rPr>
          <w:fldChar w:fldCharType="separate"/>
        </w:r>
        <w:r w:rsidR="00B73ECC">
          <w:rPr>
            <w:webHidden/>
          </w:rPr>
          <w:t>10</w:t>
        </w:r>
        <w:r w:rsidR="00FE1145">
          <w:rPr>
            <w:webHidden/>
          </w:rPr>
          <w:fldChar w:fldCharType="end"/>
        </w:r>
      </w:hyperlink>
    </w:p>
    <w:p w14:paraId="3A65C364" w14:textId="77777777" w:rsidR="00FE1145" w:rsidRDefault="00D67EC2">
      <w:pPr>
        <w:pStyle w:val="TOC3"/>
        <w:rPr>
          <w:rFonts w:asciiTheme="minorHAnsi" w:eastAsiaTheme="minorEastAsia" w:hAnsiTheme="minorHAnsi" w:cstheme="minorBidi"/>
        </w:rPr>
      </w:pPr>
      <w:hyperlink w:anchor="_Toc463351298" w:history="1">
        <w:r w:rsidR="00FE1145" w:rsidRPr="00BA1828">
          <w:rPr>
            <w:rStyle w:val="Hyperlink"/>
          </w:rPr>
          <w:t>Total welfare standard</w:t>
        </w:r>
        <w:r w:rsidR="00FE1145">
          <w:rPr>
            <w:webHidden/>
          </w:rPr>
          <w:tab/>
        </w:r>
        <w:r w:rsidR="00FE1145">
          <w:rPr>
            <w:webHidden/>
          </w:rPr>
          <w:fldChar w:fldCharType="begin"/>
        </w:r>
        <w:r w:rsidR="00FE1145">
          <w:rPr>
            <w:webHidden/>
          </w:rPr>
          <w:instrText xml:space="preserve"> PAGEREF _Toc463351298 \h </w:instrText>
        </w:r>
        <w:r w:rsidR="00FE1145">
          <w:rPr>
            <w:webHidden/>
          </w:rPr>
        </w:r>
        <w:r w:rsidR="00FE1145">
          <w:rPr>
            <w:webHidden/>
          </w:rPr>
          <w:fldChar w:fldCharType="separate"/>
        </w:r>
        <w:r w:rsidR="00B73ECC">
          <w:rPr>
            <w:webHidden/>
          </w:rPr>
          <w:t>10</w:t>
        </w:r>
        <w:r w:rsidR="00FE1145">
          <w:rPr>
            <w:webHidden/>
          </w:rPr>
          <w:fldChar w:fldCharType="end"/>
        </w:r>
      </w:hyperlink>
    </w:p>
    <w:p w14:paraId="6D05B927" w14:textId="77777777" w:rsidR="00FE1145" w:rsidRDefault="00D67EC2">
      <w:pPr>
        <w:pStyle w:val="TOC3"/>
        <w:rPr>
          <w:rFonts w:asciiTheme="minorHAnsi" w:eastAsiaTheme="minorEastAsia" w:hAnsiTheme="minorHAnsi" w:cstheme="minorBidi"/>
        </w:rPr>
      </w:pPr>
      <w:hyperlink w:anchor="_Toc463351299" w:history="1">
        <w:r w:rsidR="00FE1145" w:rsidRPr="00BA1828">
          <w:rPr>
            <w:rStyle w:val="Hyperlink"/>
          </w:rPr>
          <w:t>Principles for Spectrum Management</w:t>
        </w:r>
        <w:r w:rsidR="00FE1145">
          <w:rPr>
            <w:webHidden/>
          </w:rPr>
          <w:tab/>
        </w:r>
        <w:r w:rsidR="00FE1145">
          <w:rPr>
            <w:webHidden/>
          </w:rPr>
          <w:fldChar w:fldCharType="begin"/>
        </w:r>
        <w:r w:rsidR="00FE1145">
          <w:rPr>
            <w:webHidden/>
          </w:rPr>
          <w:instrText xml:space="preserve"> PAGEREF _Toc463351299 \h </w:instrText>
        </w:r>
        <w:r w:rsidR="00FE1145">
          <w:rPr>
            <w:webHidden/>
          </w:rPr>
        </w:r>
        <w:r w:rsidR="00FE1145">
          <w:rPr>
            <w:webHidden/>
          </w:rPr>
          <w:fldChar w:fldCharType="separate"/>
        </w:r>
        <w:r w:rsidR="00B73ECC">
          <w:rPr>
            <w:webHidden/>
          </w:rPr>
          <w:t>11</w:t>
        </w:r>
        <w:r w:rsidR="00FE1145">
          <w:rPr>
            <w:webHidden/>
          </w:rPr>
          <w:fldChar w:fldCharType="end"/>
        </w:r>
      </w:hyperlink>
    </w:p>
    <w:p w14:paraId="0F9D079B" w14:textId="77777777" w:rsidR="00FE1145" w:rsidRDefault="00D67EC2">
      <w:pPr>
        <w:pStyle w:val="TOC3"/>
        <w:rPr>
          <w:rFonts w:asciiTheme="minorHAnsi" w:eastAsiaTheme="minorEastAsia" w:hAnsiTheme="minorHAnsi" w:cstheme="minorBidi"/>
        </w:rPr>
      </w:pPr>
      <w:hyperlink w:anchor="_Toc463351300" w:history="1">
        <w:r w:rsidR="00FE1145" w:rsidRPr="00BA1828">
          <w:rPr>
            <w:rStyle w:val="Hyperlink"/>
          </w:rPr>
          <w:t>Spectrum management decision-making framework</w:t>
        </w:r>
        <w:r w:rsidR="00FE1145">
          <w:rPr>
            <w:webHidden/>
          </w:rPr>
          <w:tab/>
        </w:r>
        <w:r w:rsidR="00FE1145">
          <w:rPr>
            <w:webHidden/>
          </w:rPr>
          <w:fldChar w:fldCharType="begin"/>
        </w:r>
        <w:r w:rsidR="00FE1145">
          <w:rPr>
            <w:webHidden/>
          </w:rPr>
          <w:instrText xml:space="preserve"> PAGEREF _Toc463351300 \h </w:instrText>
        </w:r>
        <w:r w:rsidR="00FE1145">
          <w:rPr>
            <w:webHidden/>
          </w:rPr>
        </w:r>
        <w:r w:rsidR="00FE1145">
          <w:rPr>
            <w:webHidden/>
          </w:rPr>
          <w:fldChar w:fldCharType="separate"/>
        </w:r>
        <w:r w:rsidR="00B73ECC">
          <w:rPr>
            <w:webHidden/>
          </w:rPr>
          <w:t>11</w:t>
        </w:r>
        <w:r w:rsidR="00FE1145">
          <w:rPr>
            <w:webHidden/>
          </w:rPr>
          <w:fldChar w:fldCharType="end"/>
        </w:r>
      </w:hyperlink>
    </w:p>
    <w:p w14:paraId="1639714B" w14:textId="77777777" w:rsidR="00FE1145" w:rsidRDefault="00D67EC2">
      <w:pPr>
        <w:pStyle w:val="TOC3"/>
        <w:rPr>
          <w:rFonts w:asciiTheme="minorHAnsi" w:eastAsiaTheme="minorEastAsia" w:hAnsiTheme="minorHAnsi" w:cstheme="minorBidi"/>
        </w:rPr>
      </w:pPr>
      <w:hyperlink w:anchor="_Toc463351301" w:history="1">
        <w:r w:rsidR="00FE1145" w:rsidRPr="00BA1828">
          <w:rPr>
            <w:rStyle w:val="Hyperlink"/>
          </w:rPr>
          <w:t>2015–16 activities</w:t>
        </w:r>
        <w:r w:rsidR="00FE1145">
          <w:rPr>
            <w:webHidden/>
          </w:rPr>
          <w:tab/>
        </w:r>
        <w:r w:rsidR="00FE1145">
          <w:rPr>
            <w:webHidden/>
          </w:rPr>
          <w:fldChar w:fldCharType="begin"/>
        </w:r>
        <w:r w:rsidR="00FE1145">
          <w:rPr>
            <w:webHidden/>
          </w:rPr>
          <w:instrText xml:space="preserve"> PAGEREF _Toc463351301 \h </w:instrText>
        </w:r>
        <w:r w:rsidR="00FE1145">
          <w:rPr>
            <w:webHidden/>
          </w:rPr>
        </w:r>
        <w:r w:rsidR="00FE1145">
          <w:rPr>
            <w:webHidden/>
          </w:rPr>
          <w:fldChar w:fldCharType="separate"/>
        </w:r>
        <w:r w:rsidR="00B73ECC">
          <w:rPr>
            <w:webHidden/>
          </w:rPr>
          <w:t>13</w:t>
        </w:r>
        <w:r w:rsidR="00FE1145">
          <w:rPr>
            <w:webHidden/>
          </w:rPr>
          <w:fldChar w:fldCharType="end"/>
        </w:r>
      </w:hyperlink>
    </w:p>
    <w:p w14:paraId="34BC15A0" w14:textId="77777777" w:rsidR="00FE1145" w:rsidRDefault="00D67EC2">
      <w:pPr>
        <w:pStyle w:val="TOC2"/>
        <w:rPr>
          <w:rFonts w:asciiTheme="minorHAnsi" w:eastAsiaTheme="minorEastAsia" w:hAnsiTheme="minorHAnsi" w:cstheme="minorBidi"/>
          <w:spacing w:val="0"/>
          <w:sz w:val="22"/>
          <w:szCs w:val="22"/>
        </w:rPr>
      </w:pPr>
      <w:hyperlink w:anchor="_Toc463351302" w:history="1">
        <w:r w:rsidR="00FE1145" w:rsidRPr="00BA1828">
          <w:rPr>
            <w:rStyle w:val="Hyperlink"/>
          </w:rPr>
          <w:t>Significant issues affecting spectrum management in Australia</w:t>
        </w:r>
        <w:r w:rsidR="00FE1145">
          <w:rPr>
            <w:webHidden/>
          </w:rPr>
          <w:tab/>
        </w:r>
        <w:r w:rsidR="00FE1145">
          <w:rPr>
            <w:webHidden/>
          </w:rPr>
          <w:fldChar w:fldCharType="begin"/>
        </w:r>
        <w:r w:rsidR="00FE1145">
          <w:rPr>
            <w:webHidden/>
          </w:rPr>
          <w:instrText xml:space="preserve"> PAGEREF _Toc463351302 \h </w:instrText>
        </w:r>
        <w:r w:rsidR="00FE1145">
          <w:rPr>
            <w:webHidden/>
          </w:rPr>
        </w:r>
        <w:r w:rsidR="00FE1145">
          <w:rPr>
            <w:webHidden/>
          </w:rPr>
          <w:fldChar w:fldCharType="separate"/>
        </w:r>
        <w:r w:rsidR="00B73ECC">
          <w:rPr>
            <w:webHidden/>
          </w:rPr>
          <w:t>16</w:t>
        </w:r>
        <w:r w:rsidR="00FE1145">
          <w:rPr>
            <w:webHidden/>
          </w:rPr>
          <w:fldChar w:fldCharType="end"/>
        </w:r>
      </w:hyperlink>
    </w:p>
    <w:p w14:paraId="2E966AA0" w14:textId="77777777" w:rsidR="00FE1145" w:rsidRDefault="00D67EC2">
      <w:pPr>
        <w:pStyle w:val="TOC3"/>
        <w:rPr>
          <w:rFonts w:asciiTheme="minorHAnsi" w:eastAsiaTheme="minorEastAsia" w:hAnsiTheme="minorHAnsi" w:cstheme="minorBidi"/>
        </w:rPr>
      </w:pPr>
      <w:hyperlink w:anchor="_Toc463351303" w:history="1">
        <w:r w:rsidR="00FE1145" w:rsidRPr="00BA1828">
          <w:rPr>
            <w:rStyle w:val="Hyperlink"/>
          </w:rPr>
          <w:t>What is the external environment?</w:t>
        </w:r>
        <w:r w:rsidR="00FE1145">
          <w:rPr>
            <w:webHidden/>
          </w:rPr>
          <w:tab/>
        </w:r>
        <w:r w:rsidR="00FE1145">
          <w:rPr>
            <w:webHidden/>
          </w:rPr>
          <w:fldChar w:fldCharType="begin"/>
        </w:r>
        <w:r w:rsidR="00FE1145">
          <w:rPr>
            <w:webHidden/>
          </w:rPr>
          <w:instrText xml:space="preserve"> PAGEREF _Toc463351303 \h </w:instrText>
        </w:r>
        <w:r w:rsidR="00FE1145">
          <w:rPr>
            <w:webHidden/>
          </w:rPr>
        </w:r>
        <w:r w:rsidR="00FE1145">
          <w:rPr>
            <w:webHidden/>
          </w:rPr>
          <w:fldChar w:fldCharType="separate"/>
        </w:r>
        <w:r w:rsidR="00B73ECC">
          <w:rPr>
            <w:webHidden/>
          </w:rPr>
          <w:t>16</w:t>
        </w:r>
        <w:r w:rsidR="00FE1145">
          <w:rPr>
            <w:webHidden/>
          </w:rPr>
          <w:fldChar w:fldCharType="end"/>
        </w:r>
      </w:hyperlink>
    </w:p>
    <w:p w14:paraId="5B854B3F" w14:textId="35D29D76" w:rsidR="00FE1145" w:rsidRDefault="00D67EC2">
      <w:pPr>
        <w:pStyle w:val="TOC3"/>
        <w:rPr>
          <w:rFonts w:asciiTheme="minorHAnsi" w:eastAsiaTheme="minorEastAsia" w:hAnsiTheme="minorHAnsi" w:cstheme="minorBidi"/>
        </w:rPr>
      </w:pPr>
      <w:hyperlink w:anchor="_Toc463351304" w:history="1">
        <w:r w:rsidR="00FE1145" w:rsidRPr="00BA1828">
          <w:rPr>
            <w:rStyle w:val="Hyperlink"/>
          </w:rPr>
          <w:t xml:space="preserve">International developments/trends—World Radiocommunication </w:t>
        </w:r>
        <w:r w:rsidR="00FE1145">
          <w:rPr>
            <w:rStyle w:val="Hyperlink"/>
          </w:rPr>
          <w:br/>
        </w:r>
        <w:r w:rsidR="00FE1145" w:rsidRPr="00BA1828">
          <w:rPr>
            <w:rStyle w:val="Hyperlink"/>
          </w:rPr>
          <w:t>Conference (WRC)</w:t>
        </w:r>
        <w:r w:rsidR="00FE1145">
          <w:rPr>
            <w:webHidden/>
          </w:rPr>
          <w:tab/>
        </w:r>
        <w:r w:rsidR="00FE1145">
          <w:rPr>
            <w:webHidden/>
          </w:rPr>
          <w:fldChar w:fldCharType="begin"/>
        </w:r>
        <w:r w:rsidR="00FE1145">
          <w:rPr>
            <w:webHidden/>
          </w:rPr>
          <w:instrText xml:space="preserve"> PAGEREF _Toc463351304 \h </w:instrText>
        </w:r>
        <w:r w:rsidR="00FE1145">
          <w:rPr>
            <w:webHidden/>
          </w:rPr>
        </w:r>
        <w:r w:rsidR="00FE1145">
          <w:rPr>
            <w:webHidden/>
          </w:rPr>
          <w:fldChar w:fldCharType="separate"/>
        </w:r>
        <w:r w:rsidR="00B73ECC">
          <w:rPr>
            <w:webHidden/>
          </w:rPr>
          <w:t>17</w:t>
        </w:r>
        <w:r w:rsidR="00FE1145">
          <w:rPr>
            <w:webHidden/>
          </w:rPr>
          <w:fldChar w:fldCharType="end"/>
        </w:r>
      </w:hyperlink>
    </w:p>
    <w:p w14:paraId="23A4A8E6" w14:textId="77777777" w:rsidR="00FE1145" w:rsidRDefault="00D67EC2">
      <w:pPr>
        <w:pStyle w:val="TOC3"/>
        <w:rPr>
          <w:rFonts w:asciiTheme="minorHAnsi" w:eastAsiaTheme="minorEastAsia" w:hAnsiTheme="minorHAnsi" w:cstheme="minorBidi"/>
        </w:rPr>
      </w:pPr>
      <w:hyperlink w:anchor="_Toc463351305" w:history="1">
        <w:r w:rsidR="00FE1145" w:rsidRPr="00BA1828">
          <w:rPr>
            <w:rStyle w:val="Hyperlink"/>
          </w:rPr>
          <w:t>Regulatory reform and the Spectrum Review</w:t>
        </w:r>
        <w:r w:rsidR="00FE1145">
          <w:rPr>
            <w:webHidden/>
          </w:rPr>
          <w:tab/>
        </w:r>
        <w:r w:rsidR="00FE1145">
          <w:rPr>
            <w:webHidden/>
          </w:rPr>
          <w:fldChar w:fldCharType="begin"/>
        </w:r>
        <w:r w:rsidR="00FE1145">
          <w:rPr>
            <w:webHidden/>
          </w:rPr>
          <w:instrText xml:space="preserve"> PAGEREF _Toc463351305 \h </w:instrText>
        </w:r>
        <w:r w:rsidR="00FE1145">
          <w:rPr>
            <w:webHidden/>
          </w:rPr>
        </w:r>
        <w:r w:rsidR="00FE1145">
          <w:rPr>
            <w:webHidden/>
          </w:rPr>
          <w:fldChar w:fldCharType="separate"/>
        </w:r>
        <w:r w:rsidR="00B73ECC">
          <w:rPr>
            <w:webHidden/>
          </w:rPr>
          <w:t>19</w:t>
        </w:r>
        <w:r w:rsidR="00FE1145">
          <w:rPr>
            <w:webHidden/>
          </w:rPr>
          <w:fldChar w:fldCharType="end"/>
        </w:r>
      </w:hyperlink>
    </w:p>
    <w:p w14:paraId="7EF04070" w14:textId="77777777" w:rsidR="00FE1145" w:rsidRDefault="00D67EC2">
      <w:pPr>
        <w:pStyle w:val="TOC3"/>
        <w:rPr>
          <w:rFonts w:asciiTheme="minorHAnsi" w:eastAsiaTheme="minorEastAsia" w:hAnsiTheme="minorHAnsi" w:cstheme="minorBidi"/>
        </w:rPr>
      </w:pPr>
      <w:hyperlink w:anchor="_Toc463351306" w:history="1">
        <w:r w:rsidR="00FE1145" w:rsidRPr="00BA1828">
          <w:rPr>
            <w:rStyle w:val="Hyperlink"/>
          </w:rPr>
          <w:t>Review of the ACMA</w:t>
        </w:r>
        <w:r w:rsidR="00FE1145">
          <w:rPr>
            <w:webHidden/>
          </w:rPr>
          <w:tab/>
        </w:r>
        <w:r w:rsidR="00FE1145">
          <w:rPr>
            <w:webHidden/>
          </w:rPr>
          <w:fldChar w:fldCharType="begin"/>
        </w:r>
        <w:r w:rsidR="00FE1145">
          <w:rPr>
            <w:webHidden/>
          </w:rPr>
          <w:instrText xml:space="preserve"> PAGEREF _Toc463351306 \h </w:instrText>
        </w:r>
        <w:r w:rsidR="00FE1145">
          <w:rPr>
            <w:webHidden/>
          </w:rPr>
        </w:r>
        <w:r w:rsidR="00FE1145">
          <w:rPr>
            <w:webHidden/>
          </w:rPr>
          <w:fldChar w:fldCharType="separate"/>
        </w:r>
        <w:r w:rsidR="00B73ECC">
          <w:rPr>
            <w:webHidden/>
          </w:rPr>
          <w:t>20</w:t>
        </w:r>
        <w:r w:rsidR="00FE1145">
          <w:rPr>
            <w:webHidden/>
          </w:rPr>
          <w:fldChar w:fldCharType="end"/>
        </w:r>
      </w:hyperlink>
    </w:p>
    <w:p w14:paraId="61E5146D" w14:textId="77777777" w:rsidR="00FE1145" w:rsidRDefault="00D67EC2">
      <w:pPr>
        <w:pStyle w:val="TOC2"/>
        <w:rPr>
          <w:rFonts w:asciiTheme="minorHAnsi" w:eastAsiaTheme="minorEastAsia" w:hAnsiTheme="minorHAnsi" w:cstheme="minorBidi"/>
          <w:spacing w:val="0"/>
          <w:sz w:val="22"/>
          <w:szCs w:val="22"/>
        </w:rPr>
      </w:pPr>
      <w:hyperlink w:anchor="_Toc463351307" w:history="1">
        <w:r w:rsidR="00FE1145" w:rsidRPr="00BA1828">
          <w:rPr>
            <w:rStyle w:val="Hyperlink"/>
          </w:rPr>
          <w:t>ACMA’s response to demand and new technologies</w:t>
        </w:r>
        <w:r w:rsidR="00FE1145">
          <w:rPr>
            <w:webHidden/>
          </w:rPr>
          <w:tab/>
        </w:r>
        <w:r w:rsidR="00FE1145">
          <w:rPr>
            <w:webHidden/>
          </w:rPr>
          <w:fldChar w:fldCharType="begin"/>
        </w:r>
        <w:r w:rsidR="00FE1145">
          <w:rPr>
            <w:webHidden/>
          </w:rPr>
          <w:instrText xml:space="preserve"> PAGEREF _Toc463351307 \h </w:instrText>
        </w:r>
        <w:r w:rsidR="00FE1145">
          <w:rPr>
            <w:webHidden/>
          </w:rPr>
        </w:r>
        <w:r w:rsidR="00FE1145">
          <w:rPr>
            <w:webHidden/>
          </w:rPr>
          <w:fldChar w:fldCharType="separate"/>
        </w:r>
        <w:r w:rsidR="00B73ECC">
          <w:rPr>
            <w:webHidden/>
          </w:rPr>
          <w:t>20</w:t>
        </w:r>
        <w:r w:rsidR="00FE1145">
          <w:rPr>
            <w:webHidden/>
          </w:rPr>
          <w:fldChar w:fldCharType="end"/>
        </w:r>
      </w:hyperlink>
    </w:p>
    <w:p w14:paraId="2C4D90A9" w14:textId="77777777" w:rsidR="00FE1145" w:rsidRDefault="00D67EC2">
      <w:pPr>
        <w:pStyle w:val="TOC3"/>
        <w:rPr>
          <w:rFonts w:asciiTheme="minorHAnsi" w:eastAsiaTheme="minorEastAsia" w:hAnsiTheme="minorHAnsi" w:cstheme="minorBidi"/>
        </w:rPr>
      </w:pPr>
      <w:hyperlink w:anchor="_Toc463351308" w:history="1">
        <w:r w:rsidR="00FE1145" w:rsidRPr="00BA1828">
          <w:rPr>
            <w:rStyle w:val="Hyperlink"/>
          </w:rPr>
          <w:t>Addressing current and future demand</w:t>
        </w:r>
        <w:r w:rsidR="00FE1145">
          <w:rPr>
            <w:webHidden/>
          </w:rPr>
          <w:tab/>
        </w:r>
        <w:r w:rsidR="00FE1145">
          <w:rPr>
            <w:webHidden/>
          </w:rPr>
          <w:fldChar w:fldCharType="begin"/>
        </w:r>
        <w:r w:rsidR="00FE1145">
          <w:rPr>
            <w:webHidden/>
          </w:rPr>
          <w:instrText xml:space="preserve"> PAGEREF _Toc463351308 \h </w:instrText>
        </w:r>
        <w:r w:rsidR="00FE1145">
          <w:rPr>
            <w:webHidden/>
          </w:rPr>
        </w:r>
        <w:r w:rsidR="00FE1145">
          <w:rPr>
            <w:webHidden/>
          </w:rPr>
          <w:fldChar w:fldCharType="separate"/>
        </w:r>
        <w:r w:rsidR="00B73ECC">
          <w:rPr>
            <w:webHidden/>
          </w:rPr>
          <w:t>20</w:t>
        </w:r>
        <w:r w:rsidR="00FE1145">
          <w:rPr>
            <w:webHidden/>
          </w:rPr>
          <w:fldChar w:fldCharType="end"/>
        </w:r>
      </w:hyperlink>
    </w:p>
    <w:p w14:paraId="36B36EEC" w14:textId="77777777" w:rsidR="00FE1145" w:rsidRDefault="00D67EC2">
      <w:pPr>
        <w:pStyle w:val="TOC3"/>
        <w:rPr>
          <w:rFonts w:asciiTheme="minorHAnsi" w:eastAsiaTheme="minorEastAsia" w:hAnsiTheme="minorHAnsi" w:cstheme="minorBidi"/>
        </w:rPr>
      </w:pPr>
      <w:hyperlink w:anchor="_Toc463351309" w:history="1">
        <w:r w:rsidR="00FE1145" w:rsidRPr="00BA1828">
          <w:rPr>
            <w:rStyle w:val="Hyperlink"/>
          </w:rPr>
          <w:t>Mobile broadband strategy and work program</w:t>
        </w:r>
        <w:r w:rsidR="00FE1145">
          <w:rPr>
            <w:webHidden/>
          </w:rPr>
          <w:tab/>
        </w:r>
        <w:r w:rsidR="00FE1145">
          <w:rPr>
            <w:webHidden/>
          </w:rPr>
          <w:fldChar w:fldCharType="begin"/>
        </w:r>
        <w:r w:rsidR="00FE1145">
          <w:rPr>
            <w:webHidden/>
          </w:rPr>
          <w:instrText xml:space="preserve"> PAGEREF _Toc463351309 \h </w:instrText>
        </w:r>
        <w:r w:rsidR="00FE1145">
          <w:rPr>
            <w:webHidden/>
          </w:rPr>
        </w:r>
        <w:r w:rsidR="00FE1145">
          <w:rPr>
            <w:webHidden/>
          </w:rPr>
          <w:fldChar w:fldCharType="separate"/>
        </w:r>
        <w:r w:rsidR="00B73ECC">
          <w:rPr>
            <w:webHidden/>
          </w:rPr>
          <w:t>20</w:t>
        </w:r>
        <w:r w:rsidR="00FE1145">
          <w:rPr>
            <w:webHidden/>
          </w:rPr>
          <w:fldChar w:fldCharType="end"/>
        </w:r>
      </w:hyperlink>
    </w:p>
    <w:p w14:paraId="1CB3312C" w14:textId="77777777" w:rsidR="00FE1145" w:rsidRDefault="00D67EC2">
      <w:pPr>
        <w:pStyle w:val="TOC3"/>
        <w:rPr>
          <w:rFonts w:asciiTheme="minorHAnsi" w:eastAsiaTheme="minorEastAsia" w:hAnsiTheme="minorHAnsi" w:cstheme="minorBidi"/>
        </w:rPr>
      </w:pPr>
      <w:hyperlink w:anchor="_Toc463351310" w:history="1">
        <w:r w:rsidR="00FE1145" w:rsidRPr="00BA1828">
          <w:rPr>
            <w:rStyle w:val="Hyperlink"/>
          </w:rPr>
          <w:t>5G</w:t>
        </w:r>
        <w:r w:rsidR="00FE1145">
          <w:rPr>
            <w:webHidden/>
          </w:rPr>
          <w:tab/>
        </w:r>
        <w:r w:rsidR="00FE1145">
          <w:rPr>
            <w:webHidden/>
          </w:rPr>
          <w:fldChar w:fldCharType="begin"/>
        </w:r>
        <w:r w:rsidR="00FE1145">
          <w:rPr>
            <w:webHidden/>
          </w:rPr>
          <w:instrText xml:space="preserve"> PAGEREF _Toc463351310 \h </w:instrText>
        </w:r>
        <w:r w:rsidR="00FE1145">
          <w:rPr>
            <w:webHidden/>
          </w:rPr>
        </w:r>
        <w:r w:rsidR="00FE1145">
          <w:rPr>
            <w:webHidden/>
          </w:rPr>
          <w:fldChar w:fldCharType="separate"/>
        </w:r>
        <w:r w:rsidR="00B73ECC">
          <w:rPr>
            <w:webHidden/>
          </w:rPr>
          <w:t>21</w:t>
        </w:r>
        <w:r w:rsidR="00FE1145">
          <w:rPr>
            <w:webHidden/>
          </w:rPr>
          <w:fldChar w:fldCharType="end"/>
        </w:r>
      </w:hyperlink>
    </w:p>
    <w:p w14:paraId="21722BDE" w14:textId="77777777" w:rsidR="00FE1145" w:rsidRDefault="00D67EC2">
      <w:pPr>
        <w:pStyle w:val="TOC3"/>
        <w:rPr>
          <w:rFonts w:asciiTheme="minorHAnsi" w:eastAsiaTheme="minorEastAsia" w:hAnsiTheme="minorHAnsi" w:cstheme="minorBidi"/>
        </w:rPr>
      </w:pPr>
      <w:hyperlink w:anchor="_Toc463351311" w:history="1">
        <w:r w:rsidR="00FE1145" w:rsidRPr="00BA1828">
          <w:rPr>
            <w:rStyle w:val="Hyperlink"/>
          </w:rPr>
          <w:t>Internet of things (IoT)</w:t>
        </w:r>
        <w:r w:rsidR="00FE1145">
          <w:rPr>
            <w:webHidden/>
          </w:rPr>
          <w:tab/>
        </w:r>
        <w:r w:rsidR="00FE1145">
          <w:rPr>
            <w:webHidden/>
          </w:rPr>
          <w:fldChar w:fldCharType="begin"/>
        </w:r>
        <w:r w:rsidR="00FE1145">
          <w:rPr>
            <w:webHidden/>
          </w:rPr>
          <w:instrText xml:space="preserve"> PAGEREF _Toc463351311 \h </w:instrText>
        </w:r>
        <w:r w:rsidR="00FE1145">
          <w:rPr>
            <w:webHidden/>
          </w:rPr>
        </w:r>
        <w:r w:rsidR="00FE1145">
          <w:rPr>
            <w:webHidden/>
          </w:rPr>
          <w:fldChar w:fldCharType="separate"/>
        </w:r>
        <w:r w:rsidR="00B73ECC">
          <w:rPr>
            <w:webHidden/>
          </w:rPr>
          <w:t>24</w:t>
        </w:r>
        <w:r w:rsidR="00FE1145">
          <w:rPr>
            <w:webHidden/>
          </w:rPr>
          <w:fldChar w:fldCharType="end"/>
        </w:r>
      </w:hyperlink>
    </w:p>
    <w:p w14:paraId="3409B70B" w14:textId="77777777" w:rsidR="00FE1145" w:rsidRDefault="00D67EC2">
      <w:pPr>
        <w:pStyle w:val="TOC3"/>
        <w:rPr>
          <w:rFonts w:asciiTheme="minorHAnsi" w:eastAsiaTheme="minorEastAsia" w:hAnsiTheme="minorHAnsi" w:cstheme="minorBidi"/>
        </w:rPr>
      </w:pPr>
      <w:hyperlink w:anchor="_Toc463351312" w:history="1">
        <w:r w:rsidR="00FE1145" w:rsidRPr="00BA1828">
          <w:rPr>
            <w:rStyle w:val="Hyperlink"/>
          </w:rPr>
          <w:t>Dynamic spectrum access (DSA)</w:t>
        </w:r>
        <w:r w:rsidR="00FE1145">
          <w:rPr>
            <w:webHidden/>
          </w:rPr>
          <w:tab/>
        </w:r>
        <w:r w:rsidR="00FE1145">
          <w:rPr>
            <w:webHidden/>
          </w:rPr>
          <w:fldChar w:fldCharType="begin"/>
        </w:r>
        <w:r w:rsidR="00FE1145">
          <w:rPr>
            <w:webHidden/>
          </w:rPr>
          <w:instrText xml:space="preserve"> PAGEREF _Toc463351312 \h </w:instrText>
        </w:r>
        <w:r w:rsidR="00FE1145">
          <w:rPr>
            <w:webHidden/>
          </w:rPr>
        </w:r>
        <w:r w:rsidR="00FE1145">
          <w:rPr>
            <w:webHidden/>
          </w:rPr>
          <w:fldChar w:fldCharType="separate"/>
        </w:r>
        <w:r w:rsidR="00B73ECC">
          <w:rPr>
            <w:webHidden/>
          </w:rPr>
          <w:t>26</w:t>
        </w:r>
        <w:r w:rsidR="00FE1145">
          <w:rPr>
            <w:webHidden/>
          </w:rPr>
          <w:fldChar w:fldCharType="end"/>
        </w:r>
      </w:hyperlink>
    </w:p>
    <w:p w14:paraId="73C00134" w14:textId="16E8FC90" w:rsidR="00FE1145" w:rsidRDefault="00D67EC2">
      <w:pPr>
        <w:pStyle w:val="TOC1"/>
        <w:rPr>
          <w:rFonts w:asciiTheme="minorHAnsi" w:eastAsiaTheme="minorEastAsia" w:hAnsiTheme="minorHAnsi" w:cstheme="minorBidi"/>
          <w:b w:val="0"/>
          <w:spacing w:val="0"/>
          <w:sz w:val="22"/>
          <w:szCs w:val="22"/>
        </w:rPr>
      </w:pPr>
      <w:hyperlink w:anchor="_Toc463351313" w:history="1">
        <w:r w:rsidR="00FE1145" w:rsidRPr="00BA1828">
          <w:rPr>
            <w:rStyle w:val="Hyperlink"/>
          </w:rPr>
          <w:t>Part 2—The ACMA’s work plan 2016–17</w:t>
        </w:r>
        <w:r w:rsidR="00FE1145">
          <w:rPr>
            <w:webHidden/>
          </w:rPr>
          <w:tab/>
        </w:r>
        <w:r w:rsidR="00FE1145">
          <w:rPr>
            <w:webHidden/>
          </w:rPr>
          <w:fldChar w:fldCharType="begin"/>
        </w:r>
        <w:r w:rsidR="00FE1145">
          <w:rPr>
            <w:webHidden/>
          </w:rPr>
          <w:instrText xml:space="preserve"> PAGEREF _Toc463351313 \h </w:instrText>
        </w:r>
        <w:r w:rsidR="00FE1145">
          <w:rPr>
            <w:webHidden/>
          </w:rPr>
        </w:r>
        <w:r w:rsidR="00FE1145">
          <w:rPr>
            <w:webHidden/>
          </w:rPr>
          <w:fldChar w:fldCharType="separate"/>
        </w:r>
        <w:r w:rsidR="00B73ECC">
          <w:rPr>
            <w:webHidden/>
          </w:rPr>
          <w:t>29</w:t>
        </w:r>
        <w:r w:rsidR="00FE1145">
          <w:rPr>
            <w:webHidden/>
          </w:rPr>
          <w:fldChar w:fldCharType="end"/>
        </w:r>
      </w:hyperlink>
    </w:p>
    <w:p w14:paraId="27FB0A6C" w14:textId="77777777" w:rsidR="00FE1145" w:rsidRDefault="00D67EC2">
      <w:pPr>
        <w:pStyle w:val="TOC2"/>
        <w:rPr>
          <w:rFonts w:asciiTheme="minorHAnsi" w:eastAsiaTheme="minorEastAsia" w:hAnsiTheme="minorHAnsi" w:cstheme="minorBidi"/>
          <w:spacing w:val="0"/>
          <w:sz w:val="22"/>
          <w:szCs w:val="22"/>
        </w:rPr>
      </w:pPr>
      <w:hyperlink w:anchor="_Toc463351314" w:history="1">
        <w:r w:rsidR="00FE1145" w:rsidRPr="00BA1828">
          <w:rPr>
            <w:rStyle w:val="Hyperlink"/>
          </w:rPr>
          <w:t>The ACMA’s approach to the 12-month work plan</w:t>
        </w:r>
        <w:r w:rsidR="00FE1145">
          <w:rPr>
            <w:webHidden/>
          </w:rPr>
          <w:tab/>
        </w:r>
        <w:r w:rsidR="00FE1145">
          <w:rPr>
            <w:webHidden/>
          </w:rPr>
          <w:fldChar w:fldCharType="begin"/>
        </w:r>
        <w:r w:rsidR="00FE1145">
          <w:rPr>
            <w:webHidden/>
          </w:rPr>
          <w:instrText xml:space="preserve"> PAGEREF _Toc463351314 \h </w:instrText>
        </w:r>
        <w:r w:rsidR="00FE1145">
          <w:rPr>
            <w:webHidden/>
          </w:rPr>
        </w:r>
        <w:r w:rsidR="00FE1145">
          <w:rPr>
            <w:webHidden/>
          </w:rPr>
          <w:fldChar w:fldCharType="separate"/>
        </w:r>
        <w:r w:rsidR="00B73ECC">
          <w:rPr>
            <w:webHidden/>
          </w:rPr>
          <w:t>30</w:t>
        </w:r>
        <w:r w:rsidR="00FE1145">
          <w:rPr>
            <w:webHidden/>
          </w:rPr>
          <w:fldChar w:fldCharType="end"/>
        </w:r>
      </w:hyperlink>
    </w:p>
    <w:p w14:paraId="64CBA5AD" w14:textId="77777777" w:rsidR="00FE1145" w:rsidRDefault="00D67EC2">
      <w:pPr>
        <w:pStyle w:val="TOC3"/>
        <w:rPr>
          <w:rFonts w:asciiTheme="minorHAnsi" w:eastAsiaTheme="minorEastAsia" w:hAnsiTheme="minorHAnsi" w:cstheme="minorBidi"/>
        </w:rPr>
      </w:pPr>
      <w:hyperlink w:anchor="_Toc463351315" w:history="1">
        <w:r w:rsidR="00FE1145" w:rsidRPr="00BA1828">
          <w:rPr>
            <w:rStyle w:val="Hyperlink"/>
          </w:rPr>
          <w:t>The ACMA’s work plan</w:t>
        </w:r>
        <w:r w:rsidR="00FE1145">
          <w:rPr>
            <w:webHidden/>
          </w:rPr>
          <w:tab/>
        </w:r>
        <w:r w:rsidR="00FE1145">
          <w:rPr>
            <w:webHidden/>
          </w:rPr>
          <w:fldChar w:fldCharType="begin"/>
        </w:r>
        <w:r w:rsidR="00FE1145">
          <w:rPr>
            <w:webHidden/>
          </w:rPr>
          <w:instrText xml:space="preserve"> PAGEREF _Toc463351315 \h </w:instrText>
        </w:r>
        <w:r w:rsidR="00FE1145">
          <w:rPr>
            <w:webHidden/>
          </w:rPr>
        </w:r>
        <w:r w:rsidR="00FE1145">
          <w:rPr>
            <w:webHidden/>
          </w:rPr>
          <w:fldChar w:fldCharType="separate"/>
        </w:r>
        <w:r w:rsidR="00B73ECC">
          <w:rPr>
            <w:webHidden/>
          </w:rPr>
          <w:t>30</w:t>
        </w:r>
        <w:r w:rsidR="00FE1145">
          <w:rPr>
            <w:webHidden/>
          </w:rPr>
          <w:fldChar w:fldCharType="end"/>
        </w:r>
      </w:hyperlink>
    </w:p>
    <w:p w14:paraId="739FD2E2" w14:textId="3B915A10" w:rsidR="00FE1145" w:rsidRDefault="00D67EC2" w:rsidP="00FE1145">
      <w:pPr>
        <w:pStyle w:val="TOC2"/>
        <w:keepNext/>
        <w:keepLines/>
        <w:ind w:left="0" w:firstLine="0"/>
        <w:rPr>
          <w:rFonts w:asciiTheme="minorHAnsi" w:eastAsiaTheme="minorEastAsia" w:hAnsiTheme="minorHAnsi" w:cstheme="minorBidi"/>
          <w:spacing w:val="0"/>
          <w:sz w:val="22"/>
          <w:szCs w:val="22"/>
        </w:rPr>
      </w:pPr>
      <w:hyperlink w:anchor="_Toc463351316" w:history="1">
        <w:r w:rsidR="00FE1145" w:rsidRPr="00BA1828">
          <w:rPr>
            <w:rStyle w:val="Hyperlink"/>
          </w:rPr>
          <w:t xml:space="preserve">Theme—Maximising the overall public benefit arising from use </w:t>
        </w:r>
        <w:r w:rsidR="00FE1145">
          <w:rPr>
            <w:rStyle w:val="Hyperlink"/>
          </w:rPr>
          <w:br/>
        </w:r>
        <w:r w:rsidR="00FE1145" w:rsidRPr="00BA1828">
          <w:rPr>
            <w:rStyle w:val="Hyperlink"/>
          </w:rPr>
          <w:t>of spectrum</w:t>
        </w:r>
        <w:r w:rsidR="00FE1145">
          <w:rPr>
            <w:webHidden/>
          </w:rPr>
          <w:tab/>
        </w:r>
        <w:r w:rsidR="00FE1145">
          <w:rPr>
            <w:webHidden/>
          </w:rPr>
          <w:fldChar w:fldCharType="begin"/>
        </w:r>
        <w:r w:rsidR="00FE1145">
          <w:rPr>
            <w:webHidden/>
          </w:rPr>
          <w:instrText xml:space="preserve"> PAGEREF _Toc463351316 \h </w:instrText>
        </w:r>
        <w:r w:rsidR="00FE1145">
          <w:rPr>
            <w:webHidden/>
          </w:rPr>
        </w:r>
        <w:r w:rsidR="00FE1145">
          <w:rPr>
            <w:webHidden/>
          </w:rPr>
          <w:fldChar w:fldCharType="separate"/>
        </w:r>
        <w:r w:rsidR="00B73ECC">
          <w:rPr>
            <w:webHidden/>
          </w:rPr>
          <w:t>31</w:t>
        </w:r>
        <w:r w:rsidR="00FE1145">
          <w:rPr>
            <w:webHidden/>
          </w:rPr>
          <w:fldChar w:fldCharType="end"/>
        </w:r>
      </w:hyperlink>
    </w:p>
    <w:p w14:paraId="556A1DAA" w14:textId="77777777" w:rsidR="00FE1145" w:rsidRDefault="00D67EC2" w:rsidP="00FE1145">
      <w:pPr>
        <w:pStyle w:val="TOC3"/>
        <w:keepNext/>
        <w:keepLines/>
        <w:rPr>
          <w:rFonts w:asciiTheme="minorHAnsi" w:eastAsiaTheme="minorEastAsia" w:hAnsiTheme="minorHAnsi" w:cstheme="minorBidi"/>
        </w:rPr>
      </w:pPr>
      <w:hyperlink w:anchor="_Toc463351317" w:history="1">
        <w:r w:rsidR="00FE1145" w:rsidRPr="00BA1828">
          <w:rPr>
            <w:rStyle w:val="Hyperlink"/>
            <w:lang w:val="en-US"/>
          </w:rPr>
          <w:t>Implementation of the mobile broadband strategy and work program</w:t>
        </w:r>
        <w:r w:rsidR="00FE1145">
          <w:rPr>
            <w:webHidden/>
          </w:rPr>
          <w:tab/>
        </w:r>
        <w:r w:rsidR="00FE1145">
          <w:rPr>
            <w:webHidden/>
          </w:rPr>
          <w:fldChar w:fldCharType="begin"/>
        </w:r>
        <w:r w:rsidR="00FE1145">
          <w:rPr>
            <w:webHidden/>
          </w:rPr>
          <w:instrText xml:space="preserve"> PAGEREF _Toc463351317 \h </w:instrText>
        </w:r>
        <w:r w:rsidR="00FE1145">
          <w:rPr>
            <w:webHidden/>
          </w:rPr>
        </w:r>
        <w:r w:rsidR="00FE1145">
          <w:rPr>
            <w:webHidden/>
          </w:rPr>
          <w:fldChar w:fldCharType="separate"/>
        </w:r>
        <w:r w:rsidR="00B73ECC">
          <w:rPr>
            <w:webHidden/>
          </w:rPr>
          <w:t>31</w:t>
        </w:r>
        <w:r w:rsidR="00FE1145">
          <w:rPr>
            <w:webHidden/>
          </w:rPr>
          <w:fldChar w:fldCharType="end"/>
        </w:r>
      </w:hyperlink>
    </w:p>
    <w:p w14:paraId="6300DC72" w14:textId="77777777" w:rsidR="00FE1145" w:rsidRDefault="00D67EC2" w:rsidP="00FE1145">
      <w:pPr>
        <w:pStyle w:val="TOC3"/>
        <w:keepNext/>
        <w:keepLines/>
        <w:rPr>
          <w:rFonts w:asciiTheme="minorHAnsi" w:eastAsiaTheme="minorEastAsia" w:hAnsiTheme="minorHAnsi" w:cstheme="minorBidi"/>
        </w:rPr>
      </w:pPr>
      <w:hyperlink w:anchor="_Toc463351318" w:history="1">
        <w:r w:rsidR="00FE1145" w:rsidRPr="00BA1828">
          <w:rPr>
            <w:rStyle w:val="Hyperlink"/>
            <w:lang w:val="en-US"/>
          </w:rPr>
          <w:t>Priority compliance areas</w:t>
        </w:r>
        <w:r w:rsidR="00FE1145">
          <w:rPr>
            <w:webHidden/>
          </w:rPr>
          <w:tab/>
        </w:r>
        <w:r w:rsidR="00FE1145">
          <w:rPr>
            <w:webHidden/>
          </w:rPr>
          <w:fldChar w:fldCharType="begin"/>
        </w:r>
        <w:r w:rsidR="00FE1145">
          <w:rPr>
            <w:webHidden/>
          </w:rPr>
          <w:instrText xml:space="preserve"> PAGEREF _Toc463351318 \h </w:instrText>
        </w:r>
        <w:r w:rsidR="00FE1145">
          <w:rPr>
            <w:webHidden/>
          </w:rPr>
        </w:r>
        <w:r w:rsidR="00FE1145">
          <w:rPr>
            <w:webHidden/>
          </w:rPr>
          <w:fldChar w:fldCharType="separate"/>
        </w:r>
        <w:r w:rsidR="00B73ECC">
          <w:rPr>
            <w:webHidden/>
          </w:rPr>
          <w:t>32</w:t>
        </w:r>
        <w:r w:rsidR="00FE1145">
          <w:rPr>
            <w:webHidden/>
          </w:rPr>
          <w:fldChar w:fldCharType="end"/>
        </w:r>
      </w:hyperlink>
    </w:p>
    <w:p w14:paraId="3315EB83" w14:textId="77777777" w:rsidR="00FE1145" w:rsidRDefault="00D67EC2">
      <w:pPr>
        <w:pStyle w:val="TOC3"/>
        <w:rPr>
          <w:rFonts w:asciiTheme="minorHAnsi" w:eastAsiaTheme="minorEastAsia" w:hAnsiTheme="minorHAnsi" w:cstheme="minorBidi"/>
        </w:rPr>
      </w:pPr>
      <w:hyperlink w:anchor="_Toc463351319" w:history="1">
        <w:r w:rsidR="00FE1145" w:rsidRPr="00BA1828">
          <w:rPr>
            <w:rStyle w:val="Hyperlink"/>
            <w:lang w:val="en-US"/>
          </w:rPr>
          <w:t>Spectrum pricing initiatives</w:t>
        </w:r>
        <w:r w:rsidR="00FE1145">
          <w:rPr>
            <w:webHidden/>
          </w:rPr>
          <w:tab/>
        </w:r>
        <w:r w:rsidR="00FE1145">
          <w:rPr>
            <w:webHidden/>
          </w:rPr>
          <w:fldChar w:fldCharType="begin"/>
        </w:r>
        <w:r w:rsidR="00FE1145">
          <w:rPr>
            <w:webHidden/>
          </w:rPr>
          <w:instrText xml:space="preserve"> PAGEREF _Toc463351319 \h </w:instrText>
        </w:r>
        <w:r w:rsidR="00FE1145">
          <w:rPr>
            <w:webHidden/>
          </w:rPr>
        </w:r>
        <w:r w:rsidR="00FE1145">
          <w:rPr>
            <w:webHidden/>
          </w:rPr>
          <w:fldChar w:fldCharType="separate"/>
        </w:r>
        <w:r w:rsidR="00B73ECC">
          <w:rPr>
            <w:webHidden/>
          </w:rPr>
          <w:t>33</w:t>
        </w:r>
        <w:r w:rsidR="00FE1145">
          <w:rPr>
            <w:webHidden/>
          </w:rPr>
          <w:fldChar w:fldCharType="end"/>
        </w:r>
      </w:hyperlink>
    </w:p>
    <w:p w14:paraId="6AF8E238" w14:textId="77777777" w:rsidR="00FE1145" w:rsidRDefault="00D67EC2">
      <w:pPr>
        <w:pStyle w:val="TOC3"/>
        <w:rPr>
          <w:rFonts w:asciiTheme="minorHAnsi" w:eastAsiaTheme="minorEastAsia" w:hAnsiTheme="minorHAnsi" w:cstheme="minorBidi"/>
        </w:rPr>
      </w:pPr>
      <w:hyperlink w:anchor="_Toc463351320" w:history="1">
        <w:r w:rsidR="00FE1145" w:rsidRPr="00BA1828">
          <w:rPr>
            <w:rStyle w:val="Hyperlink"/>
            <w:lang w:val="en-US"/>
          </w:rPr>
          <w:t>Spectrum allocations</w:t>
        </w:r>
        <w:r w:rsidR="00FE1145">
          <w:rPr>
            <w:webHidden/>
          </w:rPr>
          <w:tab/>
        </w:r>
        <w:r w:rsidR="00FE1145">
          <w:rPr>
            <w:webHidden/>
          </w:rPr>
          <w:fldChar w:fldCharType="begin"/>
        </w:r>
        <w:r w:rsidR="00FE1145">
          <w:rPr>
            <w:webHidden/>
          </w:rPr>
          <w:instrText xml:space="preserve"> PAGEREF _Toc463351320 \h </w:instrText>
        </w:r>
        <w:r w:rsidR="00FE1145">
          <w:rPr>
            <w:webHidden/>
          </w:rPr>
        </w:r>
        <w:r w:rsidR="00FE1145">
          <w:rPr>
            <w:webHidden/>
          </w:rPr>
          <w:fldChar w:fldCharType="separate"/>
        </w:r>
        <w:r w:rsidR="00B73ECC">
          <w:rPr>
            <w:webHidden/>
          </w:rPr>
          <w:t>34</w:t>
        </w:r>
        <w:r w:rsidR="00FE1145">
          <w:rPr>
            <w:webHidden/>
          </w:rPr>
          <w:fldChar w:fldCharType="end"/>
        </w:r>
      </w:hyperlink>
    </w:p>
    <w:p w14:paraId="690B722E" w14:textId="77777777" w:rsidR="00FE1145" w:rsidRDefault="00D67EC2">
      <w:pPr>
        <w:pStyle w:val="TOC3"/>
        <w:rPr>
          <w:rFonts w:asciiTheme="minorHAnsi" w:eastAsiaTheme="minorEastAsia" w:hAnsiTheme="minorHAnsi" w:cstheme="minorBidi"/>
        </w:rPr>
      </w:pPr>
      <w:hyperlink w:anchor="_Toc463351321" w:history="1">
        <w:r w:rsidR="00FE1145" w:rsidRPr="00BA1828">
          <w:rPr>
            <w:rStyle w:val="Hyperlink"/>
            <w:lang w:val="en-US"/>
          </w:rPr>
          <w:t>Regional digital radio rollout</w:t>
        </w:r>
        <w:r w:rsidR="00FE1145">
          <w:rPr>
            <w:webHidden/>
          </w:rPr>
          <w:tab/>
        </w:r>
        <w:r w:rsidR="00FE1145">
          <w:rPr>
            <w:webHidden/>
          </w:rPr>
          <w:fldChar w:fldCharType="begin"/>
        </w:r>
        <w:r w:rsidR="00FE1145">
          <w:rPr>
            <w:webHidden/>
          </w:rPr>
          <w:instrText xml:space="preserve"> PAGEREF _Toc463351321 \h </w:instrText>
        </w:r>
        <w:r w:rsidR="00FE1145">
          <w:rPr>
            <w:webHidden/>
          </w:rPr>
        </w:r>
        <w:r w:rsidR="00FE1145">
          <w:rPr>
            <w:webHidden/>
          </w:rPr>
          <w:fldChar w:fldCharType="separate"/>
        </w:r>
        <w:r w:rsidR="00B73ECC">
          <w:rPr>
            <w:webHidden/>
          </w:rPr>
          <w:t>36</w:t>
        </w:r>
        <w:r w:rsidR="00FE1145">
          <w:rPr>
            <w:webHidden/>
          </w:rPr>
          <w:fldChar w:fldCharType="end"/>
        </w:r>
      </w:hyperlink>
    </w:p>
    <w:p w14:paraId="77284804" w14:textId="7046E4B8" w:rsidR="00FE1145" w:rsidRDefault="00D67EC2">
      <w:pPr>
        <w:pStyle w:val="TOC3"/>
        <w:rPr>
          <w:rFonts w:asciiTheme="minorHAnsi" w:eastAsiaTheme="minorEastAsia" w:hAnsiTheme="minorHAnsi" w:cstheme="minorBidi"/>
        </w:rPr>
      </w:pPr>
      <w:hyperlink w:anchor="_Toc463351322" w:history="1">
        <w:r w:rsidR="00FE1145" w:rsidRPr="00BA1828">
          <w:rPr>
            <w:rStyle w:val="Hyperlink"/>
            <w:lang w:val="en-US"/>
          </w:rPr>
          <w:t xml:space="preserve">AM to FM conversions of commercial radio broadcasting services in </w:t>
        </w:r>
        <w:r w:rsidR="00FE1145">
          <w:rPr>
            <w:rStyle w:val="Hyperlink"/>
            <w:lang w:val="en-US"/>
          </w:rPr>
          <w:br/>
        </w:r>
        <w:r w:rsidR="00FE1145" w:rsidRPr="00BA1828">
          <w:rPr>
            <w:rStyle w:val="Hyperlink"/>
            <w:lang w:val="en-US"/>
          </w:rPr>
          <w:t>selected regional licence areas</w:t>
        </w:r>
        <w:r w:rsidR="00FE1145">
          <w:rPr>
            <w:webHidden/>
          </w:rPr>
          <w:tab/>
        </w:r>
        <w:r w:rsidR="00FE1145">
          <w:rPr>
            <w:webHidden/>
          </w:rPr>
          <w:fldChar w:fldCharType="begin"/>
        </w:r>
        <w:r w:rsidR="00FE1145">
          <w:rPr>
            <w:webHidden/>
          </w:rPr>
          <w:instrText xml:space="preserve"> PAGEREF _Toc463351322 \h </w:instrText>
        </w:r>
        <w:r w:rsidR="00FE1145">
          <w:rPr>
            <w:webHidden/>
          </w:rPr>
        </w:r>
        <w:r w:rsidR="00FE1145">
          <w:rPr>
            <w:webHidden/>
          </w:rPr>
          <w:fldChar w:fldCharType="separate"/>
        </w:r>
        <w:r w:rsidR="00B73ECC">
          <w:rPr>
            <w:webHidden/>
          </w:rPr>
          <w:t>36</w:t>
        </w:r>
        <w:r w:rsidR="00FE1145">
          <w:rPr>
            <w:webHidden/>
          </w:rPr>
          <w:fldChar w:fldCharType="end"/>
        </w:r>
      </w:hyperlink>
    </w:p>
    <w:p w14:paraId="5F5FC493" w14:textId="77777777" w:rsidR="00FE1145" w:rsidRDefault="00D67EC2">
      <w:pPr>
        <w:pStyle w:val="TOC2"/>
        <w:rPr>
          <w:rFonts w:asciiTheme="minorHAnsi" w:eastAsiaTheme="minorEastAsia" w:hAnsiTheme="minorHAnsi" w:cstheme="minorBidi"/>
          <w:spacing w:val="0"/>
          <w:sz w:val="22"/>
          <w:szCs w:val="22"/>
        </w:rPr>
      </w:pPr>
      <w:hyperlink w:anchor="_Toc463351323" w:history="1">
        <w:r w:rsidR="00FE1145" w:rsidRPr="00BA1828">
          <w:rPr>
            <w:rStyle w:val="Hyperlink"/>
            <w:lang w:val="en-US"/>
          </w:rPr>
          <w:t>Theme—Reducing the cost to business arising from regulation</w:t>
        </w:r>
        <w:r w:rsidR="00FE1145">
          <w:rPr>
            <w:webHidden/>
          </w:rPr>
          <w:tab/>
        </w:r>
        <w:r w:rsidR="00FE1145">
          <w:rPr>
            <w:webHidden/>
          </w:rPr>
          <w:fldChar w:fldCharType="begin"/>
        </w:r>
        <w:r w:rsidR="00FE1145">
          <w:rPr>
            <w:webHidden/>
          </w:rPr>
          <w:instrText xml:space="preserve"> PAGEREF _Toc463351323 \h </w:instrText>
        </w:r>
        <w:r w:rsidR="00FE1145">
          <w:rPr>
            <w:webHidden/>
          </w:rPr>
        </w:r>
        <w:r w:rsidR="00FE1145">
          <w:rPr>
            <w:webHidden/>
          </w:rPr>
          <w:fldChar w:fldCharType="separate"/>
        </w:r>
        <w:r w:rsidR="00B73ECC">
          <w:rPr>
            <w:webHidden/>
          </w:rPr>
          <w:t>38</w:t>
        </w:r>
        <w:r w:rsidR="00FE1145">
          <w:rPr>
            <w:webHidden/>
          </w:rPr>
          <w:fldChar w:fldCharType="end"/>
        </w:r>
      </w:hyperlink>
    </w:p>
    <w:p w14:paraId="780536CE" w14:textId="77777777" w:rsidR="00FE1145" w:rsidRDefault="00D67EC2">
      <w:pPr>
        <w:pStyle w:val="TOC3"/>
        <w:rPr>
          <w:rFonts w:asciiTheme="minorHAnsi" w:eastAsiaTheme="minorEastAsia" w:hAnsiTheme="minorHAnsi" w:cstheme="minorBidi"/>
        </w:rPr>
      </w:pPr>
      <w:hyperlink w:anchor="_Toc463351324" w:history="1">
        <w:r w:rsidR="00FE1145" w:rsidRPr="00BA1828">
          <w:rPr>
            <w:rStyle w:val="Hyperlink"/>
            <w:lang w:val="en-US"/>
          </w:rPr>
          <w:t>Customer self service</w:t>
        </w:r>
        <w:r w:rsidR="00FE1145">
          <w:rPr>
            <w:webHidden/>
          </w:rPr>
          <w:tab/>
        </w:r>
        <w:r w:rsidR="00FE1145">
          <w:rPr>
            <w:webHidden/>
          </w:rPr>
          <w:fldChar w:fldCharType="begin"/>
        </w:r>
        <w:r w:rsidR="00FE1145">
          <w:rPr>
            <w:webHidden/>
          </w:rPr>
          <w:instrText xml:space="preserve"> PAGEREF _Toc463351324 \h </w:instrText>
        </w:r>
        <w:r w:rsidR="00FE1145">
          <w:rPr>
            <w:webHidden/>
          </w:rPr>
        </w:r>
        <w:r w:rsidR="00FE1145">
          <w:rPr>
            <w:webHidden/>
          </w:rPr>
          <w:fldChar w:fldCharType="separate"/>
        </w:r>
        <w:r w:rsidR="00B73ECC">
          <w:rPr>
            <w:webHidden/>
          </w:rPr>
          <w:t>38</w:t>
        </w:r>
        <w:r w:rsidR="00FE1145">
          <w:rPr>
            <w:webHidden/>
          </w:rPr>
          <w:fldChar w:fldCharType="end"/>
        </w:r>
      </w:hyperlink>
    </w:p>
    <w:p w14:paraId="7B148341" w14:textId="77777777" w:rsidR="00FE1145" w:rsidRDefault="00D67EC2">
      <w:pPr>
        <w:pStyle w:val="TOC2"/>
        <w:rPr>
          <w:rFonts w:asciiTheme="minorHAnsi" w:eastAsiaTheme="minorEastAsia" w:hAnsiTheme="minorHAnsi" w:cstheme="minorBidi"/>
          <w:spacing w:val="0"/>
          <w:sz w:val="22"/>
          <w:szCs w:val="22"/>
        </w:rPr>
      </w:pPr>
      <w:hyperlink w:anchor="_Toc463351325" w:history="1">
        <w:r w:rsidR="00FE1145" w:rsidRPr="00BA1828">
          <w:rPr>
            <w:rStyle w:val="Hyperlink"/>
            <w:lang w:val="en-US"/>
          </w:rPr>
          <w:t>Theme—Implementing reform priorities</w:t>
        </w:r>
        <w:r w:rsidR="00FE1145">
          <w:rPr>
            <w:webHidden/>
          </w:rPr>
          <w:tab/>
        </w:r>
        <w:r w:rsidR="00FE1145">
          <w:rPr>
            <w:webHidden/>
          </w:rPr>
          <w:fldChar w:fldCharType="begin"/>
        </w:r>
        <w:r w:rsidR="00FE1145">
          <w:rPr>
            <w:webHidden/>
          </w:rPr>
          <w:instrText xml:space="preserve"> PAGEREF _Toc463351325 \h </w:instrText>
        </w:r>
        <w:r w:rsidR="00FE1145">
          <w:rPr>
            <w:webHidden/>
          </w:rPr>
        </w:r>
        <w:r w:rsidR="00FE1145">
          <w:rPr>
            <w:webHidden/>
          </w:rPr>
          <w:fldChar w:fldCharType="separate"/>
        </w:r>
        <w:r w:rsidR="00B73ECC">
          <w:rPr>
            <w:webHidden/>
          </w:rPr>
          <w:t>39</w:t>
        </w:r>
        <w:r w:rsidR="00FE1145">
          <w:rPr>
            <w:webHidden/>
          </w:rPr>
          <w:fldChar w:fldCharType="end"/>
        </w:r>
      </w:hyperlink>
    </w:p>
    <w:p w14:paraId="5CFC4FB8" w14:textId="77777777" w:rsidR="00FE1145" w:rsidRDefault="00D67EC2">
      <w:pPr>
        <w:pStyle w:val="TOC3"/>
        <w:rPr>
          <w:rFonts w:asciiTheme="minorHAnsi" w:eastAsiaTheme="minorEastAsia" w:hAnsiTheme="minorHAnsi" w:cstheme="minorBidi"/>
        </w:rPr>
      </w:pPr>
      <w:hyperlink w:anchor="_Toc463351326" w:history="1">
        <w:r w:rsidR="00FE1145" w:rsidRPr="00BA1828">
          <w:rPr>
            <w:rStyle w:val="Hyperlink"/>
            <w:lang w:val="en-US"/>
          </w:rPr>
          <w:t>Spectrum Review implementation</w:t>
        </w:r>
        <w:r w:rsidR="00FE1145">
          <w:rPr>
            <w:webHidden/>
          </w:rPr>
          <w:tab/>
        </w:r>
        <w:r w:rsidR="00FE1145">
          <w:rPr>
            <w:webHidden/>
          </w:rPr>
          <w:fldChar w:fldCharType="begin"/>
        </w:r>
        <w:r w:rsidR="00FE1145">
          <w:rPr>
            <w:webHidden/>
          </w:rPr>
          <w:instrText xml:space="preserve"> PAGEREF _Toc463351326 \h </w:instrText>
        </w:r>
        <w:r w:rsidR="00FE1145">
          <w:rPr>
            <w:webHidden/>
          </w:rPr>
        </w:r>
        <w:r w:rsidR="00FE1145">
          <w:rPr>
            <w:webHidden/>
          </w:rPr>
          <w:fldChar w:fldCharType="separate"/>
        </w:r>
        <w:r w:rsidR="00B73ECC">
          <w:rPr>
            <w:webHidden/>
          </w:rPr>
          <w:t>39</w:t>
        </w:r>
        <w:r w:rsidR="00FE1145">
          <w:rPr>
            <w:webHidden/>
          </w:rPr>
          <w:fldChar w:fldCharType="end"/>
        </w:r>
      </w:hyperlink>
    </w:p>
    <w:p w14:paraId="568B3077" w14:textId="77777777" w:rsidR="00FE1145" w:rsidRDefault="00D67EC2">
      <w:pPr>
        <w:pStyle w:val="TOC3"/>
        <w:rPr>
          <w:rFonts w:asciiTheme="minorHAnsi" w:eastAsiaTheme="minorEastAsia" w:hAnsiTheme="minorHAnsi" w:cstheme="minorBidi"/>
        </w:rPr>
      </w:pPr>
      <w:hyperlink w:anchor="_Toc463351327" w:history="1">
        <w:r w:rsidR="00FE1145" w:rsidRPr="00BA1828">
          <w:rPr>
            <w:rStyle w:val="Hyperlink"/>
            <w:lang w:val="en-US"/>
          </w:rPr>
          <w:t>Implementing outcomes from the 400 MHz band review</w:t>
        </w:r>
        <w:r w:rsidR="00FE1145">
          <w:rPr>
            <w:webHidden/>
          </w:rPr>
          <w:tab/>
        </w:r>
        <w:r w:rsidR="00FE1145">
          <w:rPr>
            <w:webHidden/>
          </w:rPr>
          <w:fldChar w:fldCharType="begin"/>
        </w:r>
        <w:r w:rsidR="00FE1145">
          <w:rPr>
            <w:webHidden/>
          </w:rPr>
          <w:instrText xml:space="preserve"> PAGEREF _Toc463351327 \h </w:instrText>
        </w:r>
        <w:r w:rsidR="00FE1145">
          <w:rPr>
            <w:webHidden/>
          </w:rPr>
        </w:r>
        <w:r w:rsidR="00FE1145">
          <w:rPr>
            <w:webHidden/>
          </w:rPr>
          <w:fldChar w:fldCharType="separate"/>
        </w:r>
        <w:r w:rsidR="00B73ECC">
          <w:rPr>
            <w:webHidden/>
          </w:rPr>
          <w:t>40</w:t>
        </w:r>
        <w:r w:rsidR="00FE1145">
          <w:rPr>
            <w:webHidden/>
          </w:rPr>
          <w:fldChar w:fldCharType="end"/>
        </w:r>
      </w:hyperlink>
    </w:p>
    <w:p w14:paraId="34CF3147" w14:textId="77777777" w:rsidR="00FE1145" w:rsidRDefault="00D67EC2">
      <w:pPr>
        <w:pStyle w:val="TOC3"/>
        <w:rPr>
          <w:rFonts w:asciiTheme="minorHAnsi" w:eastAsiaTheme="minorEastAsia" w:hAnsiTheme="minorHAnsi" w:cstheme="minorBidi"/>
        </w:rPr>
      </w:pPr>
      <w:hyperlink w:anchor="_Toc463351328" w:history="1">
        <w:r w:rsidR="00FE1145" w:rsidRPr="00BA1828">
          <w:rPr>
            <w:rStyle w:val="Hyperlink"/>
            <w:lang w:val="en-US"/>
          </w:rPr>
          <w:t>Update to the Australian Radiofrequency Spectrum Plan</w:t>
        </w:r>
        <w:r w:rsidR="00FE1145">
          <w:rPr>
            <w:webHidden/>
          </w:rPr>
          <w:tab/>
        </w:r>
        <w:r w:rsidR="00FE1145">
          <w:rPr>
            <w:webHidden/>
          </w:rPr>
          <w:fldChar w:fldCharType="begin"/>
        </w:r>
        <w:r w:rsidR="00FE1145">
          <w:rPr>
            <w:webHidden/>
          </w:rPr>
          <w:instrText xml:space="preserve"> PAGEREF _Toc463351328 \h </w:instrText>
        </w:r>
        <w:r w:rsidR="00FE1145">
          <w:rPr>
            <w:webHidden/>
          </w:rPr>
        </w:r>
        <w:r w:rsidR="00FE1145">
          <w:rPr>
            <w:webHidden/>
          </w:rPr>
          <w:fldChar w:fldCharType="separate"/>
        </w:r>
        <w:r w:rsidR="00B73ECC">
          <w:rPr>
            <w:webHidden/>
          </w:rPr>
          <w:t>41</w:t>
        </w:r>
        <w:r w:rsidR="00FE1145">
          <w:rPr>
            <w:webHidden/>
          </w:rPr>
          <w:fldChar w:fldCharType="end"/>
        </w:r>
      </w:hyperlink>
    </w:p>
    <w:p w14:paraId="0BA247CA" w14:textId="77777777" w:rsidR="00FE1145" w:rsidRDefault="00D67EC2">
      <w:pPr>
        <w:pStyle w:val="TOC2"/>
        <w:rPr>
          <w:rFonts w:asciiTheme="minorHAnsi" w:eastAsiaTheme="minorEastAsia" w:hAnsiTheme="minorHAnsi" w:cstheme="minorBidi"/>
          <w:spacing w:val="0"/>
          <w:sz w:val="22"/>
          <w:szCs w:val="22"/>
        </w:rPr>
      </w:pPr>
      <w:hyperlink w:anchor="_Toc463351329" w:history="1">
        <w:r w:rsidR="00FE1145" w:rsidRPr="00BA1828">
          <w:rPr>
            <w:rStyle w:val="Hyperlink"/>
          </w:rPr>
          <w:t>Band-by band projects 2016–17</w:t>
        </w:r>
        <w:r w:rsidR="00FE1145">
          <w:rPr>
            <w:webHidden/>
          </w:rPr>
          <w:tab/>
        </w:r>
        <w:r w:rsidR="00FE1145">
          <w:rPr>
            <w:webHidden/>
          </w:rPr>
          <w:fldChar w:fldCharType="begin"/>
        </w:r>
        <w:r w:rsidR="00FE1145">
          <w:rPr>
            <w:webHidden/>
          </w:rPr>
          <w:instrText xml:space="preserve"> PAGEREF _Toc463351329 \h </w:instrText>
        </w:r>
        <w:r w:rsidR="00FE1145">
          <w:rPr>
            <w:webHidden/>
          </w:rPr>
        </w:r>
        <w:r w:rsidR="00FE1145">
          <w:rPr>
            <w:webHidden/>
          </w:rPr>
          <w:fldChar w:fldCharType="separate"/>
        </w:r>
        <w:r w:rsidR="00B73ECC">
          <w:rPr>
            <w:webHidden/>
          </w:rPr>
          <w:t>42</w:t>
        </w:r>
        <w:r w:rsidR="00FE1145">
          <w:rPr>
            <w:webHidden/>
          </w:rPr>
          <w:fldChar w:fldCharType="end"/>
        </w:r>
      </w:hyperlink>
    </w:p>
    <w:p w14:paraId="6BA8BF6F" w14:textId="77777777" w:rsidR="00FE1145" w:rsidRDefault="00D67EC2">
      <w:pPr>
        <w:pStyle w:val="TOC2"/>
        <w:rPr>
          <w:rFonts w:asciiTheme="minorHAnsi" w:eastAsiaTheme="minorEastAsia" w:hAnsiTheme="minorHAnsi" w:cstheme="minorBidi"/>
          <w:spacing w:val="0"/>
          <w:sz w:val="22"/>
          <w:szCs w:val="22"/>
        </w:rPr>
      </w:pPr>
      <w:hyperlink w:anchor="_Toc463351330" w:history="1">
        <w:r w:rsidR="00FE1145" w:rsidRPr="00BA1828">
          <w:rPr>
            <w:rStyle w:val="Hyperlink"/>
          </w:rPr>
          <w:t>Regulatory and service-planning projects 2016–17</w:t>
        </w:r>
        <w:r w:rsidR="00FE1145">
          <w:rPr>
            <w:webHidden/>
          </w:rPr>
          <w:tab/>
        </w:r>
        <w:r w:rsidR="00FE1145">
          <w:rPr>
            <w:webHidden/>
          </w:rPr>
          <w:fldChar w:fldCharType="begin"/>
        </w:r>
        <w:r w:rsidR="00FE1145">
          <w:rPr>
            <w:webHidden/>
          </w:rPr>
          <w:instrText xml:space="preserve"> PAGEREF _Toc463351330 \h </w:instrText>
        </w:r>
        <w:r w:rsidR="00FE1145">
          <w:rPr>
            <w:webHidden/>
          </w:rPr>
        </w:r>
        <w:r w:rsidR="00FE1145">
          <w:rPr>
            <w:webHidden/>
          </w:rPr>
          <w:fldChar w:fldCharType="separate"/>
        </w:r>
        <w:r w:rsidR="00B73ECC">
          <w:rPr>
            <w:webHidden/>
          </w:rPr>
          <w:t>44</w:t>
        </w:r>
        <w:r w:rsidR="00FE1145">
          <w:rPr>
            <w:webHidden/>
          </w:rPr>
          <w:fldChar w:fldCharType="end"/>
        </w:r>
      </w:hyperlink>
    </w:p>
    <w:p w14:paraId="43C50839" w14:textId="6AC15BBB" w:rsidR="00FE1145" w:rsidRDefault="00D67EC2">
      <w:pPr>
        <w:pStyle w:val="TOC1"/>
        <w:rPr>
          <w:rFonts w:asciiTheme="minorHAnsi" w:eastAsiaTheme="minorEastAsia" w:hAnsiTheme="minorHAnsi" w:cstheme="minorBidi"/>
          <w:b w:val="0"/>
          <w:spacing w:val="0"/>
          <w:sz w:val="22"/>
          <w:szCs w:val="22"/>
        </w:rPr>
      </w:pPr>
      <w:hyperlink w:anchor="_Toc463351331" w:history="1">
        <w:r w:rsidR="00FE1145" w:rsidRPr="00BA1828">
          <w:rPr>
            <w:rStyle w:val="Hyperlink"/>
          </w:rPr>
          <w:t>Part 3—Mobile broadband work program: October 2016 update</w:t>
        </w:r>
        <w:r w:rsidR="00FE1145">
          <w:rPr>
            <w:webHidden/>
          </w:rPr>
          <w:tab/>
        </w:r>
        <w:r w:rsidR="00FE1145">
          <w:rPr>
            <w:webHidden/>
          </w:rPr>
          <w:fldChar w:fldCharType="begin"/>
        </w:r>
        <w:r w:rsidR="00FE1145">
          <w:rPr>
            <w:webHidden/>
          </w:rPr>
          <w:instrText xml:space="preserve"> PAGEREF _Toc463351331 \h </w:instrText>
        </w:r>
        <w:r w:rsidR="00FE1145">
          <w:rPr>
            <w:webHidden/>
          </w:rPr>
        </w:r>
        <w:r w:rsidR="00FE1145">
          <w:rPr>
            <w:webHidden/>
          </w:rPr>
          <w:fldChar w:fldCharType="separate"/>
        </w:r>
        <w:r w:rsidR="00B73ECC">
          <w:rPr>
            <w:webHidden/>
          </w:rPr>
          <w:t>51</w:t>
        </w:r>
        <w:r w:rsidR="00FE1145">
          <w:rPr>
            <w:webHidden/>
          </w:rPr>
          <w:fldChar w:fldCharType="end"/>
        </w:r>
      </w:hyperlink>
    </w:p>
    <w:p w14:paraId="78D95922" w14:textId="77777777" w:rsidR="00FE1145" w:rsidRDefault="00D67EC2">
      <w:pPr>
        <w:pStyle w:val="TOC2"/>
        <w:rPr>
          <w:rFonts w:asciiTheme="minorHAnsi" w:eastAsiaTheme="minorEastAsia" w:hAnsiTheme="minorHAnsi" w:cstheme="minorBidi"/>
          <w:spacing w:val="0"/>
          <w:sz w:val="22"/>
          <w:szCs w:val="22"/>
        </w:rPr>
      </w:pPr>
      <w:hyperlink w:anchor="_Toc463351332" w:history="1">
        <w:r w:rsidR="00FE1145" w:rsidRPr="00BA1828">
          <w:rPr>
            <w:rStyle w:val="Hyperlink"/>
          </w:rPr>
          <w:t>Monitoring</w:t>
        </w:r>
        <w:r w:rsidR="00FE1145">
          <w:rPr>
            <w:webHidden/>
          </w:rPr>
          <w:tab/>
        </w:r>
        <w:r w:rsidR="00FE1145">
          <w:rPr>
            <w:webHidden/>
          </w:rPr>
          <w:fldChar w:fldCharType="begin"/>
        </w:r>
        <w:r w:rsidR="00FE1145">
          <w:rPr>
            <w:webHidden/>
          </w:rPr>
          <w:instrText xml:space="preserve"> PAGEREF _Toc463351332 \h </w:instrText>
        </w:r>
        <w:r w:rsidR="00FE1145">
          <w:rPr>
            <w:webHidden/>
          </w:rPr>
        </w:r>
        <w:r w:rsidR="00FE1145">
          <w:rPr>
            <w:webHidden/>
          </w:rPr>
          <w:fldChar w:fldCharType="separate"/>
        </w:r>
        <w:r w:rsidR="00B73ECC">
          <w:rPr>
            <w:webHidden/>
          </w:rPr>
          <w:t>56</w:t>
        </w:r>
        <w:r w:rsidR="00FE1145">
          <w:rPr>
            <w:webHidden/>
          </w:rPr>
          <w:fldChar w:fldCharType="end"/>
        </w:r>
      </w:hyperlink>
    </w:p>
    <w:p w14:paraId="453D52CE" w14:textId="77777777" w:rsidR="00FE1145" w:rsidRDefault="00D67EC2">
      <w:pPr>
        <w:pStyle w:val="TOC3"/>
        <w:rPr>
          <w:rFonts w:asciiTheme="minorHAnsi" w:eastAsiaTheme="minorEastAsia" w:hAnsiTheme="minorHAnsi" w:cstheme="minorBidi"/>
        </w:rPr>
      </w:pPr>
      <w:hyperlink w:anchor="_Toc463351333" w:history="1">
        <w:r w:rsidR="00FE1145" w:rsidRPr="00BA1828">
          <w:rPr>
            <w:rStyle w:val="Hyperlink"/>
          </w:rPr>
          <w:t>600 MHz (520–694 MHz)</w:t>
        </w:r>
        <w:r w:rsidR="00FE1145">
          <w:rPr>
            <w:webHidden/>
          </w:rPr>
          <w:tab/>
        </w:r>
        <w:r w:rsidR="00FE1145">
          <w:rPr>
            <w:webHidden/>
          </w:rPr>
          <w:fldChar w:fldCharType="begin"/>
        </w:r>
        <w:r w:rsidR="00FE1145">
          <w:rPr>
            <w:webHidden/>
          </w:rPr>
          <w:instrText xml:space="preserve"> PAGEREF _Toc463351333 \h </w:instrText>
        </w:r>
        <w:r w:rsidR="00FE1145">
          <w:rPr>
            <w:webHidden/>
          </w:rPr>
        </w:r>
        <w:r w:rsidR="00FE1145">
          <w:rPr>
            <w:webHidden/>
          </w:rPr>
          <w:fldChar w:fldCharType="separate"/>
        </w:r>
        <w:r w:rsidR="00B73ECC">
          <w:rPr>
            <w:webHidden/>
          </w:rPr>
          <w:t>57</w:t>
        </w:r>
        <w:r w:rsidR="00FE1145">
          <w:rPr>
            <w:webHidden/>
          </w:rPr>
          <w:fldChar w:fldCharType="end"/>
        </w:r>
      </w:hyperlink>
    </w:p>
    <w:p w14:paraId="5C9E8093" w14:textId="3225C0FC" w:rsidR="00FE1145" w:rsidRDefault="00D67EC2">
      <w:pPr>
        <w:pStyle w:val="TOC3"/>
        <w:rPr>
          <w:rFonts w:asciiTheme="minorHAnsi" w:eastAsiaTheme="minorEastAsia" w:hAnsiTheme="minorHAnsi" w:cstheme="minorBidi"/>
        </w:rPr>
      </w:pPr>
      <w:hyperlink w:anchor="_Toc463351334" w:history="1">
        <w:r w:rsidR="005356C6">
          <w:rPr>
            <w:rStyle w:val="Hyperlink"/>
          </w:rPr>
          <w:t>3.3 GHz (3300–3</w:t>
        </w:r>
        <w:r w:rsidR="00FE1145" w:rsidRPr="00BA1828">
          <w:rPr>
            <w:rStyle w:val="Hyperlink"/>
          </w:rPr>
          <w:t>400 MHz)</w:t>
        </w:r>
        <w:r w:rsidR="00FE1145">
          <w:rPr>
            <w:webHidden/>
          </w:rPr>
          <w:tab/>
        </w:r>
        <w:r w:rsidR="00FE1145">
          <w:rPr>
            <w:webHidden/>
          </w:rPr>
          <w:fldChar w:fldCharType="begin"/>
        </w:r>
        <w:r w:rsidR="00FE1145">
          <w:rPr>
            <w:webHidden/>
          </w:rPr>
          <w:instrText xml:space="preserve"> PAGEREF _Toc463351334 \h </w:instrText>
        </w:r>
        <w:r w:rsidR="00FE1145">
          <w:rPr>
            <w:webHidden/>
          </w:rPr>
        </w:r>
        <w:r w:rsidR="00FE1145">
          <w:rPr>
            <w:webHidden/>
          </w:rPr>
          <w:fldChar w:fldCharType="separate"/>
        </w:r>
        <w:r w:rsidR="00B73ECC">
          <w:rPr>
            <w:webHidden/>
          </w:rPr>
          <w:t>59</w:t>
        </w:r>
        <w:r w:rsidR="00FE1145">
          <w:rPr>
            <w:webHidden/>
          </w:rPr>
          <w:fldChar w:fldCharType="end"/>
        </w:r>
      </w:hyperlink>
    </w:p>
    <w:p w14:paraId="47B77C24" w14:textId="77777777" w:rsidR="00FE1145" w:rsidRDefault="00D67EC2">
      <w:pPr>
        <w:pStyle w:val="TOC3"/>
        <w:rPr>
          <w:rFonts w:asciiTheme="minorHAnsi" w:eastAsiaTheme="minorEastAsia" w:hAnsiTheme="minorHAnsi" w:cstheme="minorBidi"/>
        </w:rPr>
      </w:pPr>
      <w:hyperlink w:anchor="_Toc463351335" w:history="1">
        <w:r w:rsidR="00FE1145" w:rsidRPr="00BA1828">
          <w:rPr>
            <w:rStyle w:val="Hyperlink"/>
          </w:rPr>
          <w:t>4.9 GHz (4800–4990 MHz)</w:t>
        </w:r>
        <w:r w:rsidR="00FE1145">
          <w:rPr>
            <w:webHidden/>
          </w:rPr>
          <w:tab/>
        </w:r>
        <w:r w:rsidR="00FE1145">
          <w:rPr>
            <w:webHidden/>
          </w:rPr>
          <w:fldChar w:fldCharType="begin"/>
        </w:r>
        <w:r w:rsidR="00FE1145">
          <w:rPr>
            <w:webHidden/>
          </w:rPr>
          <w:instrText xml:space="preserve"> PAGEREF _Toc463351335 \h </w:instrText>
        </w:r>
        <w:r w:rsidR="00FE1145">
          <w:rPr>
            <w:webHidden/>
          </w:rPr>
        </w:r>
        <w:r w:rsidR="00FE1145">
          <w:rPr>
            <w:webHidden/>
          </w:rPr>
          <w:fldChar w:fldCharType="separate"/>
        </w:r>
        <w:r w:rsidR="00B73ECC">
          <w:rPr>
            <w:webHidden/>
          </w:rPr>
          <w:t>60</w:t>
        </w:r>
        <w:r w:rsidR="00FE1145">
          <w:rPr>
            <w:webHidden/>
          </w:rPr>
          <w:fldChar w:fldCharType="end"/>
        </w:r>
      </w:hyperlink>
    </w:p>
    <w:p w14:paraId="65224AC4" w14:textId="77777777" w:rsidR="00FE1145" w:rsidRDefault="00D67EC2">
      <w:pPr>
        <w:pStyle w:val="TOC3"/>
        <w:rPr>
          <w:rFonts w:asciiTheme="minorHAnsi" w:eastAsiaTheme="minorEastAsia" w:hAnsiTheme="minorHAnsi" w:cstheme="minorBidi"/>
        </w:rPr>
      </w:pPr>
      <w:hyperlink w:anchor="_Toc463351336" w:history="1">
        <w:r w:rsidR="00FE1145" w:rsidRPr="00BA1828">
          <w:rPr>
            <w:rStyle w:val="Hyperlink"/>
          </w:rPr>
          <w:t>Bands being studied under WRC-19 agenda item 1.16</w:t>
        </w:r>
        <w:r w:rsidR="00FE1145">
          <w:rPr>
            <w:webHidden/>
          </w:rPr>
          <w:tab/>
        </w:r>
        <w:r w:rsidR="00FE1145">
          <w:rPr>
            <w:webHidden/>
          </w:rPr>
          <w:fldChar w:fldCharType="begin"/>
        </w:r>
        <w:r w:rsidR="00FE1145">
          <w:rPr>
            <w:webHidden/>
          </w:rPr>
          <w:instrText xml:space="preserve"> PAGEREF _Toc463351336 \h </w:instrText>
        </w:r>
        <w:r w:rsidR="00FE1145">
          <w:rPr>
            <w:webHidden/>
          </w:rPr>
        </w:r>
        <w:r w:rsidR="00FE1145">
          <w:rPr>
            <w:webHidden/>
          </w:rPr>
          <w:fldChar w:fldCharType="separate"/>
        </w:r>
        <w:r w:rsidR="00B73ECC">
          <w:rPr>
            <w:webHidden/>
          </w:rPr>
          <w:t>61</w:t>
        </w:r>
        <w:r w:rsidR="00FE1145">
          <w:rPr>
            <w:webHidden/>
          </w:rPr>
          <w:fldChar w:fldCharType="end"/>
        </w:r>
      </w:hyperlink>
    </w:p>
    <w:p w14:paraId="6F9B2B4D" w14:textId="77777777" w:rsidR="00FE1145" w:rsidRDefault="00D67EC2">
      <w:pPr>
        <w:pStyle w:val="TOC3"/>
        <w:rPr>
          <w:rFonts w:asciiTheme="minorHAnsi" w:eastAsiaTheme="minorEastAsia" w:hAnsiTheme="minorHAnsi" w:cstheme="minorBidi"/>
        </w:rPr>
      </w:pPr>
      <w:hyperlink w:anchor="_Toc463351337" w:history="1">
        <w:r w:rsidR="00FE1145" w:rsidRPr="00BA1828">
          <w:rPr>
            <w:rStyle w:val="Hyperlink"/>
          </w:rPr>
          <w:t>Bands being studied under WRC-19 agenda item 1.13</w:t>
        </w:r>
        <w:r w:rsidR="00FE1145">
          <w:rPr>
            <w:webHidden/>
          </w:rPr>
          <w:tab/>
        </w:r>
        <w:r w:rsidR="00FE1145">
          <w:rPr>
            <w:webHidden/>
          </w:rPr>
          <w:fldChar w:fldCharType="begin"/>
        </w:r>
        <w:r w:rsidR="00FE1145">
          <w:rPr>
            <w:webHidden/>
          </w:rPr>
          <w:instrText xml:space="preserve"> PAGEREF _Toc463351337 \h </w:instrText>
        </w:r>
        <w:r w:rsidR="00FE1145">
          <w:rPr>
            <w:webHidden/>
          </w:rPr>
        </w:r>
        <w:r w:rsidR="00FE1145">
          <w:rPr>
            <w:webHidden/>
          </w:rPr>
          <w:fldChar w:fldCharType="separate"/>
        </w:r>
        <w:r w:rsidR="00B73ECC">
          <w:rPr>
            <w:webHidden/>
          </w:rPr>
          <w:t>62</w:t>
        </w:r>
        <w:r w:rsidR="00FE1145">
          <w:rPr>
            <w:webHidden/>
          </w:rPr>
          <w:fldChar w:fldCharType="end"/>
        </w:r>
      </w:hyperlink>
    </w:p>
    <w:p w14:paraId="2ED90A9B" w14:textId="77777777" w:rsidR="00FE1145" w:rsidRDefault="00D67EC2">
      <w:pPr>
        <w:pStyle w:val="TOC3"/>
        <w:rPr>
          <w:rFonts w:asciiTheme="minorHAnsi" w:eastAsiaTheme="minorEastAsia" w:hAnsiTheme="minorHAnsi" w:cstheme="minorBidi"/>
        </w:rPr>
      </w:pPr>
      <w:hyperlink w:anchor="_Toc463351338" w:history="1">
        <w:r w:rsidR="00FE1145" w:rsidRPr="00BA1828">
          <w:rPr>
            <w:rStyle w:val="Hyperlink"/>
          </w:rPr>
          <w:t>Bands being considered internationally for 5G</w:t>
        </w:r>
        <w:r w:rsidR="00FE1145">
          <w:rPr>
            <w:webHidden/>
          </w:rPr>
          <w:tab/>
        </w:r>
        <w:r w:rsidR="00FE1145">
          <w:rPr>
            <w:webHidden/>
          </w:rPr>
          <w:fldChar w:fldCharType="begin"/>
        </w:r>
        <w:r w:rsidR="00FE1145">
          <w:rPr>
            <w:webHidden/>
          </w:rPr>
          <w:instrText xml:space="preserve"> PAGEREF _Toc463351338 \h </w:instrText>
        </w:r>
        <w:r w:rsidR="00FE1145">
          <w:rPr>
            <w:webHidden/>
          </w:rPr>
        </w:r>
        <w:r w:rsidR="00FE1145">
          <w:rPr>
            <w:webHidden/>
          </w:rPr>
          <w:fldChar w:fldCharType="separate"/>
        </w:r>
        <w:r w:rsidR="00B73ECC">
          <w:rPr>
            <w:webHidden/>
          </w:rPr>
          <w:t>63</w:t>
        </w:r>
        <w:r w:rsidR="00FE1145">
          <w:rPr>
            <w:webHidden/>
          </w:rPr>
          <w:fldChar w:fldCharType="end"/>
        </w:r>
      </w:hyperlink>
    </w:p>
    <w:p w14:paraId="5778A9DC" w14:textId="77777777" w:rsidR="00FE1145" w:rsidRDefault="00D67EC2">
      <w:pPr>
        <w:pStyle w:val="TOC2"/>
        <w:rPr>
          <w:rFonts w:asciiTheme="minorHAnsi" w:eastAsiaTheme="minorEastAsia" w:hAnsiTheme="minorHAnsi" w:cstheme="minorBidi"/>
          <w:spacing w:val="0"/>
          <w:sz w:val="22"/>
          <w:szCs w:val="22"/>
        </w:rPr>
      </w:pPr>
      <w:hyperlink w:anchor="_Toc463351339" w:history="1">
        <w:r w:rsidR="00FE1145" w:rsidRPr="00BA1828">
          <w:rPr>
            <w:rStyle w:val="Hyperlink"/>
          </w:rPr>
          <w:t>Initial investigation</w:t>
        </w:r>
        <w:r w:rsidR="00FE1145">
          <w:rPr>
            <w:webHidden/>
          </w:rPr>
          <w:tab/>
        </w:r>
        <w:r w:rsidR="00FE1145">
          <w:rPr>
            <w:webHidden/>
          </w:rPr>
          <w:fldChar w:fldCharType="begin"/>
        </w:r>
        <w:r w:rsidR="00FE1145">
          <w:rPr>
            <w:webHidden/>
          </w:rPr>
          <w:instrText xml:space="preserve"> PAGEREF _Toc463351339 \h </w:instrText>
        </w:r>
        <w:r w:rsidR="00FE1145">
          <w:rPr>
            <w:webHidden/>
          </w:rPr>
        </w:r>
        <w:r w:rsidR="00FE1145">
          <w:rPr>
            <w:webHidden/>
          </w:rPr>
          <w:fldChar w:fldCharType="separate"/>
        </w:r>
        <w:r w:rsidR="00B73ECC">
          <w:rPr>
            <w:webHidden/>
          </w:rPr>
          <w:t>64</w:t>
        </w:r>
        <w:r w:rsidR="00FE1145">
          <w:rPr>
            <w:webHidden/>
          </w:rPr>
          <w:fldChar w:fldCharType="end"/>
        </w:r>
      </w:hyperlink>
    </w:p>
    <w:p w14:paraId="4B1936B0" w14:textId="77777777" w:rsidR="00FE1145" w:rsidRDefault="00D67EC2">
      <w:pPr>
        <w:pStyle w:val="TOC3"/>
        <w:rPr>
          <w:rFonts w:asciiTheme="minorHAnsi" w:eastAsiaTheme="minorEastAsia" w:hAnsiTheme="minorHAnsi" w:cstheme="minorBidi"/>
        </w:rPr>
      </w:pPr>
      <w:hyperlink w:anchor="_Toc463351340" w:history="1">
        <w:r w:rsidR="00FE1145" w:rsidRPr="00BA1828">
          <w:rPr>
            <w:rStyle w:val="Hyperlink"/>
          </w:rPr>
          <w:t>1.5 GHz band (1427–1518 MHz)</w:t>
        </w:r>
        <w:r w:rsidR="00FE1145">
          <w:rPr>
            <w:webHidden/>
          </w:rPr>
          <w:tab/>
        </w:r>
        <w:r w:rsidR="00FE1145">
          <w:rPr>
            <w:webHidden/>
          </w:rPr>
          <w:fldChar w:fldCharType="begin"/>
        </w:r>
        <w:r w:rsidR="00FE1145">
          <w:rPr>
            <w:webHidden/>
          </w:rPr>
          <w:instrText xml:space="preserve"> PAGEREF _Toc463351340 \h </w:instrText>
        </w:r>
        <w:r w:rsidR="00FE1145">
          <w:rPr>
            <w:webHidden/>
          </w:rPr>
        </w:r>
        <w:r w:rsidR="00FE1145">
          <w:rPr>
            <w:webHidden/>
          </w:rPr>
          <w:fldChar w:fldCharType="separate"/>
        </w:r>
        <w:r w:rsidR="00B73ECC">
          <w:rPr>
            <w:webHidden/>
          </w:rPr>
          <w:t>64</w:t>
        </w:r>
        <w:r w:rsidR="00FE1145">
          <w:rPr>
            <w:webHidden/>
          </w:rPr>
          <w:fldChar w:fldCharType="end"/>
        </w:r>
      </w:hyperlink>
    </w:p>
    <w:p w14:paraId="2153C8A5" w14:textId="77777777" w:rsidR="00FE1145" w:rsidRDefault="00D67EC2">
      <w:pPr>
        <w:pStyle w:val="TOC3"/>
        <w:rPr>
          <w:rFonts w:asciiTheme="minorHAnsi" w:eastAsiaTheme="minorEastAsia" w:hAnsiTheme="minorHAnsi" w:cstheme="minorBidi"/>
        </w:rPr>
      </w:pPr>
      <w:hyperlink w:anchor="_Toc463351341" w:history="1">
        <w:r w:rsidR="00FE1145" w:rsidRPr="00BA1828">
          <w:rPr>
            <w:rStyle w:val="Hyperlink"/>
          </w:rPr>
          <w:t>2 GHz (1980–2010 MHz and 2170–2200 MHz)</w:t>
        </w:r>
        <w:r w:rsidR="00FE1145">
          <w:rPr>
            <w:webHidden/>
          </w:rPr>
          <w:tab/>
        </w:r>
        <w:r w:rsidR="00FE1145">
          <w:rPr>
            <w:webHidden/>
          </w:rPr>
          <w:fldChar w:fldCharType="begin"/>
        </w:r>
        <w:r w:rsidR="00FE1145">
          <w:rPr>
            <w:webHidden/>
          </w:rPr>
          <w:instrText xml:space="preserve"> PAGEREF _Toc463351341 \h </w:instrText>
        </w:r>
        <w:r w:rsidR="00FE1145">
          <w:rPr>
            <w:webHidden/>
          </w:rPr>
        </w:r>
        <w:r w:rsidR="00FE1145">
          <w:rPr>
            <w:webHidden/>
          </w:rPr>
          <w:fldChar w:fldCharType="separate"/>
        </w:r>
        <w:r w:rsidR="00B73ECC">
          <w:rPr>
            <w:webHidden/>
          </w:rPr>
          <w:t>66</w:t>
        </w:r>
        <w:r w:rsidR="00FE1145">
          <w:rPr>
            <w:webHidden/>
          </w:rPr>
          <w:fldChar w:fldCharType="end"/>
        </w:r>
      </w:hyperlink>
    </w:p>
    <w:p w14:paraId="26451917" w14:textId="77777777" w:rsidR="00FE1145" w:rsidRDefault="00D67EC2">
      <w:pPr>
        <w:pStyle w:val="TOC3"/>
        <w:rPr>
          <w:rFonts w:asciiTheme="minorHAnsi" w:eastAsiaTheme="minorEastAsia" w:hAnsiTheme="minorHAnsi" w:cstheme="minorBidi"/>
        </w:rPr>
      </w:pPr>
      <w:hyperlink w:anchor="_Toc463351342" w:history="1">
        <w:r w:rsidR="00FE1145" w:rsidRPr="00BA1828">
          <w:rPr>
            <w:rStyle w:val="Hyperlink"/>
          </w:rPr>
          <w:t>3.6 GHz (3575–3700 MHz)</w:t>
        </w:r>
        <w:r w:rsidR="00FE1145">
          <w:rPr>
            <w:webHidden/>
          </w:rPr>
          <w:tab/>
        </w:r>
        <w:r w:rsidR="00FE1145">
          <w:rPr>
            <w:webHidden/>
          </w:rPr>
          <w:fldChar w:fldCharType="begin"/>
        </w:r>
        <w:r w:rsidR="00FE1145">
          <w:rPr>
            <w:webHidden/>
          </w:rPr>
          <w:instrText xml:space="preserve"> PAGEREF _Toc463351342 \h </w:instrText>
        </w:r>
        <w:r w:rsidR="00FE1145">
          <w:rPr>
            <w:webHidden/>
          </w:rPr>
        </w:r>
        <w:r w:rsidR="00FE1145">
          <w:rPr>
            <w:webHidden/>
          </w:rPr>
          <w:fldChar w:fldCharType="separate"/>
        </w:r>
        <w:r w:rsidR="00B73ECC">
          <w:rPr>
            <w:webHidden/>
          </w:rPr>
          <w:t>67</w:t>
        </w:r>
        <w:r w:rsidR="00FE1145">
          <w:rPr>
            <w:webHidden/>
          </w:rPr>
          <w:fldChar w:fldCharType="end"/>
        </w:r>
      </w:hyperlink>
    </w:p>
    <w:p w14:paraId="43E05535" w14:textId="77777777" w:rsidR="00FE1145" w:rsidRDefault="00D67EC2">
      <w:pPr>
        <w:pStyle w:val="TOC2"/>
        <w:rPr>
          <w:rFonts w:asciiTheme="minorHAnsi" w:eastAsiaTheme="minorEastAsia" w:hAnsiTheme="minorHAnsi" w:cstheme="minorBidi"/>
          <w:spacing w:val="0"/>
          <w:sz w:val="22"/>
          <w:szCs w:val="22"/>
        </w:rPr>
      </w:pPr>
      <w:hyperlink w:anchor="_Toc463351343" w:history="1">
        <w:r w:rsidR="00FE1145" w:rsidRPr="00BA1828">
          <w:rPr>
            <w:rStyle w:val="Hyperlink"/>
          </w:rPr>
          <w:t>Preliminary replanning</w:t>
        </w:r>
        <w:r w:rsidR="00FE1145">
          <w:rPr>
            <w:webHidden/>
          </w:rPr>
          <w:tab/>
        </w:r>
        <w:r w:rsidR="00FE1145">
          <w:rPr>
            <w:webHidden/>
          </w:rPr>
          <w:fldChar w:fldCharType="begin"/>
        </w:r>
        <w:r w:rsidR="00FE1145">
          <w:rPr>
            <w:webHidden/>
          </w:rPr>
          <w:instrText xml:space="preserve"> PAGEREF _Toc463351343 \h </w:instrText>
        </w:r>
        <w:r w:rsidR="00FE1145">
          <w:rPr>
            <w:webHidden/>
          </w:rPr>
        </w:r>
        <w:r w:rsidR="00FE1145">
          <w:rPr>
            <w:webHidden/>
          </w:rPr>
          <w:fldChar w:fldCharType="separate"/>
        </w:r>
        <w:r w:rsidR="00B73ECC">
          <w:rPr>
            <w:webHidden/>
          </w:rPr>
          <w:t>68</w:t>
        </w:r>
        <w:r w:rsidR="00FE1145">
          <w:rPr>
            <w:webHidden/>
          </w:rPr>
          <w:fldChar w:fldCharType="end"/>
        </w:r>
      </w:hyperlink>
    </w:p>
    <w:p w14:paraId="1031A188" w14:textId="77777777" w:rsidR="00FE1145" w:rsidRDefault="00D67EC2">
      <w:pPr>
        <w:pStyle w:val="TOC2"/>
        <w:rPr>
          <w:rFonts w:asciiTheme="minorHAnsi" w:eastAsiaTheme="minorEastAsia" w:hAnsiTheme="minorHAnsi" w:cstheme="minorBidi"/>
          <w:spacing w:val="0"/>
          <w:sz w:val="22"/>
          <w:szCs w:val="22"/>
        </w:rPr>
      </w:pPr>
      <w:hyperlink w:anchor="_Toc463351344" w:history="1">
        <w:r w:rsidR="00FE1145" w:rsidRPr="00BA1828">
          <w:rPr>
            <w:rStyle w:val="Hyperlink"/>
          </w:rPr>
          <w:t>Re-farming</w:t>
        </w:r>
        <w:r w:rsidR="00FE1145">
          <w:rPr>
            <w:webHidden/>
          </w:rPr>
          <w:tab/>
        </w:r>
        <w:r w:rsidR="00FE1145">
          <w:rPr>
            <w:webHidden/>
          </w:rPr>
          <w:fldChar w:fldCharType="begin"/>
        </w:r>
        <w:r w:rsidR="00FE1145">
          <w:rPr>
            <w:webHidden/>
          </w:rPr>
          <w:instrText xml:space="preserve"> PAGEREF _Toc463351344 \h </w:instrText>
        </w:r>
        <w:r w:rsidR="00FE1145">
          <w:rPr>
            <w:webHidden/>
          </w:rPr>
        </w:r>
        <w:r w:rsidR="00FE1145">
          <w:rPr>
            <w:webHidden/>
          </w:rPr>
          <w:fldChar w:fldCharType="separate"/>
        </w:r>
        <w:r w:rsidR="00B73ECC">
          <w:rPr>
            <w:webHidden/>
          </w:rPr>
          <w:t>68</w:t>
        </w:r>
        <w:r w:rsidR="00FE1145">
          <w:rPr>
            <w:webHidden/>
          </w:rPr>
          <w:fldChar w:fldCharType="end"/>
        </w:r>
      </w:hyperlink>
    </w:p>
    <w:p w14:paraId="5B0E98A0" w14:textId="77777777" w:rsidR="00FE1145" w:rsidRDefault="00D67EC2">
      <w:pPr>
        <w:pStyle w:val="TOC3"/>
        <w:rPr>
          <w:rFonts w:asciiTheme="minorHAnsi" w:eastAsiaTheme="minorEastAsia" w:hAnsiTheme="minorHAnsi" w:cstheme="minorBidi"/>
        </w:rPr>
      </w:pPr>
      <w:hyperlink w:anchor="_Toc463351345" w:history="1">
        <w:r w:rsidR="00FE1145" w:rsidRPr="00BA1828">
          <w:rPr>
            <w:rStyle w:val="Hyperlink"/>
          </w:rPr>
          <w:t>Spectrum available for the licensing of mobile broadband services</w:t>
        </w:r>
        <w:r w:rsidR="00FE1145">
          <w:rPr>
            <w:webHidden/>
          </w:rPr>
          <w:tab/>
        </w:r>
        <w:r w:rsidR="00FE1145">
          <w:rPr>
            <w:webHidden/>
          </w:rPr>
          <w:fldChar w:fldCharType="begin"/>
        </w:r>
        <w:r w:rsidR="00FE1145">
          <w:rPr>
            <w:webHidden/>
          </w:rPr>
          <w:instrText xml:space="preserve"> PAGEREF _Toc463351345 \h </w:instrText>
        </w:r>
        <w:r w:rsidR="00FE1145">
          <w:rPr>
            <w:webHidden/>
          </w:rPr>
        </w:r>
        <w:r w:rsidR="00FE1145">
          <w:rPr>
            <w:webHidden/>
          </w:rPr>
          <w:fldChar w:fldCharType="separate"/>
        </w:r>
        <w:r w:rsidR="00B73ECC">
          <w:rPr>
            <w:webHidden/>
          </w:rPr>
          <w:t>69</w:t>
        </w:r>
        <w:r w:rsidR="00FE1145">
          <w:rPr>
            <w:webHidden/>
          </w:rPr>
          <w:fldChar w:fldCharType="end"/>
        </w:r>
      </w:hyperlink>
    </w:p>
    <w:p w14:paraId="5A021122" w14:textId="77777777" w:rsidR="00FE1145" w:rsidRDefault="00D67EC2">
      <w:pPr>
        <w:pStyle w:val="TOC3"/>
        <w:rPr>
          <w:rFonts w:asciiTheme="minorHAnsi" w:eastAsiaTheme="minorEastAsia" w:hAnsiTheme="minorHAnsi" w:cstheme="minorBidi"/>
        </w:rPr>
      </w:pPr>
      <w:hyperlink w:anchor="_Toc463351346" w:history="1">
        <w:r w:rsidR="00FE1145" w:rsidRPr="00BA1828">
          <w:rPr>
            <w:rStyle w:val="Hyperlink"/>
          </w:rPr>
          <w:t>850 MHz expansion band (809–824 MHz and 854–869 MHz)</w:t>
        </w:r>
        <w:r w:rsidR="00FE1145">
          <w:rPr>
            <w:webHidden/>
          </w:rPr>
          <w:tab/>
        </w:r>
        <w:r w:rsidR="00FE1145">
          <w:rPr>
            <w:webHidden/>
          </w:rPr>
          <w:fldChar w:fldCharType="begin"/>
        </w:r>
        <w:r w:rsidR="00FE1145">
          <w:rPr>
            <w:webHidden/>
          </w:rPr>
          <w:instrText xml:space="preserve"> PAGEREF _Toc463351346 \h </w:instrText>
        </w:r>
        <w:r w:rsidR="00FE1145">
          <w:rPr>
            <w:webHidden/>
          </w:rPr>
        </w:r>
        <w:r w:rsidR="00FE1145">
          <w:rPr>
            <w:webHidden/>
          </w:rPr>
          <w:fldChar w:fldCharType="separate"/>
        </w:r>
        <w:r w:rsidR="00B73ECC">
          <w:rPr>
            <w:webHidden/>
          </w:rPr>
          <w:t>69</w:t>
        </w:r>
        <w:r w:rsidR="00FE1145">
          <w:rPr>
            <w:webHidden/>
          </w:rPr>
          <w:fldChar w:fldCharType="end"/>
        </w:r>
      </w:hyperlink>
    </w:p>
    <w:p w14:paraId="1C582B7B" w14:textId="77777777" w:rsidR="00FE1145" w:rsidRDefault="00D67EC2">
      <w:pPr>
        <w:pStyle w:val="TOC3"/>
        <w:rPr>
          <w:rFonts w:asciiTheme="minorHAnsi" w:eastAsiaTheme="minorEastAsia" w:hAnsiTheme="minorHAnsi" w:cstheme="minorBidi"/>
        </w:rPr>
      </w:pPr>
      <w:hyperlink w:anchor="_Toc463351347" w:history="1">
        <w:r w:rsidR="00FE1145" w:rsidRPr="00BA1828">
          <w:rPr>
            <w:rStyle w:val="Hyperlink"/>
          </w:rPr>
          <w:t>900 MHz (890–915 MHz and 935–960 MHz)</w:t>
        </w:r>
        <w:r w:rsidR="00FE1145">
          <w:rPr>
            <w:webHidden/>
          </w:rPr>
          <w:tab/>
        </w:r>
        <w:r w:rsidR="00FE1145">
          <w:rPr>
            <w:webHidden/>
          </w:rPr>
          <w:fldChar w:fldCharType="begin"/>
        </w:r>
        <w:r w:rsidR="00FE1145">
          <w:rPr>
            <w:webHidden/>
          </w:rPr>
          <w:instrText xml:space="preserve"> PAGEREF _Toc463351347 \h </w:instrText>
        </w:r>
        <w:r w:rsidR="00FE1145">
          <w:rPr>
            <w:webHidden/>
          </w:rPr>
        </w:r>
        <w:r w:rsidR="00FE1145">
          <w:rPr>
            <w:webHidden/>
          </w:rPr>
          <w:fldChar w:fldCharType="separate"/>
        </w:r>
        <w:r w:rsidR="00B73ECC">
          <w:rPr>
            <w:webHidden/>
          </w:rPr>
          <w:t>70</w:t>
        </w:r>
        <w:r w:rsidR="00FE1145">
          <w:rPr>
            <w:webHidden/>
          </w:rPr>
          <w:fldChar w:fldCharType="end"/>
        </w:r>
      </w:hyperlink>
    </w:p>
    <w:p w14:paraId="7D88D742" w14:textId="37503AC8" w:rsidR="00FE1145" w:rsidRDefault="00D67EC2">
      <w:pPr>
        <w:pStyle w:val="TOC1"/>
        <w:rPr>
          <w:rFonts w:asciiTheme="minorHAnsi" w:eastAsiaTheme="minorEastAsia" w:hAnsiTheme="minorHAnsi" w:cstheme="minorBidi"/>
          <w:b w:val="0"/>
          <w:spacing w:val="0"/>
          <w:sz w:val="22"/>
          <w:szCs w:val="22"/>
        </w:rPr>
      </w:pPr>
      <w:hyperlink w:anchor="_Toc463351348" w:history="1">
        <w:r w:rsidR="00FE1145">
          <w:rPr>
            <w:rStyle w:val="Hyperlink"/>
          </w:rPr>
          <w:t>Part 4—</w:t>
        </w:r>
        <w:r w:rsidR="00FE1145" w:rsidRPr="00BA1828">
          <w:rPr>
            <w:rStyle w:val="Hyperlink"/>
          </w:rPr>
          <w:t>Projected work program 2017–20</w:t>
        </w:r>
        <w:r w:rsidR="00FE1145">
          <w:rPr>
            <w:webHidden/>
          </w:rPr>
          <w:tab/>
        </w:r>
        <w:r w:rsidR="00FE1145">
          <w:rPr>
            <w:webHidden/>
          </w:rPr>
          <w:fldChar w:fldCharType="begin"/>
        </w:r>
        <w:r w:rsidR="00FE1145">
          <w:rPr>
            <w:webHidden/>
          </w:rPr>
          <w:instrText xml:space="preserve"> PAGEREF _Toc463351348 \h </w:instrText>
        </w:r>
        <w:r w:rsidR="00FE1145">
          <w:rPr>
            <w:webHidden/>
          </w:rPr>
        </w:r>
        <w:r w:rsidR="00FE1145">
          <w:rPr>
            <w:webHidden/>
          </w:rPr>
          <w:fldChar w:fldCharType="separate"/>
        </w:r>
        <w:r w:rsidR="00B73ECC">
          <w:rPr>
            <w:webHidden/>
          </w:rPr>
          <w:t>71</w:t>
        </w:r>
        <w:r w:rsidR="00FE1145">
          <w:rPr>
            <w:webHidden/>
          </w:rPr>
          <w:fldChar w:fldCharType="end"/>
        </w:r>
      </w:hyperlink>
    </w:p>
    <w:p w14:paraId="05B70D6B" w14:textId="032DDBCF" w:rsidR="00FE1145" w:rsidRDefault="00D67EC2">
      <w:pPr>
        <w:pStyle w:val="TOC2"/>
        <w:rPr>
          <w:rFonts w:asciiTheme="minorHAnsi" w:eastAsiaTheme="minorEastAsia" w:hAnsiTheme="minorHAnsi" w:cstheme="minorBidi"/>
          <w:spacing w:val="0"/>
          <w:sz w:val="22"/>
          <w:szCs w:val="22"/>
        </w:rPr>
      </w:pPr>
      <w:hyperlink w:anchor="_Toc463351349" w:history="1">
        <w:r w:rsidR="00FE1145" w:rsidRPr="00BA1828">
          <w:rPr>
            <w:rStyle w:val="Hyperlink"/>
            <w:lang w:val="en-US"/>
          </w:rPr>
          <w:t>Purpose</w:t>
        </w:r>
        <w:r w:rsidR="00FE1145">
          <w:rPr>
            <w:rStyle w:val="Hyperlink"/>
            <w:lang w:val="en-US"/>
          </w:rPr>
          <w:tab/>
        </w:r>
        <w:r w:rsidR="00FE1145">
          <w:rPr>
            <w:webHidden/>
          </w:rPr>
          <w:tab/>
        </w:r>
        <w:r w:rsidR="00FE1145">
          <w:rPr>
            <w:webHidden/>
          </w:rPr>
          <w:fldChar w:fldCharType="begin"/>
        </w:r>
        <w:r w:rsidR="00FE1145">
          <w:rPr>
            <w:webHidden/>
          </w:rPr>
          <w:instrText xml:space="preserve"> PAGEREF _Toc463351349 \h </w:instrText>
        </w:r>
        <w:r w:rsidR="00FE1145">
          <w:rPr>
            <w:webHidden/>
          </w:rPr>
        </w:r>
        <w:r w:rsidR="00FE1145">
          <w:rPr>
            <w:webHidden/>
          </w:rPr>
          <w:fldChar w:fldCharType="separate"/>
        </w:r>
        <w:r w:rsidR="00B73ECC">
          <w:rPr>
            <w:webHidden/>
          </w:rPr>
          <w:t>72</w:t>
        </w:r>
        <w:r w:rsidR="00FE1145">
          <w:rPr>
            <w:webHidden/>
          </w:rPr>
          <w:fldChar w:fldCharType="end"/>
        </w:r>
      </w:hyperlink>
    </w:p>
    <w:p w14:paraId="5A8A80E2" w14:textId="77777777" w:rsidR="00FE1145" w:rsidRDefault="00D67EC2">
      <w:pPr>
        <w:pStyle w:val="TOC3"/>
        <w:rPr>
          <w:rFonts w:asciiTheme="minorHAnsi" w:eastAsiaTheme="minorEastAsia" w:hAnsiTheme="minorHAnsi" w:cstheme="minorBidi"/>
        </w:rPr>
      </w:pPr>
      <w:hyperlink w:anchor="_Toc463351350" w:history="1">
        <w:r w:rsidR="00FE1145" w:rsidRPr="00BA1828">
          <w:rPr>
            <w:rStyle w:val="Hyperlink"/>
            <w:lang w:val="en-US"/>
          </w:rPr>
          <w:t>The projected work program</w:t>
        </w:r>
        <w:r w:rsidR="00FE1145">
          <w:rPr>
            <w:webHidden/>
          </w:rPr>
          <w:tab/>
        </w:r>
        <w:r w:rsidR="00FE1145">
          <w:rPr>
            <w:webHidden/>
          </w:rPr>
          <w:fldChar w:fldCharType="begin"/>
        </w:r>
        <w:r w:rsidR="00FE1145">
          <w:rPr>
            <w:webHidden/>
          </w:rPr>
          <w:instrText xml:space="preserve"> PAGEREF _Toc463351350 \h </w:instrText>
        </w:r>
        <w:r w:rsidR="00FE1145">
          <w:rPr>
            <w:webHidden/>
          </w:rPr>
        </w:r>
        <w:r w:rsidR="00FE1145">
          <w:rPr>
            <w:webHidden/>
          </w:rPr>
          <w:fldChar w:fldCharType="separate"/>
        </w:r>
        <w:r w:rsidR="00B73ECC">
          <w:rPr>
            <w:webHidden/>
          </w:rPr>
          <w:t>72</w:t>
        </w:r>
        <w:r w:rsidR="00FE1145">
          <w:rPr>
            <w:webHidden/>
          </w:rPr>
          <w:fldChar w:fldCharType="end"/>
        </w:r>
      </w:hyperlink>
    </w:p>
    <w:p w14:paraId="0E7F5517" w14:textId="77777777" w:rsidR="00FE1145" w:rsidRDefault="00D67EC2">
      <w:pPr>
        <w:pStyle w:val="TOC3"/>
        <w:rPr>
          <w:rFonts w:asciiTheme="minorHAnsi" w:eastAsiaTheme="minorEastAsia" w:hAnsiTheme="minorHAnsi" w:cstheme="minorBidi"/>
        </w:rPr>
      </w:pPr>
      <w:hyperlink w:anchor="_Toc463351351" w:history="1">
        <w:r w:rsidR="00FE1145" w:rsidRPr="00BA1828">
          <w:rPr>
            <w:rStyle w:val="Hyperlink"/>
            <w:lang w:val="en-US"/>
          </w:rPr>
          <w:t>Development of the projected work program</w:t>
        </w:r>
        <w:r w:rsidR="00FE1145">
          <w:rPr>
            <w:webHidden/>
          </w:rPr>
          <w:tab/>
        </w:r>
        <w:r w:rsidR="00FE1145">
          <w:rPr>
            <w:webHidden/>
          </w:rPr>
          <w:fldChar w:fldCharType="begin"/>
        </w:r>
        <w:r w:rsidR="00FE1145">
          <w:rPr>
            <w:webHidden/>
          </w:rPr>
          <w:instrText xml:space="preserve"> PAGEREF _Toc463351351 \h </w:instrText>
        </w:r>
        <w:r w:rsidR="00FE1145">
          <w:rPr>
            <w:webHidden/>
          </w:rPr>
        </w:r>
        <w:r w:rsidR="00FE1145">
          <w:rPr>
            <w:webHidden/>
          </w:rPr>
          <w:fldChar w:fldCharType="separate"/>
        </w:r>
        <w:r w:rsidR="00B73ECC">
          <w:rPr>
            <w:webHidden/>
          </w:rPr>
          <w:t>72</w:t>
        </w:r>
        <w:r w:rsidR="00FE1145">
          <w:rPr>
            <w:webHidden/>
          </w:rPr>
          <w:fldChar w:fldCharType="end"/>
        </w:r>
      </w:hyperlink>
    </w:p>
    <w:p w14:paraId="45F017EA" w14:textId="77777777" w:rsidR="00FE1145" w:rsidRDefault="00D67EC2">
      <w:pPr>
        <w:pStyle w:val="TOC3"/>
        <w:rPr>
          <w:rFonts w:asciiTheme="minorHAnsi" w:eastAsiaTheme="minorEastAsia" w:hAnsiTheme="minorHAnsi" w:cstheme="minorBidi"/>
        </w:rPr>
      </w:pPr>
      <w:hyperlink w:anchor="_Toc463351352" w:history="1">
        <w:r w:rsidR="00FE1145" w:rsidRPr="00BA1828">
          <w:rPr>
            <w:rStyle w:val="Hyperlink"/>
          </w:rPr>
          <w:t>Consultation for spectrum management changes</w:t>
        </w:r>
        <w:r w:rsidR="00FE1145">
          <w:rPr>
            <w:webHidden/>
          </w:rPr>
          <w:tab/>
        </w:r>
        <w:r w:rsidR="00FE1145">
          <w:rPr>
            <w:webHidden/>
          </w:rPr>
          <w:fldChar w:fldCharType="begin"/>
        </w:r>
        <w:r w:rsidR="00FE1145">
          <w:rPr>
            <w:webHidden/>
          </w:rPr>
          <w:instrText xml:space="preserve"> PAGEREF _Toc463351352 \h </w:instrText>
        </w:r>
        <w:r w:rsidR="00FE1145">
          <w:rPr>
            <w:webHidden/>
          </w:rPr>
        </w:r>
        <w:r w:rsidR="00FE1145">
          <w:rPr>
            <w:webHidden/>
          </w:rPr>
          <w:fldChar w:fldCharType="separate"/>
        </w:r>
        <w:r w:rsidR="00B73ECC">
          <w:rPr>
            <w:webHidden/>
          </w:rPr>
          <w:t>72</w:t>
        </w:r>
        <w:r w:rsidR="00FE1145">
          <w:rPr>
            <w:webHidden/>
          </w:rPr>
          <w:fldChar w:fldCharType="end"/>
        </w:r>
      </w:hyperlink>
    </w:p>
    <w:p w14:paraId="26D24D91" w14:textId="77777777" w:rsidR="00FE1145" w:rsidRDefault="00D67EC2">
      <w:pPr>
        <w:pStyle w:val="TOC1"/>
        <w:rPr>
          <w:rFonts w:asciiTheme="minorHAnsi" w:eastAsiaTheme="minorEastAsia" w:hAnsiTheme="minorHAnsi" w:cstheme="minorBidi"/>
          <w:b w:val="0"/>
          <w:spacing w:val="0"/>
          <w:sz w:val="22"/>
          <w:szCs w:val="22"/>
        </w:rPr>
      </w:pPr>
      <w:hyperlink w:anchor="_Toc463351353" w:history="1">
        <w:r w:rsidR="00FE1145" w:rsidRPr="00BA1828">
          <w:rPr>
            <w:rStyle w:val="Hyperlink"/>
          </w:rPr>
          <w:t>Schedule 1: Band-by-band work program</w:t>
        </w:r>
        <w:r w:rsidR="00FE1145">
          <w:rPr>
            <w:webHidden/>
          </w:rPr>
          <w:tab/>
        </w:r>
        <w:r w:rsidR="00FE1145">
          <w:rPr>
            <w:webHidden/>
          </w:rPr>
          <w:fldChar w:fldCharType="begin"/>
        </w:r>
        <w:r w:rsidR="00FE1145">
          <w:rPr>
            <w:webHidden/>
          </w:rPr>
          <w:instrText xml:space="preserve"> PAGEREF _Toc463351353 \h </w:instrText>
        </w:r>
        <w:r w:rsidR="00FE1145">
          <w:rPr>
            <w:webHidden/>
          </w:rPr>
        </w:r>
        <w:r w:rsidR="00FE1145">
          <w:rPr>
            <w:webHidden/>
          </w:rPr>
          <w:fldChar w:fldCharType="separate"/>
        </w:r>
        <w:r w:rsidR="00B73ECC">
          <w:rPr>
            <w:webHidden/>
          </w:rPr>
          <w:t>73</w:t>
        </w:r>
        <w:r w:rsidR="00FE1145">
          <w:rPr>
            <w:webHidden/>
          </w:rPr>
          <w:fldChar w:fldCharType="end"/>
        </w:r>
      </w:hyperlink>
    </w:p>
    <w:p w14:paraId="6CF67A2E" w14:textId="77777777" w:rsidR="00FE1145" w:rsidRDefault="00D67EC2">
      <w:pPr>
        <w:pStyle w:val="TOC2"/>
        <w:rPr>
          <w:rFonts w:asciiTheme="minorHAnsi" w:eastAsiaTheme="minorEastAsia" w:hAnsiTheme="minorHAnsi" w:cstheme="minorBidi"/>
          <w:spacing w:val="0"/>
          <w:sz w:val="22"/>
          <w:szCs w:val="22"/>
        </w:rPr>
      </w:pPr>
      <w:hyperlink w:anchor="_Toc463351354" w:history="1">
        <w:r w:rsidR="00FE1145" w:rsidRPr="00BA1828">
          <w:rPr>
            <w:rStyle w:val="Hyperlink"/>
          </w:rPr>
          <w:t>2017–20</w:t>
        </w:r>
        <w:r w:rsidR="00FE1145">
          <w:rPr>
            <w:webHidden/>
          </w:rPr>
          <w:tab/>
        </w:r>
        <w:r w:rsidR="00FE1145">
          <w:rPr>
            <w:webHidden/>
          </w:rPr>
          <w:fldChar w:fldCharType="begin"/>
        </w:r>
        <w:r w:rsidR="00FE1145">
          <w:rPr>
            <w:webHidden/>
          </w:rPr>
          <w:instrText xml:space="preserve"> PAGEREF _Toc463351354 \h </w:instrText>
        </w:r>
        <w:r w:rsidR="00FE1145">
          <w:rPr>
            <w:webHidden/>
          </w:rPr>
        </w:r>
        <w:r w:rsidR="00FE1145">
          <w:rPr>
            <w:webHidden/>
          </w:rPr>
          <w:fldChar w:fldCharType="separate"/>
        </w:r>
        <w:r w:rsidR="00B73ECC">
          <w:rPr>
            <w:webHidden/>
          </w:rPr>
          <w:t>74</w:t>
        </w:r>
        <w:r w:rsidR="00FE1145">
          <w:rPr>
            <w:webHidden/>
          </w:rPr>
          <w:fldChar w:fldCharType="end"/>
        </w:r>
      </w:hyperlink>
    </w:p>
    <w:p w14:paraId="46BA33FE" w14:textId="3FE0F964" w:rsidR="00FE1145" w:rsidRDefault="00D67EC2">
      <w:pPr>
        <w:pStyle w:val="TOC1"/>
        <w:rPr>
          <w:rFonts w:asciiTheme="minorHAnsi" w:eastAsiaTheme="minorEastAsia" w:hAnsiTheme="minorHAnsi" w:cstheme="minorBidi"/>
          <w:b w:val="0"/>
          <w:spacing w:val="0"/>
          <w:sz w:val="22"/>
          <w:szCs w:val="22"/>
        </w:rPr>
      </w:pPr>
      <w:hyperlink w:anchor="_Toc463351355" w:history="1">
        <w:r w:rsidR="00FE1145">
          <w:rPr>
            <w:rStyle w:val="Hyperlink"/>
          </w:rPr>
          <w:t xml:space="preserve">Schedule 2: </w:t>
        </w:r>
        <w:r w:rsidR="00FE1145" w:rsidRPr="00BA1828">
          <w:rPr>
            <w:rStyle w:val="Hyperlink"/>
          </w:rPr>
          <w:t>Regulatory and service-planning work programs</w:t>
        </w:r>
        <w:r w:rsidR="00FE1145">
          <w:rPr>
            <w:webHidden/>
          </w:rPr>
          <w:tab/>
        </w:r>
        <w:r w:rsidR="00FE1145">
          <w:rPr>
            <w:webHidden/>
          </w:rPr>
          <w:fldChar w:fldCharType="begin"/>
        </w:r>
        <w:r w:rsidR="00FE1145">
          <w:rPr>
            <w:webHidden/>
          </w:rPr>
          <w:instrText xml:space="preserve"> PAGEREF _Toc463351355 \h </w:instrText>
        </w:r>
        <w:r w:rsidR="00FE1145">
          <w:rPr>
            <w:webHidden/>
          </w:rPr>
        </w:r>
        <w:r w:rsidR="00FE1145">
          <w:rPr>
            <w:webHidden/>
          </w:rPr>
          <w:fldChar w:fldCharType="separate"/>
        </w:r>
        <w:r w:rsidR="00B73ECC">
          <w:rPr>
            <w:webHidden/>
          </w:rPr>
          <w:t>76</w:t>
        </w:r>
        <w:r w:rsidR="00FE1145">
          <w:rPr>
            <w:webHidden/>
          </w:rPr>
          <w:fldChar w:fldCharType="end"/>
        </w:r>
      </w:hyperlink>
    </w:p>
    <w:p w14:paraId="706965B9" w14:textId="77777777" w:rsidR="00FE1145" w:rsidRDefault="00D67EC2">
      <w:pPr>
        <w:pStyle w:val="TOC2"/>
        <w:rPr>
          <w:rFonts w:asciiTheme="minorHAnsi" w:eastAsiaTheme="minorEastAsia" w:hAnsiTheme="minorHAnsi" w:cstheme="minorBidi"/>
          <w:spacing w:val="0"/>
          <w:sz w:val="22"/>
          <w:szCs w:val="22"/>
        </w:rPr>
      </w:pPr>
      <w:hyperlink w:anchor="_Toc463351356" w:history="1">
        <w:r w:rsidR="00FE1145" w:rsidRPr="00BA1828">
          <w:rPr>
            <w:rStyle w:val="Hyperlink"/>
          </w:rPr>
          <w:t>2017–20</w:t>
        </w:r>
        <w:r w:rsidR="00FE1145">
          <w:rPr>
            <w:webHidden/>
          </w:rPr>
          <w:tab/>
        </w:r>
        <w:r w:rsidR="00FE1145">
          <w:rPr>
            <w:webHidden/>
          </w:rPr>
          <w:fldChar w:fldCharType="begin"/>
        </w:r>
        <w:r w:rsidR="00FE1145">
          <w:rPr>
            <w:webHidden/>
          </w:rPr>
          <w:instrText xml:space="preserve"> PAGEREF _Toc463351356 \h </w:instrText>
        </w:r>
        <w:r w:rsidR="00FE1145">
          <w:rPr>
            <w:webHidden/>
          </w:rPr>
        </w:r>
        <w:r w:rsidR="00FE1145">
          <w:rPr>
            <w:webHidden/>
          </w:rPr>
          <w:fldChar w:fldCharType="separate"/>
        </w:r>
        <w:r w:rsidR="00B73ECC">
          <w:rPr>
            <w:webHidden/>
          </w:rPr>
          <w:t>77</w:t>
        </w:r>
        <w:r w:rsidR="00FE1145">
          <w:rPr>
            <w:webHidden/>
          </w:rPr>
          <w:fldChar w:fldCharType="end"/>
        </w:r>
      </w:hyperlink>
    </w:p>
    <w:p w14:paraId="16704ADE" w14:textId="77777777" w:rsidR="00FE1145" w:rsidRDefault="00D67EC2">
      <w:pPr>
        <w:pStyle w:val="TOC1"/>
        <w:rPr>
          <w:rFonts w:asciiTheme="minorHAnsi" w:eastAsiaTheme="minorEastAsia" w:hAnsiTheme="minorHAnsi" w:cstheme="minorBidi"/>
          <w:b w:val="0"/>
          <w:spacing w:val="0"/>
          <w:sz w:val="22"/>
          <w:szCs w:val="22"/>
        </w:rPr>
      </w:pPr>
      <w:hyperlink w:anchor="_Toc463351357" w:history="1">
        <w:r w:rsidR="00FE1145" w:rsidRPr="00BA1828">
          <w:rPr>
            <w:rStyle w:val="Hyperlink"/>
          </w:rPr>
          <w:t>Invitation to comment</w:t>
        </w:r>
        <w:r w:rsidR="00FE1145">
          <w:rPr>
            <w:webHidden/>
          </w:rPr>
          <w:tab/>
        </w:r>
        <w:r w:rsidR="00FE1145">
          <w:rPr>
            <w:webHidden/>
          </w:rPr>
          <w:fldChar w:fldCharType="begin"/>
        </w:r>
        <w:r w:rsidR="00FE1145">
          <w:rPr>
            <w:webHidden/>
          </w:rPr>
          <w:instrText xml:space="preserve"> PAGEREF _Toc463351357 \h </w:instrText>
        </w:r>
        <w:r w:rsidR="00FE1145">
          <w:rPr>
            <w:webHidden/>
          </w:rPr>
        </w:r>
        <w:r w:rsidR="00FE1145">
          <w:rPr>
            <w:webHidden/>
          </w:rPr>
          <w:fldChar w:fldCharType="separate"/>
        </w:r>
        <w:r w:rsidR="00B73ECC">
          <w:rPr>
            <w:webHidden/>
          </w:rPr>
          <w:t>78</w:t>
        </w:r>
        <w:r w:rsidR="00FE1145">
          <w:rPr>
            <w:webHidden/>
          </w:rPr>
          <w:fldChar w:fldCharType="end"/>
        </w:r>
      </w:hyperlink>
    </w:p>
    <w:p w14:paraId="6CF4E669" w14:textId="77777777" w:rsidR="00FE1145" w:rsidRDefault="00D67EC2">
      <w:pPr>
        <w:pStyle w:val="TOC2"/>
        <w:rPr>
          <w:rFonts w:asciiTheme="minorHAnsi" w:eastAsiaTheme="minorEastAsia" w:hAnsiTheme="minorHAnsi" w:cstheme="minorBidi"/>
          <w:spacing w:val="0"/>
          <w:sz w:val="22"/>
          <w:szCs w:val="22"/>
        </w:rPr>
      </w:pPr>
      <w:hyperlink w:anchor="_Toc463351358" w:history="1">
        <w:r w:rsidR="00FE1145" w:rsidRPr="00BA1828">
          <w:rPr>
            <w:rStyle w:val="Hyperlink"/>
          </w:rPr>
          <w:t>Making a submission</w:t>
        </w:r>
        <w:r w:rsidR="00FE1145">
          <w:rPr>
            <w:webHidden/>
          </w:rPr>
          <w:tab/>
        </w:r>
        <w:r w:rsidR="00FE1145">
          <w:rPr>
            <w:webHidden/>
          </w:rPr>
          <w:fldChar w:fldCharType="begin"/>
        </w:r>
        <w:r w:rsidR="00FE1145">
          <w:rPr>
            <w:webHidden/>
          </w:rPr>
          <w:instrText xml:space="preserve"> PAGEREF _Toc463351358 \h </w:instrText>
        </w:r>
        <w:r w:rsidR="00FE1145">
          <w:rPr>
            <w:webHidden/>
          </w:rPr>
        </w:r>
        <w:r w:rsidR="00FE1145">
          <w:rPr>
            <w:webHidden/>
          </w:rPr>
          <w:fldChar w:fldCharType="separate"/>
        </w:r>
        <w:r w:rsidR="00B73ECC">
          <w:rPr>
            <w:webHidden/>
          </w:rPr>
          <w:t>78</w:t>
        </w:r>
        <w:r w:rsidR="00FE1145">
          <w:rPr>
            <w:webHidden/>
          </w:rPr>
          <w:fldChar w:fldCharType="end"/>
        </w:r>
      </w:hyperlink>
    </w:p>
    <w:p w14:paraId="0A383A17" w14:textId="77777777" w:rsidR="00FE1145" w:rsidRDefault="00D67EC2">
      <w:pPr>
        <w:pStyle w:val="TOC1"/>
        <w:rPr>
          <w:rFonts w:asciiTheme="minorHAnsi" w:eastAsiaTheme="minorEastAsia" w:hAnsiTheme="minorHAnsi" w:cstheme="minorBidi"/>
          <w:b w:val="0"/>
          <w:spacing w:val="0"/>
          <w:sz w:val="22"/>
          <w:szCs w:val="22"/>
        </w:rPr>
      </w:pPr>
      <w:hyperlink w:anchor="_Toc463351359" w:history="1">
        <w:r w:rsidR="00FE1145" w:rsidRPr="00BA1828">
          <w:rPr>
            <w:rStyle w:val="Hyperlink"/>
          </w:rPr>
          <w:t>Appendix A—Acronyms and abbreviations</w:t>
        </w:r>
        <w:r w:rsidR="00FE1145">
          <w:rPr>
            <w:webHidden/>
          </w:rPr>
          <w:tab/>
        </w:r>
        <w:r w:rsidR="00FE1145">
          <w:rPr>
            <w:webHidden/>
          </w:rPr>
          <w:fldChar w:fldCharType="begin"/>
        </w:r>
        <w:r w:rsidR="00FE1145">
          <w:rPr>
            <w:webHidden/>
          </w:rPr>
          <w:instrText xml:space="preserve"> PAGEREF _Toc463351359 \h </w:instrText>
        </w:r>
        <w:r w:rsidR="00FE1145">
          <w:rPr>
            <w:webHidden/>
          </w:rPr>
        </w:r>
        <w:r w:rsidR="00FE1145">
          <w:rPr>
            <w:webHidden/>
          </w:rPr>
          <w:fldChar w:fldCharType="separate"/>
        </w:r>
        <w:r w:rsidR="00B73ECC">
          <w:rPr>
            <w:webHidden/>
          </w:rPr>
          <w:t>80</w:t>
        </w:r>
        <w:r w:rsidR="00FE1145">
          <w:rPr>
            <w:webHidden/>
          </w:rPr>
          <w:fldChar w:fldCharType="end"/>
        </w:r>
      </w:hyperlink>
    </w:p>
    <w:p w14:paraId="1392E4A9" w14:textId="4F8ECE90" w:rsidR="000A4A51" w:rsidRDefault="00F748DB">
      <w:pPr>
        <w:rPr>
          <w:rFonts w:cs="Arial"/>
          <w:b/>
          <w:noProof/>
          <w:spacing w:val="-14"/>
          <w:sz w:val="28"/>
        </w:rPr>
      </w:pPr>
      <w:r>
        <w:rPr>
          <w:rFonts w:cs="Arial"/>
          <w:b/>
          <w:noProof/>
          <w:spacing w:val="-14"/>
          <w:sz w:val="28"/>
        </w:rPr>
        <w:fldChar w:fldCharType="end"/>
      </w:r>
    </w:p>
    <w:p w14:paraId="055AF40D" w14:textId="77777777" w:rsidR="00900F0C" w:rsidRDefault="00900F0C">
      <w:pPr>
        <w:rPr>
          <w:rFonts w:cs="Arial"/>
          <w:b/>
          <w:noProof/>
          <w:spacing w:val="-14"/>
          <w:sz w:val="28"/>
        </w:rPr>
      </w:pPr>
    </w:p>
    <w:p w14:paraId="732D9498" w14:textId="77777777" w:rsidR="00FE1145" w:rsidRDefault="00FE1145">
      <w:pPr>
        <w:rPr>
          <w:rFonts w:cs="Arial"/>
          <w:b/>
          <w:noProof/>
          <w:spacing w:val="-14"/>
          <w:sz w:val="28"/>
        </w:rPr>
        <w:sectPr w:rsidR="00FE1145" w:rsidSect="0070412E">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docGrid w:linePitch="360"/>
        </w:sectPr>
      </w:pPr>
    </w:p>
    <w:p w14:paraId="0D51433C" w14:textId="77777777" w:rsidR="00006A2A" w:rsidRDefault="00006A2A" w:rsidP="00006A2A">
      <w:pPr>
        <w:pStyle w:val="ACMAExecSummaryHeading"/>
        <w:rPr>
          <w:rFonts w:eastAsiaTheme="minorHAnsi"/>
        </w:rPr>
      </w:pPr>
      <w:bookmarkStart w:id="1" w:name="_Toc455579178"/>
      <w:bookmarkStart w:id="2" w:name="_Toc456616606"/>
      <w:bookmarkStart w:id="3" w:name="_Toc458084533"/>
      <w:bookmarkStart w:id="4" w:name="_Toc463351289"/>
      <w:r>
        <w:rPr>
          <w:rFonts w:eastAsiaTheme="minorHAnsi"/>
        </w:rPr>
        <w:lastRenderedPageBreak/>
        <w:t>Acknowledgements</w:t>
      </w:r>
      <w:bookmarkEnd w:id="1"/>
      <w:bookmarkEnd w:id="2"/>
      <w:bookmarkEnd w:id="3"/>
      <w:bookmarkEnd w:id="4"/>
    </w:p>
    <w:p w14:paraId="018D043B" w14:textId="77777777" w:rsidR="00006A2A" w:rsidRPr="002C6398" w:rsidRDefault="00006A2A" w:rsidP="00006A2A">
      <w:pPr>
        <w:spacing w:after="80"/>
      </w:pPr>
      <w:r w:rsidRPr="002C6398">
        <w:t xml:space="preserve">In developing the </w:t>
      </w:r>
      <w:r w:rsidRPr="0039046B">
        <w:rPr>
          <w:i/>
        </w:rPr>
        <w:t>Five-year spectrum outlook 2016–20</w:t>
      </w:r>
      <w:r>
        <w:t>,</w:t>
      </w:r>
      <w:r w:rsidRPr="002C6398">
        <w:t xml:space="preserve"> the ACMA gratefully acknowledges the input provided, in response to the</w:t>
      </w:r>
      <w:r>
        <w:t xml:space="preserve"> previous</w:t>
      </w:r>
      <w:r w:rsidRPr="002C6398">
        <w:t xml:space="preserve"> </w:t>
      </w:r>
      <w:r>
        <w:t>f</w:t>
      </w:r>
      <w:r w:rsidRPr="00945A1B">
        <w:t>ive-year spectrum outlook</w:t>
      </w:r>
      <w:r>
        <w:t xml:space="preserve">s, particularly the </w:t>
      </w:r>
      <w:r w:rsidRPr="0039046B">
        <w:t>2015–19 edition</w:t>
      </w:r>
      <w:r w:rsidRPr="002C6398">
        <w:t>, by the following individuals and organisations:</w:t>
      </w:r>
    </w:p>
    <w:p w14:paraId="19E7FE16" w14:textId="77777777" w:rsidR="00006A2A" w:rsidRPr="00945A1B" w:rsidRDefault="00D67EC2" w:rsidP="00006A2A">
      <w:pPr>
        <w:pStyle w:val="ListBullet"/>
        <w:rPr>
          <w:rFonts w:cs="Arial"/>
          <w:szCs w:val="20"/>
          <w:lang w:val="en"/>
        </w:rPr>
      </w:pPr>
      <w:hyperlink r:id="rId27" w:history="1">
        <w:r w:rsidR="00006A2A" w:rsidRPr="00945A1B">
          <w:rPr>
            <w:rStyle w:val="Hyperlink"/>
            <w:rFonts w:cs="Arial"/>
            <w:szCs w:val="20"/>
            <w:lang w:val="en"/>
          </w:rPr>
          <w:t>ASTRA</w:t>
        </w:r>
      </w:hyperlink>
      <w:r w:rsidR="00006A2A" w:rsidRPr="00945A1B">
        <w:rPr>
          <w:rFonts w:cs="Arial"/>
          <w:szCs w:val="20"/>
          <w:lang w:val="en"/>
        </w:rPr>
        <w:t> </w:t>
      </w:r>
    </w:p>
    <w:p w14:paraId="740B63BD" w14:textId="77777777" w:rsidR="00006A2A" w:rsidRPr="001F75A9" w:rsidRDefault="00D67EC2" w:rsidP="00006A2A">
      <w:pPr>
        <w:pStyle w:val="ListBullet"/>
        <w:rPr>
          <w:rFonts w:cs="Arial"/>
          <w:szCs w:val="20"/>
          <w:lang w:val="en"/>
        </w:rPr>
      </w:pPr>
      <w:hyperlink r:id="rId28" w:history="1">
        <w:r w:rsidR="00006A2A" w:rsidRPr="00F24475">
          <w:rPr>
            <w:rStyle w:val="Hyperlink"/>
            <w:rFonts w:cs="Arial"/>
            <w:szCs w:val="20"/>
            <w:lang w:val="en"/>
          </w:rPr>
          <w:t>Communications Alliance</w:t>
        </w:r>
      </w:hyperlink>
      <w:r w:rsidR="00006A2A" w:rsidRPr="001F75A9">
        <w:rPr>
          <w:rFonts w:cs="Arial"/>
          <w:szCs w:val="20"/>
          <w:lang w:val="en"/>
        </w:rPr>
        <w:t> </w:t>
      </w:r>
    </w:p>
    <w:p w14:paraId="73FE3584" w14:textId="77777777" w:rsidR="00006A2A" w:rsidRPr="001F75A9" w:rsidRDefault="00D67EC2" w:rsidP="00006A2A">
      <w:pPr>
        <w:pStyle w:val="ListBullet"/>
        <w:rPr>
          <w:rFonts w:cs="Arial"/>
          <w:szCs w:val="20"/>
          <w:lang w:val="en"/>
        </w:rPr>
      </w:pPr>
      <w:hyperlink r:id="rId29" w:history="1">
        <w:r w:rsidR="00006A2A" w:rsidRPr="00F24475">
          <w:rPr>
            <w:rStyle w:val="Hyperlink"/>
            <w:rFonts w:cs="Arial"/>
            <w:szCs w:val="20"/>
            <w:lang w:val="en"/>
          </w:rPr>
          <w:t>Department of Defence</w:t>
        </w:r>
      </w:hyperlink>
      <w:r w:rsidR="00006A2A" w:rsidRPr="001F75A9">
        <w:rPr>
          <w:rFonts w:cs="Arial"/>
          <w:szCs w:val="20"/>
          <w:lang w:val="en"/>
        </w:rPr>
        <w:t> </w:t>
      </w:r>
    </w:p>
    <w:p w14:paraId="7A58081A" w14:textId="77777777" w:rsidR="00006A2A" w:rsidRPr="001F75A9" w:rsidRDefault="00D67EC2" w:rsidP="00006A2A">
      <w:pPr>
        <w:pStyle w:val="ListBullet"/>
        <w:rPr>
          <w:rFonts w:cs="Arial"/>
          <w:szCs w:val="20"/>
          <w:lang w:val="en"/>
        </w:rPr>
      </w:pPr>
      <w:hyperlink r:id="rId30" w:history="1">
        <w:r w:rsidR="00006A2A" w:rsidRPr="00F24475">
          <w:rPr>
            <w:rStyle w:val="Hyperlink"/>
            <w:rFonts w:cs="Arial"/>
            <w:szCs w:val="20"/>
            <w:lang w:val="en"/>
          </w:rPr>
          <w:t>Inmarsat</w:t>
        </w:r>
      </w:hyperlink>
      <w:r w:rsidR="00006A2A" w:rsidRPr="001F75A9">
        <w:rPr>
          <w:rFonts w:cs="Arial"/>
          <w:szCs w:val="20"/>
          <w:lang w:val="en"/>
        </w:rPr>
        <w:t> </w:t>
      </w:r>
    </w:p>
    <w:p w14:paraId="1E3BD717" w14:textId="77777777" w:rsidR="00006A2A" w:rsidRPr="001F75A9" w:rsidRDefault="00D67EC2" w:rsidP="00006A2A">
      <w:pPr>
        <w:pStyle w:val="ListBullet"/>
        <w:rPr>
          <w:rFonts w:cs="Arial"/>
          <w:szCs w:val="20"/>
          <w:lang w:val="en"/>
        </w:rPr>
      </w:pPr>
      <w:hyperlink r:id="rId31" w:history="1">
        <w:r w:rsidR="00006A2A" w:rsidRPr="00F24475">
          <w:rPr>
            <w:rStyle w:val="Hyperlink"/>
            <w:rFonts w:cs="Arial"/>
            <w:szCs w:val="20"/>
            <w:lang w:val="en"/>
          </w:rPr>
          <w:t>O3b Teleport Services (Australia)</w:t>
        </w:r>
      </w:hyperlink>
      <w:r w:rsidR="00006A2A" w:rsidRPr="001F75A9">
        <w:rPr>
          <w:rFonts w:cs="Arial"/>
          <w:szCs w:val="20"/>
          <w:lang w:val="en"/>
        </w:rPr>
        <w:t> </w:t>
      </w:r>
    </w:p>
    <w:p w14:paraId="78B75AC1" w14:textId="6AD87521" w:rsidR="00006A2A" w:rsidRPr="000F26E0" w:rsidRDefault="000F26E0" w:rsidP="00006A2A">
      <w:pPr>
        <w:pStyle w:val="ListBullet"/>
        <w:rPr>
          <w:rStyle w:val="Hyperlink"/>
          <w:rFonts w:cs="Arial"/>
          <w:szCs w:val="20"/>
          <w:lang w:val="en"/>
        </w:rPr>
      </w:pPr>
      <w:r>
        <w:rPr>
          <w:rFonts w:cs="Arial"/>
          <w:szCs w:val="20"/>
          <w:lang w:val="en"/>
        </w:rPr>
        <w:fldChar w:fldCharType="begin"/>
      </w:r>
      <w:r>
        <w:rPr>
          <w:rFonts w:cs="Arial"/>
          <w:szCs w:val="20"/>
          <w:lang w:val="en"/>
        </w:rPr>
        <w:instrText xml:space="preserve"> HYPERLINK "http://www.acma.gov.au/~/media/Spectrum%20Transformation%20and%20Government/Issue%20for%20comment/IFC%2023-2015/151218%20nbn%20response%20to%20ACMA%20Five-year%20spectrum%20outlook%202015-19%20pdf.pdf" </w:instrText>
      </w:r>
      <w:r>
        <w:rPr>
          <w:rFonts w:cs="Arial"/>
          <w:szCs w:val="20"/>
          <w:lang w:val="en"/>
        </w:rPr>
        <w:fldChar w:fldCharType="separate"/>
      </w:r>
      <w:r w:rsidR="00006A2A" w:rsidRPr="000F26E0">
        <w:rPr>
          <w:rStyle w:val="Hyperlink"/>
          <w:rFonts w:cs="Arial"/>
          <w:szCs w:val="20"/>
          <w:lang w:val="en"/>
        </w:rPr>
        <w:t xml:space="preserve">NBN Co Limited </w:t>
      </w:r>
    </w:p>
    <w:p w14:paraId="2D21904E" w14:textId="7CD19084" w:rsidR="00006A2A" w:rsidRPr="001F75A9" w:rsidRDefault="000F26E0" w:rsidP="00006A2A">
      <w:pPr>
        <w:pStyle w:val="ListBullet"/>
        <w:rPr>
          <w:rFonts w:cs="Arial"/>
          <w:szCs w:val="20"/>
          <w:lang w:val="en"/>
        </w:rPr>
      </w:pPr>
      <w:r>
        <w:rPr>
          <w:rFonts w:cs="Arial"/>
          <w:szCs w:val="20"/>
          <w:lang w:val="en"/>
        </w:rPr>
        <w:fldChar w:fldCharType="end"/>
      </w:r>
      <w:hyperlink r:id="rId32" w:history="1">
        <w:r w:rsidR="00006A2A" w:rsidRPr="00F24475">
          <w:rPr>
            <w:rStyle w:val="Hyperlink"/>
            <w:rFonts w:cs="Arial"/>
            <w:szCs w:val="20"/>
            <w:lang w:val="en"/>
          </w:rPr>
          <w:t>Madhulika Tripathi</w:t>
        </w:r>
      </w:hyperlink>
      <w:r w:rsidR="00006A2A" w:rsidRPr="001F75A9">
        <w:rPr>
          <w:rFonts w:cs="Arial"/>
          <w:szCs w:val="20"/>
          <w:lang w:val="en"/>
        </w:rPr>
        <w:t> </w:t>
      </w:r>
    </w:p>
    <w:p w14:paraId="7BA9D347" w14:textId="77777777" w:rsidR="00006A2A" w:rsidRPr="001F75A9" w:rsidRDefault="00D67EC2" w:rsidP="00006A2A">
      <w:pPr>
        <w:pStyle w:val="ListBullet"/>
        <w:rPr>
          <w:rFonts w:cs="Arial"/>
          <w:szCs w:val="20"/>
          <w:lang w:val="en"/>
        </w:rPr>
      </w:pPr>
      <w:hyperlink r:id="rId33" w:history="1">
        <w:r w:rsidR="00006A2A" w:rsidRPr="00F24475">
          <w:rPr>
            <w:rStyle w:val="Hyperlink"/>
            <w:rFonts w:cs="Arial"/>
            <w:szCs w:val="20"/>
            <w:lang w:val="en"/>
          </w:rPr>
          <w:t>Mississippi Consulting</w:t>
        </w:r>
      </w:hyperlink>
      <w:r w:rsidR="00006A2A" w:rsidRPr="001F75A9">
        <w:rPr>
          <w:rFonts w:cs="Arial"/>
          <w:szCs w:val="20"/>
          <w:lang w:val="en"/>
        </w:rPr>
        <w:t> </w:t>
      </w:r>
    </w:p>
    <w:p w14:paraId="3D1B4DEB" w14:textId="77777777" w:rsidR="00006A2A" w:rsidRDefault="00D67EC2" w:rsidP="00006A2A">
      <w:pPr>
        <w:pStyle w:val="ListBullet"/>
        <w:rPr>
          <w:rFonts w:cs="Arial"/>
          <w:szCs w:val="20"/>
          <w:lang w:val="en"/>
        </w:rPr>
      </w:pPr>
      <w:hyperlink r:id="rId34" w:history="1">
        <w:r w:rsidR="00006A2A" w:rsidRPr="00F24475">
          <w:rPr>
            <w:rStyle w:val="Hyperlink"/>
            <w:rFonts w:cs="Arial"/>
            <w:szCs w:val="20"/>
            <w:lang w:val="en"/>
          </w:rPr>
          <w:t>Motorola Solutions</w:t>
        </w:r>
      </w:hyperlink>
      <w:r w:rsidR="00006A2A" w:rsidRPr="001F75A9">
        <w:rPr>
          <w:rFonts w:cs="Arial"/>
          <w:szCs w:val="20"/>
          <w:lang w:val="en"/>
        </w:rPr>
        <w:t> </w:t>
      </w:r>
    </w:p>
    <w:p w14:paraId="5B89056A" w14:textId="77777777" w:rsidR="00E657B5" w:rsidRPr="00E01920" w:rsidRDefault="00D67EC2" w:rsidP="00E01920">
      <w:pPr>
        <w:pStyle w:val="ListBullet"/>
        <w:rPr>
          <w:rFonts w:cs="Arial"/>
        </w:rPr>
      </w:pPr>
      <w:hyperlink r:id="rId35" w:history="1">
        <w:r w:rsidR="00006A2A" w:rsidRPr="000B40EB">
          <w:rPr>
            <w:rStyle w:val="Hyperlink"/>
            <w:rFonts w:cs="Arial"/>
            <w:szCs w:val="20"/>
            <w:lang w:val="en"/>
          </w:rPr>
          <w:t>Telstra Corporation</w:t>
        </w:r>
      </w:hyperlink>
      <w:r w:rsidR="00006A2A" w:rsidRPr="00582322">
        <w:rPr>
          <w:rStyle w:val="Hyperlink"/>
          <w:rFonts w:cs="Arial"/>
          <w:color w:val="auto"/>
          <w:szCs w:val="20"/>
          <w:u w:val="none"/>
          <w:lang w:val="en"/>
        </w:rPr>
        <w:t>.</w:t>
      </w:r>
    </w:p>
    <w:p w14:paraId="32A19391" w14:textId="77777777" w:rsidR="004D56FF" w:rsidRDefault="004D56FF">
      <w:pPr>
        <w:rPr>
          <w:rFonts w:cs="Arial"/>
        </w:rPr>
      </w:pPr>
    </w:p>
    <w:p w14:paraId="7BA6F644" w14:textId="77777777" w:rsidR="00E657B5" w:rsidRPr="000D76E0" w:rsidRDefault="00E657B5">
      <w:pPr>
        <w:rPr>
          <w:rFonts w:cs="Arial"/>
        </w:rPr>
        <w:sectPr w:rsidR="00E657B5" w:rsidRPr="000D76E0" w:rsidSect="0070412E">
          <w:headerReference w:type="even" r:id="rId36"/>
          <w:headerReference w:type="first" r:id="rId37"/>
          <w:type w:val="evenPage"/>
          <w:pgSz w:w="11906" w:h="16838" w:code="9"/>
          <w:pgMar w:top="3646" w:right="3101" w:bottom="1134" w:left="1134" w:header="709" w:footer="119" w:gutter="0"/>
          <w:cols w:space="708"/>
          <w:docGrid w:linePitch="360"/>
        </w:sectPr>
      </w:pPr>
    </w:p>
    <w:p w14:paraId="4F4291AD" w14:textId="77777777" w:rsidR="004D0DEA" w:rsidRPr="009174F3" w:rsidRDefault="004D0DEA" w:rsidP="00582322">
      <w:pPr>
        <w:pStyle w:val="ACMAExecSummaryHeading"/>
      </w:pPr>
      <w:bookmarkStart w:id="5" w:name="_Toc463351290"/>
      <w:r>
        <w:lastRenderedPageBreak/>
        <w:t>Chairman’s message</w:t>
      </w:r>
      <w:bookmarkEnd w:id="5"/>
      <w:r w:rsidRPr="009174F3">
        <w:t xml:space="preserve"> </w:t>
      </w:r>
    </w:p>
    <w:p w14:paraId="47DB872B" w14:textId="77777777" w:rsidR="004D0DEA" w:rsidRPr="00180E54" w:rsidRDefault="004D0DEA" w:rsidP="004D0DEA">
      <w:r w:rsidRPr="00180E54">
        <w:t xml:space="preserve">Welcome to the ACMA’s </w:t>
      </w:r>
      <w:r w:rsidRPr="0039046B">
        <w:rPr>
          <w:i/>
        </w:rPr>
        <w:t>Five-year spectrum outlook 2016–20</w:t>
      </w:r>
      <w:r w:rsidRPr="00180E54">
        <w:t xml:space="preserve">. </w:t>
      </w:r>
    </w:p>
    <w:p w14:paraId="4BDD56FC" w14:textId="77777777" w:rsidR="004D0DEA" w:rsidRPr="000A62EF" w:rsidRDefault="004D0DEA" w:rsidP="004D0DEA">
      <w:r w:rsidRPr="000A62EF" w:rsidDel="005D467A">
        <w:t xml:space="preserve">The </w:t>
      </w:r>
      <w:r>
        <w:t>f</w:t>
      </w:r>
      <w:r w:rsidRPr="000A62EF" w:rsidDel="005D467A">
        <w:t xml:space="preserve">ive-year spectrum outlook </w:t>
      </w:r>
      <w:r w:rsidR="00DC5C14">
        <w:t xml:space="preserve">(FYSO) </w:t>
      </w:r>
      <w:r w:rsidRPr="000A62EF" w:rsidDel="005D467A">
        <w:t>series</w:t>
      </w:r>
      <w:r>
        <w:t xml:space="preserve"> </w:t>
      </w:r>
      <w:r w:rsidR="00737D63">
        <w:t>has been</w:t>
      </w:r>
      <w:r w:rsidR="00737D63" w:rsidRPr="000A62EF">
        <w:t xml:space="preserve"> </w:t>
      </w:r>
      <w:r w:rsidRPr="000A62EF">
        <w:t xml:space="preserve">a key part of the </w:t>
      </w:r>
      <w:r>
        <w:t xml:space="preserve">Australian Communications and Media Authority’s </w:t>
      </w:r>
      <w:r w:rsidRPr="000A62EF">
        <w:t>strategy of consultation and constructive dialogue with industry</w:t>
      </w:r>
      <w:r w:rsidR="00737D63">
        <w:t>, consumers</w:t>
      </w:r>
      <w:r w:rsidRPr="000A62EF">
        <w:t xml:space="preserve"> and </w:t>
      </w:r>
      <w:r w:rsidR="00737D63">
        <w:t xml:space="preserve">citizens since </w:t>
      </w:r>
      <w:r w:rsidR="0045221C">
        <w:t>2009</w:t>
      </w:r>
      <w:r w:rsidRPr="000A62EF">
        <w:t xml:space="preserve">. Release of the </w:t>
      </w:r>
      <w:r w:rsidRPr="0039046B">
        <w:rPr>
          <w:i/>
        </w:rPr>
        <w:t>Five-year spectrum outlook 2016</w:t>
      </w:r>
      <w:r>
        <w:rPr>
          <w:i/>
        </w:rPr>
        <w:t>–</w:t>
      </w:r>
      <w:r w:rsidRPr="0039046B">
        <w:rPr>
          <w:i/>
        </w:rPr>
        <w:t>20</w:t>
      </w:r>
      <w:r w:rsidRPr="000A62EF" w:rsidDel="009A08E3">
        <w:t xml:space="preserve"> </w:t>
      </w:r>
      <w:r w:rsidRPr="000A62EF">
        <w:t xml:space="preserve">complements the ACMA’s program of </w:t>
      </w:r>
      <w:r>
        <w:t xml:space="preserve">consultation on specific spectrum issues, </w:t>
      </w:r>
      <w:r w:rsidRPr="000A62EF">
        <w:t>public forums such as</w:t>
      </w:r>
      <w:r w:rsidR="00737D63">
        <w:t xml:space="preserve"> this year’s</w:t>
      </w:r>
      <w:r w:rsidRPr="000A62EF">
        <w:t xml:space="preserve"> RadComms conference and </w:t>
      </w:r>
      <w:r w:rsidR="00737D63">
        <w:t xml:space="preserve">program of </w:t>
      </w:r>
      <w:r w:rsidRPr="000A62EF">
        <w:t>subject</w:t>
      </w:r>
      <w:r>
        <w:t>-</w:t>
      </w:r>
      <w:r w:rsidRPr="000A62EF">
        <w:t xml:space="preserve">specific tune-ups. </w:t>
      </w:r>
    </w:p>
    <w:p w14:paraId="055EDDA3" w14:textId="77777777" w:rsidR="004D0DEA" w:rsidRDefault="0045221C" w:rsidP="004D0DEA">
      <w:r>
        <w:t>A central</w:t>
      </w:r>
      <w:r w:rsidR="004D0DEA" w:rsidRPr="00180E54">
        <w:t xml:space="preserve"> purpose </w:t>
      </w:r>
      <w:r w:rsidR="004D0DEA" w:rsidRPr="000A62EF">
        <w:t>in publishing</w:t>
      </w:r>
      <w:r w:rsidR="004D0DEA" w:rsidRPr="002E313A">
        <w:t xml:space="preserve"> the </w:t>
      </w:r>
      <w:r w:rsidR="00DC5C14">
        <w:t>FYSO</w:t>
      </w:r>
      <w:r w:rsidR="004D0DEA" w:rsidRPr="002E313A">
        <w:t xml:space="preserve"> is to provide industry with an annually</w:t>
      </w:r>
      <w:r w:rsidR="004D0DEA">
        <w:t>-</w:t>
      </w:r>
      <w:r w:rsidR="004D0DEA" w:rsidRPr="002E313A">
        <w:t xml:space="preserve">updated overview of the ACMA’s spectrum management priorities and </w:t>
      </w:r>
      <w:r>
        <w:t xml:space="preserve">the </w:t>
      </w:r>
      <w:r w:rsidR="004D0DEA" w:rsidRPr="002E313A">
        <w:t xml:space="preserve">issues </w:t>
      </w:r>
      <w:r>
        <w:t xml:space="preserve">it sees arising </w:t>
      </w:r>
      <w:r w:rsidR="004D0DEA" w:rsidRPr="002E313A">
        <w:t>over the near to medium term, and our plans to address them</w:t>
      </w:r>
      <w:r>
        <w:t>, set out in Part 1</w:t>
      </w:r>
      <w:r w:rsidR="004D0DEA" w:rsidRPr="002E313A">
        <w:t xml:space="preserve">. </w:t>
      </w:r>
    </w:p>
    <w:p w14:paraId="236972C2" w14:textId="4F80A031" w:rsidR="004D0DEA" w:rsidRPr="000A62EF" w:rsidRDefault="004D0DEA" w:rsidP="004D0DEA">
      <w:r>
        <w:t>A new feature of this edition</w:t>
      </w:r>
      <w:r w:rsidR="0045221C">
        <w:t>, in Part 2,</w:t>
      </w:r>
      <w:r>
        <w:t xml:space="preserve"> is the ACMA’s 12-month work plan, which assigns milestones and timings to priority spectrum management activities</w:t>
      </w:r>
      <w:r w:rsidR="0045221C">
        <w:t xml:space="preserve"> over the </w:t>
      </w:r>
      <w:r w:rsidR="00A86591">
        <w:t>2016</w:t>
      </w:r>
      <w:r w:rsidR="00472198">
        <w:t>–</w:t>
      </w:r>
      <w:r w:rsidR="00A86591">
        <w:t xml:space="preserve">17 financial </w:t>
      </w:r>
      <w:r w:rsidR="0045221C">
        <w:t>year</w:t>
      </w:r>
      <w:r>
        <w:t xml:space="preserve">. </w:t>
      </w:r>
    </w:p>
    <w:p w14:paraId="1F644D54" w14:textId="77777777" w:rsidR="004D0DEA" w:rsidRPr="002E313A" w:rsidRDefault="004D0DEA" w:rsidP="004D0DEA">
      <w:pPr>
        <w:spacing w:after="80"/>
        <w:rPr>
          <w:szCs w:val="20"/>
        </w:rPr>
      </w:pPr>
      <w:r w:rsidRPr="002E313A">
        <w:rPr>
          <w:szCs w:val="20"/>
        </w:rPr>
        <w:t>Over the past year, the ACMA delivered a number of key spectrum initiatives, including:</w:t>
      </w:r>
    </w:p>
    <w:p w14:paraId="65F7429D" w14:textId="77777777" w:rsidR="004D0DEA" w:rsidRPr="002E313A" w:rsidRDefault="004D0DEA" w:rsidP="004D0DEA">
      <w:pPr>
        <w:pStyle w:val="ListBullet"/>
        <w:rPr>
          <w:snapToGrid w:val="0"/>
        </w:rPr>
      </w:pPr>
      <w:r>
        <w:rPr>
          <w:snapToGrid w:val="0"/>
        </w:rPr>
        <w:t>i</w:t>
      </w:r>
      <w:r w:rsidRPr="002E313A">
        <w:rPr>
          <w:snapToGrid w:val="0"/>
        </w:rPr>
        <w:t>mplementation of SPECTRA, the ACMA’s new integrated spectrum management system</w:t>
      </w:r>
    </w:p>
    <w:p w14:paraId="59C37C97" w14:textId="77777777" w:rsidR="004D0DEA" w:rsidRPr="002E313A" w:rsidRDefault="004D0DEA" w:rsidP="004D0DEA">
      <w:pPr>
        <w:pStyle w:val="ListBullet"/>
        <w:rPr>
          <w:snapToGrid w:val="0"/>
        </w:rPr>
      </w:pPr>
      <w:r>
        <w:rPr>
          <w:snapToGrid w:val="0"/>
        </w:rPr>
        <w:t>r</w:t>
      </w:r>
      <w:r w:rsidRPr="002E313A">
        <w:rPr>
          <w:snapToGrid w:val="0"/>
        </w:rPr>
        <w:t xml:space="preserve">elease of </w:t>
      </w:r>
      <w:r w:rsidR="0045221C">
        <w:rPr>
          <w:snapToGrid w:val="0"/>
        </w:rPr>
        <w:t>its</w:t>
      </w:r>
      <w:r w:rsidR="0045221C" w:rsidRPr="002E313A">
        <w:rPr>
          <w:snapToGrid w:val="0"/>
        </w:rPr>
        <w:t xml:space="preserve"> </w:t>
      </w:r>
      <w:r>
        <w:rPr>
          <w:snapToGrid w:val="0"/>
        </w:rPr>
        <w:t>m</w:t>
      </w:r>
      <w:r w:rsidRPr="002E313A">
        <w:rPr>
          <w:snapToGrid w:val="0"/>
        </w:rPr>
        <w:t xml:space="preserve">obile </w:t>
      </w:r>
      <w:r>
        <w:rPr>
          <w:snapToGrid w:val="0"/>
        </w:rPr>
        <w:t>b</w:t>
      </w:r>
      <w:r w:rsidRPr="002E313A">
        <w:rPr>
          <w:snapToGrid w:val="0"/>
        </w:rPr>
        <w:t xml:space="preserve">roadband </w:t>
      </w:r>
      <w:r>
        <w:rPr>
          <w:snapToGrid w:val="0"/>
        </w:rPr>
        <w:t>p</w:t>
      </w:r>
      <w:r w:rsidRPr="002E313A">
        <w:rPr>
          <w:snapToGrid w:val="0"/>
        </w:rPr>
        <w:t>rogram paper</w:t>
      </w:r>
      <w:r w:rsidR="006C28F0">
        <w:rPr>
          <w:snapToGrid w:val="0"/>
        </w:rPr>
        <w:t xml:space="preserve">: </w:t>
      </w:r>
      <w:hyperlink r:id="rId38" w:history="1">
        <w:r w:rsidR="006C28F0" w:rsidRPr="00DD42A4">
          <w:rPr>
            <w:rStyle w:val="Hyperlink"/>
            <w:rFonts w:cs="Arial"/>
            <w:i/>
            <w:szCs w:val="20"/>
          </w:rPr>
          <w:t>Mobile broadband strategy—The ACMA’s spectrum management strategy to address the growth in mobile broadband capacity</w:t>
        </w:r>
      </w:hyperlink>
      <w:r w:rsidR="0045221C">
        <w:rPr>
          <w:snapToGrid w:val="0"/>
        </w:rPr>
        <w:t xml:space="preserve"> </w:t>
      </w:r>
    </w:p>
    <w:p w14:paraId="3B8F9ADA" w14:textId="77777777" w:rsidR="004D0DEA" w:rsidRPr="002E313A" w:rsidRDefault="004D0DEA" w:rsidP="004D0DEA">
      <w:pPr>
        <w:pStyle w:val="ListBullet"/>
        <w:rPr>
          <w:snapToGrid w:val="0"/>
        </w:rPr>
      </w:pPr>
      <w:r>
        <w:rPr>
          <w:snapToGrid w:val="0"/>
        </w:rPr>
        <w:t>t</w:t>
      </w:r>
      <w:r w:rsidRPr="002E313A">
        <w:rPr>
          <w:snapToGrid w:val="0"/>
        </w:rPr>
        <w:t xml:space="preserve">ransition of spectrum licences in the 27 GHz band to apparatus licences </w:t>
      </w:r>
    </w:p>
    <w:p w14:paraId="0F34698D" w14:textId="77777777" w:rsidR="004D0DEA" w:rsidRPr="002E313A" w:rsidRDefault="004D0DEA" w:rsidP="004D0DEA">
      <w:pPr>
        <w:pStyle w:val="ListBulletLast"/>
        <w:rPr>
          <w:snapToGrid w:val="0"/>
        </w:rPr>
      </w:pPr>
      <w:r w:rsidRPr="002E313A">
        <w:rPr>
          <w:snapToGrid w:val="0"/>
        </w:rPr>
        <w:t>allocation of 1800 MHz spectrum licences in regional Australia</w:t>
      </w:r>
      <w:r w:rsidR="005D261D">
        <w:rPr>
          <w:snapToGrid w:val="0"/>
        </w:rPr>
        <w:t>, already leading to ne 4G services</w:t>
      </w:r>
      <w:r>
        <w:rPr>
          <w:snapToGrid w:val="0"/>
        </w:rPr>
        <w:t>.</w:t>
      </w:r>
    </w:p>
    <w:p w14:paraId="68C1FD38" w14:textId="722C0593" w:rsidR="004D0DEA" w:rsidRPr="002E313A" w:rsidRDefault="004D0DEA" w:rsidP="004D0DEA">
      <w:pPr>
        <w:rPr>
          <w:rFonts w:eastAsiaTheme="majorEastAsia"/>
        </w:rPr>
      </w:pPr>
      <w:r w:rsidRPr="002E313A">
        <w:rPr>
          <w:rFonts w:eastAsiaTheme="majorEastAsia"/>
        </w:rPr>
        <w:t xml:space="preserve">This </w:t>
      </w:r>
      <w:r w:rsidR="006C28F0">
        <w:rPr>
          <w:rFonts w:eastAsiaTheme="majorEastAsia"/>
        </w:rPr>
        <w:t>coming</w:t>
      </w:r>
      <w:r w:rsidR="005D261D">
        <w:rPr>
          <w:rFonts w:eastAsiaTheme="majorEastAsia"/>
        </w:rPr>
        <w:t xml:space="preserve"> </w:t>
      </w:r>
      <w:r w:rsidRPr="002E313A">
        <w:rPr>
          <w:rFonts w:eastAsiaTheme="majorEastAsia"/>
        </w:rPr>
        <w:t xml:space="preserve">year, implementation of the </w:t>
      </w:r>
      <w:r w:rsidR="005D261D">
        <w:rPr>
          <w:rFonts w:eastAsiaTheme="majorEastAsia"/>
        </w:rPr>
        <w:t xml:space="preserve">government’s </w:t>
      </w:r>
      <w:r w:rsidR="00804AF2">
        <w:rPr>
          <w:rFonts w:eastAsiaTheme="majorEastAsia"/>
        </w:rPr>
        <w:t>Spectrum R</w:t>
      </w:r>
      <w:r w:rsidRPr="002E313A">
        <w:rPr>
          <w:rFonts w:eastAsiaTheme="majorEastAsia"/>
        </w:rPr>
        <w:t>eview reforms will require us to consider significant changes to our licensing, device supply schemes, pricing, compliance and enforcement</w:t>
      </w:r>
      <w:r w:rsidR="005D261D">
        <w:rPr>
          <w:rFonts w:eastAsiaTheme="majorEastAsia"/>
        </w:rPr>
        <w:t xml:space="preserve"> activities</w:t>
      </w:r>
      <w:r w:rsidRPr="002E313A">
        <w:rPr>
          <w:rFonts w:eastAsiaTheme="majorEastAsia"/>
        </w:rPr>
        <w:t xml:space="preserve"> and management of broadcasting services. This will have implications for the ACMA’s spectrum management functions and the prioritisation of our work.</w:t>
      </w:r>
    </w:p>
    <w:p w14:paraId="751C339E" w14:textId="77777777" w:rsidR="004D0DEA" w:rsidRPr="002E313A" w:rsidRDefault="004D0DEA" w:rsidP="004D0DEA">
      <w:r w:rsidRPr="002E313A">
        <w:t xml:space="preserve">Part 3 of the </w:t>
      </w:r>
      <w:r w:rsidRPr="0039046B">
        <w:rPr>
          <w:i/>
        </w:rPr>
        <w:t>Five-year spectrum outlook</w:t>
      </w:r>
      <w:r w:rsidRPr="002E313A">
        <w:t xml:space="preserve"> </w:t>
      </w:r>
      <w:r w:rsidRPr="00B02E5C">
        <w:rPr>
          <w:i/>
        </w:rPr>
        <w:t>2016–20</w:t>
      </w:r>
      <w:r>
        <w:rPr>
          <w:i/>
        </w:rPr>
        <w:t xml:space="preserve"> </w:t>
      </w:r>
      <w:r w:rsidR="009467D2">
        <w:t>focuses</w:t>
      </w:r>
      <w:r w:rsidRPr="002E313A">
        <w:t xml:space="preserve"> on the </w:t>
      </w:r>
      <w:r>
        <w:t>m</w:t>
      </w:r>
      <w:r w:rsidRPr="002E313A">
        <w:t xml:space="preserve">obile </w:t>
      </w:r>
      <w:r>
        <w:t>b</w:t>
      </w:r>
      <w:r w:rsidRPr="002E313A">
        <w:t xml:space="preserve">roadband </w:t>
      </w:r>
      <w:r>
        <w:t>p</w:t>
      </w:r>
      <w:r w:rsidRPr="002E313A">
        <w:t xml:space="preserve">rogram with a detailed update on the frequency bands </w:t>
      </w:r>
      <w:r w:rsidR="009467D2">
        <w:t xml:space="preserve">being </w:t>
      </w:r>
      <w:r w:rsidRPr="002E313A">
        <w:t xml:space="preserve">considered for mobile broadband services. Other areas of focus are the preparatory work undertaken by the ACMA to facilitate access to spectrum in response to technology advances such as 5G, Internet of Things </w:t>
      </w:r>
      <w:r>
        <w:t xml:space="preserve">(IoT) </w:t>
      </w:r>
      <w:r w:rsidRPr="002E313A">
        <w:t xml:space="preserve">and </w:t>
      </w:r>
      <w:r>
        <w:t>d</w:t>
      </w:r>
      <w:r w:rsidRPr="002E313A">
        <w:t xml:space="preserve">ynamic </w:t>
      </w:r>
      <w:r>
        <w:t>s</w:t>
      </w:r>
      <w:r w:rsidRPr="002E313A">
        <w:t xml:space="preserve">pectrum </w:t>
      </w:r>
      <w:r>
        <w:t>a</w:t>
      </w:r>
      <w:r w:rsidRPr="002E313A">
        <w:t>ccess</w:t>
      </w:r>
      <w:r>
        <w:t xml:space="preserve"> (DSA)</w:t>
      </w:r>
      <w:r w:rsidRPr="002E313A">
        <w:t xml:space="preserve">. </w:t>
      </w:r>
    </w:p>
    <w:p w14:paraId="55F53247" w14:textId="77777777" w:rsidR="004D0DEA" w:rsidRPr="002E313A" w:rsidRDefault="004D0DEA" w:rsidP="004D0DEA">
      <w:r w:rsidRPr="002E313A">
        <w:t xml:space="preserve">Our approach to spectrum management continues to be shaped by our ongoing experiences, observations and evaluation of the spectrum management environment, both </w:t>
      </w:r>
      <w:r w:rsidR="009467D2">
        <w:t>in</w:t>
      </w:r>
      <w:r w:rsidR="009467D2" w:rsidRPr="002E313A">
        <w:t xml:space="preserve"> </w:t>
      </w:r>
      <w:r w:rsidRPr="002E313A">
        <w:t>Australia and across the glob</w:t>
      </w:r>
      <w:r w:rsidR="009467D2">
        <w:t>e and t</w:t>
      </w:r>
      <w:r w:rsidRPr="002E313A">
        <w:t xml:space="preserve">he ACMA </w:t>
      </w:r>
      <w:r w:rsidR="009467D2">
        <w:t>will continue</w:t>
      </w:r>
      <w:r w:rsidR="009467D2" w:rsidRPr="002E313A">
        <w:t xml:space="preserve"> </w:t>
      </w:r>
      <w:r w:rsidRPr="002E313A">
        <w:t xml:space="preserve">to work with government and stakeholders to build tools and capabilities to ensure that regulation is efficient and appropriate in the face of ever-increasing demand for access to spectrum. </w:t>
      </w:r>
    </w:p>
    <w:p w14:paraId="3A96ADA0" w14:textId="77777777" w:rsidR="00144ABF" w:rsidRPr="003775C4" w:rsidRDefault="004D0DEA" w:rsidP="00144ABF">
      <w:pPr>
        <w:spacing w:after="480"/>
        <w:rPr>
          <w:rStyle w:val="Hyperlink"/>
          <w:rFonts w:cs="Arial"/>
          <w:color w:val="auto"/>
          <w:szCs w:val="20"/>
        </w:rPr>
      </w:pPr>
      <w:r w:rsidRPr="002E313A">
        <w:lastRenderedPageBreak/>
        <w:t xml:space="preserve">Thank you for taking </w:t>
      </w:r>
      <w:r>
        <w:t>the</w:t>
      </w:r>
      <w:r w:rsidRPr="002E313A">
        <w:t xml:space="preserve"> time to read the </w:t>
      </w:r>
      <w:r w:rsidRPr="0039046B">
        <w:rPr>
          <w:i/>
        </w:rPr>
        <w:t>Five-year spectrum outlook</w:t>
      </w:r>
      <w:r>
        <w:t xml:space="preserve"> </w:t>
      </w:r>
      <w:r w:rsidRPr="00B02E5C">
        <w:rPr>
          <w:i/>
        </w:rPr>
        <w:t>2016–20</w:t>
      </w:r>
      <w:r w:rsidRPr="002E313A">
        <w:t>. As always</w:t>
      </w:r>
      <w:r>
        <w:t>,</w:t>
      </w:r>
      <w:r w:rsidRPr="002E313A">
        <w:t xml:space="preserve"> we are </w:t>
      </w:r>
      <w:r w:rsidR="009467D2">
        <w:t>keen to receive</w:t>
      </w:r>
      <w:r w:rsidRPr="002E313A">
        <w:t xml:space="preserve"> your feedback on </w:t>
      </w:r>
      <w:r>
        <w:t>our proposed work p</w:t>
      </w:r>
      <w:r w:rsidRPr="002E313A">
        <w:t xml:space="preserve">rogram, to assist us in delivering spectrum management activities consistent with our strategic goal to make communications and media work in the public interest. Please email your comments to </w:t>
      </w:r>
      <w:hyperlink r:id="rId39" w:history="1">
        <w:r w:rsidRPr="002E313A">
          <w:rPr>
            <w:rStyle w:val="Hyperlink"/>
            <w:rFonts w:cs="Arial"/>
            <w:szCs w:val="20"/>
          </w:rPr>
          <w:t>spectrumlicensingpolicy@acma.gov.au</w:t>
        </w:r>
      </w:hyperlink>
      <w:r w:rsidR="003775C4" w:rsidRPr="003775C4">
        <w:t>.</w:t>
      </w:r>
    </w:p>
    <w:p w14:paraId="418FB92D" w14:textId="77777777" w:rsidR="00144ABF" w:rsidRDefault="00144ABF" w:rsidP="00144ABF">
      <w:pPr>
        <w:ind w:left="-426"/>
        <w:rPr>
          <w:rStyle w:val="Hyperlink"/>
          <w:rFonts w:cs="Arial"/>
          <w:color w:val="auto"/>
          <w:szCs w:val="20"/>
          <w:u w:val="none"/>
        </w:rPr>
      </w:pPr>
      <w:r>
        <w:rPr>
          <w:rFonts w:cs="Arial"/>
          <w:noProof/>
          <w:szCs w:val="20"/>
        </w:rPr>
        <w:drawing>
          <wp:inline distT="0" distB="0" distL="0" distR="0" wp14:anchorId="0B072B5C" wp14:editId="23BC2BE6">
            <wp:extent cx="2986770" cy="537148"/>
            <wp:effectExtent l="0" t="0" r="4445" b="0"/>
            <wp:docPr id="6" name="Picture 6" title="Richard Bean's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ichard Bean signature.jpg"/>
                    <pic:cNvPicPr/>
                  </pic:nvPicPr>
                  <pic:blipFill>
                    <a:blip r:embed="rId40">
                      <a:extLst>
                        <a:ext uri="{28A0092B-C50C-407E-A947-70E740481C1C}">
                          <a14:useLocalDpi xmlns:a14="http://schemas.microsoft.com/office/drawing/2010/main" val="0"/>
                        </a:ext>
                      </a:extLst>
                    </a:blip>
                    <a:stretch>
                      <a:fillRect/>
                    </a:stretch>
                  </pic:blipFill>
                  <pic:spPr>
                    <a:xfrm>
                      <a:off x="0" y="0"/>
                      <a:ext cx="3018003" cy="542765"/>
                    </a:xfrm>
                    <a:prstGeom prst="rect">
                      <a:avLst/>
                    </a:prstGeom>
                  </pic:spPr>
                </pic:pic>
              </a:graphicData>
            </a:graphic>
          </wp:inline>
        </w:drawing>
      </w:r>
    </w:p>
    <w:p w14:paraId="41BFDC53" w14:textId="77777777" w:rsidR="009467D2" w:rsidRPr="00AE0A87" w:rsidRDefault="009467D2" w:rsidP="00006A2A">
      <w:pPr>
        <w:rPr>
          <w:rStyle w:val="Hyperlink"/>
          <w:rFonts w:cs="Arial"/>
          <w:color w:val="auto"/>
          <w:szCs w:val="20"/>
          <w:u w:val="none"/>
        </w:rPr>
      </w:pPr>
      <w:r w:rsidRPr="00AE0A87">
        <w:rPr>
          <w:rStyle w:val="Hyperlink"/>
          <w:rFonts w:cs="Arial"/>
          <w:color w:val="auto"/>
          <w:szCs w:val="20"/>
          <w:u w:val="none"/>
        </w:rPr>
        <w:t>Richard Bean</w:t>
      </w:r>
      <w:r w:rsidRPr="00AE0A87">
        <w:rPr>
          <w:rStyle w:val="Hyperlink"/>
          <w:rFonts w:cs="Arial"/>
          <w:color w:val="auto"/>
          <w:szCs w:val="20"/>
          <w:u w:val="none"/>
        </w:rPr>
        <w:br/>
        <w:t>Acting Chairman</w:t>
      </w:r>
    </w:p>
    <w:p w14:paraId="787421FB" w14:textId="77777777" w:rsidR="004D0DEA" w:rsidRPr="00524B01" w:rsidRDefault="004D0DEA" w:rsidP="00AE0A87">
      <w:pPr>
        <w:pStyle w:val="ACMAExecSummaryHeading"/>
        <w:pageBreakBefore/>
      </w:pPr>
      <w:bookmarkStart w:id="6" w:name="_Toc463351291"/>
      <w:r w:rsidRPr="00524B01">
        <w:t>Executive summary</w:t>
      </w:r>
      <w:bookmarkEnd w:id="6"/>
    </w:p>
    <w:p w14:paraId="1A48A57A" w14:textId="77777777" w:rsidR="004D0DEA" w:rsidRPr="002E313A" w:rsidRDefault="004D0DEA" w:rsidP="004D0DEA">
      <w:pPr>
        <w:rPr>
          <w:rFonts w:cs="Arial"/>
        </w:rPr>
      </w:pPr>
      <w:r w:rsidRPr="002E313A">
        <w:t xml:space="preserve">The </w:t>
      </w:r>
      <w:r w:rsidR="00587B80">
        <w:t>FYSO</w:t>
      </w:r>
      <w:r w:rsidRPr="002E313A">
        <w:t xml:space="preserve"> is a</w:t>
      </w:r>
      <w:r>
        <w:t>n important</w:t>
      </w:r>
      <w:r w:rsidRPr="002E313A">
        <w:t xml:space="preserve"> component </w:t>
      </w:r>
      <w:r>
        <w:t>of</w:t>
      </w:r>
      <w:r w:rsidRPr="002E313A">
        <w:t xml:space="preserve"> the </w:t>
      </w:r>
      <w:r>
        <w:t>ACMA’s</w:t>
      </w:r>
      <w:r w:rsidRPr="002E313A">
        <w:t xml:space="preserve"> consultation and planning framework for spectrum management. It provides information </w:t>
      </w:r>
      <w:r w:rsidRPr="002E313A">
        <w:rPr>
          <w:rFonts w:cs="Arial"/>
        </w:rPr>
        <w:t xml:space="preserve">on demand pressures for spectrum and other significant challenges arising from the external environment. Publication of the </w:t>
      </w:r>
      <w:r w:rsidR="00DC5C14">
        <w:rPr>
          <w:rFonts w:cs="Arial"/>
        </w:rPr>
        <w:t>FYSO</w:t>
      </w:r>
      <w:r w:rsidRPr="002E313A">
        <w:rPr>
          <w:rFonts w:cs="Arial"/>
        </w:rPr>
        <w:t xml:space="preserve"> supports consultation on specific spectrum issues, discussion papers and feedback through the ACMA’s RadComms conference</w:t>
      </w:r>
      <w:r>
        <w:rPr>
          <w:rFonts w:cs="Arial"/>
        </w:rPr>
        <w:t>s</w:t>
      </w:r>
      <w:r w:rsidRPr="002E313A">
        <w:rPr>
          <w:rFonts w:cs="Arial"/>
        </w:rPr>
        <w:t xml:space="preserve"> and spectrum tune-ups.</w:t>
      </w:r>
    </w:p>
    <w:p w14:paraId="70010692" w14:textId="77777777" w:rsidR="004D0DEA" w:rsidRPr="002E313A" w:rsidRDefault="004D0DEA" w:rsidP="004D0DEA">
      <w:r w:rsidRPr="002E313A">
        <w:t xml:space="preserve">Through these targeted mechanisms, the ACMA strives to engage all stakeholders in a public discussion </w:t>
      </w:r>
      <w:r>
        <w:t>about</w:t>
      </w:r>
      <w:r w:rsidRPr="002E313A">
        <w:t xml:space="preserve"> the demands on spectrum and prioritisation of spectrum projects. This partnership approach is critical in managing the radiofrequency spectrum. </w:t>
      </w:r>
    </w:p>
    <w:p w14:paraId="7265F34A" w14:textId="77777777" w:rsidR="004D0DEA" w:rsidRPr="002E313A" w:rsidRDefault="004D0DEA" w:rsidP="004D0DEA">
      <w:pPr>
        <w:rPr>
          <w:szCs w:val="20"/>
        </w:rPr>
      </w:pPr>
      <w:r w:rsidRPr="002E313A">
        <w:rPr>
          <w:szCs w:val="20"/>
        </w:rPr>
        <w:t xml:space="preserve">The ACMA’s </w:t>
      </w:r>
      <w:r w:rsidR="00DC5C14">
        <w:rPr>
          <w:rFonts w:cs="Arial"/>
          <w:szCs w:val="20"/>
        </w:rPr>
        <w:t>FYSO</w:t>
      </w:r>
      <w:r w:rsidRPr="002E313A">
        <w:rPr>
          <w:rFonts w:cs="Arial"/>
          <w:szCs w:val="20"/>
        </w:rPr>
        <w:t xml:space="preserve"> </w:t>
      </w:r>
      <w:r w:rsidRPr="002E313A">
        <w:rPr>
          <w:szCs w:val="20"/>
        </w:rPr>
        <w:t xml:space="preserve">provides </w:t>
      </w:r>
      <w:r w:rsidRPr="002E313A">
        <w:rPr>
          <w:rFonts w:cs="Arial"/>
          <w:szCs w:val="20"/>
        </w:rPr>
        <w:t xml:space="preserve">an annual overview of the ACMA’s spectrum management priorities and issues over the near to medium term, and its plans to address them. </w:t>
      </w:r>
      <w:r w:rsidRPr="002E313A">
        <w:rPr>
          <w:szCs w:val="20"/>
        </w:rPr>
        <w:t>Stakeholders can use the document to identify when the ACMA expects a particular work program to commence, and to understand the priority applied to particular activities by the ACMA.</w:t>
      </w:r>
    </w:p>
    <w:p w14:paraId="4C335F95" w14:textId="77777777" w:rsidR="004D0DEA" w:rsidRPr="002E313A" w:rsidRDefault="00A67038" w:rsidP="004D0DEA">
      <w:r>
        <w:t>In</w:t>
      </w:r>
      <w:r w:rsidRPr="002E313A">
        <w:t xml:space="preserve"> </w:t>
      </w:r>
      <w:r w:rsidR="004D0DEA" w:rsidRPr="002E313A">
        <w:t>this context, th</w:t>
      </w:r>
      <w:r w:rsidR="004D0DEA">
        <w:t>e</w:t>
      </w:r>
      <w:r w:rsidR="004D0DEA" w:rsidRPr="002E313A">
        <w:t xml:space="preserve"> </w:t>
      </w:r>
      <w:r w:rsidR="004D0DEA" w:rsidRPr="0039046B">
        <w:rPr>
          <w:i/>
        </w:rPr>
        <w:t>Five-year spectrum outlook 2016–20</w:t>
      </w:r>
      <w:r w:rsidR="004D0DEA" w:rsidRPr="002E313A">
        <w:t xml:space="preserve"> is provided in four parts.</w:t>
      </w:r>
    </w:p>
    <w:p w14:paraId="69E6C126" w14:textId="77777777" w:rsidR="004D0DEA" w:rsidRPr="002E313A" w:rsidRDefault="004D0DEA" w:rsidP="004D0DEA">
      <w:r w:rsidRPr="002E313A">
        <w:rPr>
          <w:b/>
        </w:rPr>
        <w:t>Part 1</w:t>
      </w:r>
      <w:r w:rsidRPr="002E313A">
        <w:t xml:space="preserve"> sets out the ACMA’s high</w:t>
      </w:r>
      <w:r>
        <w:t>-</w:t>
      </w:r>
      <w:r w:rsidRPr="002E313A">
        <w:t>level approach to decision-making, how evidence is used to identify priorities and develop work programs, and information on external pressures that affect spectrum management. The key issue for the ACMA will be the extent to which</w:t>
      </w:r>
      <w:r w:rsidR="003843DB">
        <w:t xml:space="preserve"> implementation of</w:t>
      </w:r>
      <w:r w:rsidRPr="002E313A">
        <w:t xml:space="preserve"> the Spectrum Review </w:t>
      </w:r>
      <w:r w:rsidR="003843DB">
        <w:t xml:space="preserve">recommendations </w:t>
      </w:r>
      <w:r w:rsidRPr="002E313A">
        <w:t>will affect the ACMA’s spectrum management priorities in the future.</w:t>
      </w:r>
    </w:p>
    <w:p w14:paraId="548CCFD5" w14:textId="77777777" w:rsidR="004D0DEA" w:rsidRPr="002E313A" w:rsidRDefault="004D0DEA" w:rsidP="004D0DEA">
      <w:r>
        <w:t>P</w:t>
      </w:r>
      <w:r w:rsidRPr="002E313A">
        <w:t xml:space="preserve">art </w:t>
      </w:r>
      <w:r>
        <w:t xml:space="preserve">1 </w:t>
      </w:r>
      <w:r w:rsidRPr="002E313A">
        <w:t xml:space="preserve">also </w:t>
      </w:r>
      <w:r w:rsidR="00A67038">
        <w:t>includes</w:t>
      </w:r>
      <w:r w:rsidR="00A67038" w:rsidRPr="002E313A">
        <w:t xml:space="preserve"> </w:t>
      </w:r>
      <w:r w:rsidRPr="002E313A">
        <w:t>a discussion o</w:t>
      </w:r>
      <w:r w:rsidR="00A67038">
        <w:t>f</w:t>
      </w:r>
      <w:r w:rsidRPr="002E313A">
        <w:t xml:space="preserve"> the ACMA’s response to the significant issues affecting current and future demand for spectrum with particular emphasis</w:t>
      </w:r>
      <w:r>
        <w:t xml:space="preserve"> on the mobile broadband. It also discusses the ACMA’s preparatory work to facilitate access to spectrum for 5G, IoT and </w:t>
      </w:r>
      <w:r w:rsidRPr="0039046B">
        <w:t>DSA</w:t>
      </w:r>
      <w:r w:rsidRPr="00992F00">
        <w:t xml:space="preserve"> technologies.</w:t>
      </w:r>
    </w:p>
    <w:p w14:paraId="390DEFFA" w14:textId="436CF225" w:rsidR="00102DB0" w:rsidRDefault="004D0DEA" w:rsidP="00102DB0">
      <w:pPr>
        <w:spacing w:after="80"/>
      </w:pPr>
      <w:r w:rsidRPr="002E313A">
        <w:rPr>
          <w:b/>
        </w:rPr>
        <w:t>Part 2</w:t>
      </w:r>
      <w:r w:rsidRPr="002E313A">
        <w:t xml:space="preserve"> </w:t>
      </w:r>
      <w:r>
        <w:t>presents</w:t>
      </w:r>
      <w:r w:rsidRPr="002E313A">
        <w:t xml:space="preserve"> the ACMA’s </w:t>
      </w:r>
      <w:r>
        <w:t xml:space="preserve">work plan for the </w:t>
      </w:r>
      <w:r w:rsidR="00472198">
        <w:t>2016–</w:t>
      </w:r>
      <w:r w:rsidR="00A86591">
        <w:t>17 financial year</w:t>
      </w:r>
      <w:r w:rsidR="00102DB0">
        <w:t>,</w:t>
      </w:r>
      <w:r w:rsidR="00401FE9">
        <w:t xml:space="preserve"> in two parts:</w:t>
      </w:r>
    </w:p>
    <w:p w14:paraId="66BC1C3D" w14:textId="77777777" w:rsidR="00102DB0" w:rsidRDefault="007B5FA9" w:rsidP="00AE0A87">
      <w:pPr>
        <w:pStyle w:val="ListBullet"/>
      </w:pPr>
      <w:r>
        <w:t>i</w:t>
      </w:r>
      <w:r w:rsidR="00102DB0">
        <w:t xml:space="preserve">n </w:t>
      </w:r>
      <w:r w:rsidR="00102DB0" w:rsidRPr="009F4621">
        <w:t xml:space="preserve">the first part, key </w:t>
      </w:r>
      <w:r w:rsidR="00102DB0" w:rsidRPr="00AE0A87">
        <w:t>priority</w:t>
      </w:r>
      <w:r w:rsidR="00102DB0" w:rsidRPr="009F4621">
        <w:t xml:space="preserve"> projects are grouped under three broad themes</w:t>
      </w:r>
      <w:r w:rsidR="00102DB0">
        <w:t>:</w:t>
      </w:r>
    </w:p>
    <w:p w14:paraId="599448DE" w14:textId="77777777" w:rsidR="00102DB0" w:rsidRDefault="00AE0A87" w:rsidP="00AE0A87">
      <w:pPr>
        <w:pStyle w:val="ListBullet2"/>
      </w:pPr>
      <w:r>
        <w:t>m</w:t>
      </w:r>
      <w:r w:rsidR="00102DB0">
        <w:t>aximising the overall public benefit arising from the use of spectrum</w:t>
      </w:r>
    </w:p>
    <w:p w14:paraId="28BC5E64" w14:textId="77777777" w:rsidR="00102DB0" w:rsidRDefault="00AE0A87" w:rsidP="00AE0A87">
      <w:pPr>
        <w:pStyle w:val="ListBullet2"/>
      </w:pPr>
      <w:r>
        <w:t>r</w:t>
      </w:r>
      <w:r w:rsidR="00102DB0">
        <w:t>educing the cost to business arising from regulation</w:t>
      </w:r>
    </w:p>
    <w:p w14:paraId="5D7DF1D3" w14:textId="77777777" w:rsidR="00102DB0" w:rsidRPr="009F4621" w:rsidRDefault="00AE0A87" w:rsidP="007B5FA9">
      <w:pPr>
        <w:pStyle w:val="ListBullet2"/>
      </w:pPr>
      <w:r>
        <w:t>i</w:t>
      </w:r>
      <w:r w:rsidR="00102DB0">
        <w:t>mplementing reform outcomes</w:t>
      </w:r>
      <w:r>
        <w:t>.</w:t>
      </w:r>
    </w:p>
    <w:p w14:paraId="43B32124" w14:textId="183A975E" w:rsidR="00102DB0" w:rsidRPr="0022443C" w:rsidRDefault="007B5FA9" w:rsidP="00102DB0">
      <w:pPr>
        <w:pStyle w:val="ListBullet"/>
      </w:pPr>
      <w:r>
        <w:rPr>
          <w:rFonts w:cs="Arial"/>
          <w:szCs w:val="20"/>
        </w:rPr>
        <w:t>i</w:t>
      </w:r>
      <w:r w:rsidR="00102DB0" w:rsidRPr="009F4621">
        <w:rPr>
          <w:rFonts w:cs="Arial"/>
          <w:szCs w:val="20"/>
        </w:rPr>
        <w:t>n the second part, projects</w:t>
      </w:r>
      <w:r w:rsidR="00102DB0">
        <w:rPr>
          <w:rFonts w:cs="Arial"/>
          <w:szCs w:val="20"/>
        </w:rPr>
        <w:t xml:space="preserve"> and activities </w:t>
      </w:r>
      <w:r w:rsidR="00FE6C7F">
        <w:rPr>
          <w:rFonts w:cs="Arial"/>
          <w:szCs w:val="20"/>
        </w:rPr>
        <w:t>are</w:t>
      </w:r>
      <w:r w:rsidR="00102DB0">
        <w:rPr>
          <w:rFonts w:cs="Arial"/>
          <w:szCs w:val="20"/>
        </w:rPr>
        <w:t xml:space="preserve"> </w:t>
      </w:r>
      <w:r w:rsidR="00FE6C7F">
        <w:rPr>
          <w:rFonts w:cs="Arial"/>
          <w:szCs w:val="20"/>
        </w:rPr>
        <w:t xml:space="preserve">listed in </w:t>
      </w:r>
      <w:r w:rsidR="00102DB0">
        <w:rPr>
          <w:rFonts w:cs="Arial"/>
          <w:szCs w:val="20"/>
        </w:rPr>
        <w:t>two tables on the following</w:t>
      </w:r>
      <w:r w:rsidR="00472198">
        <w:rPr>
          <w:rFonts w:cs="Arial"/>
          <w:szCs w:val="20"/>
        </w:rPr>
        <w:t> </w:t>
      </w:r>
      <w:r w:rsidR="00102DB0">
        <w:rPr>
          <w:rFonts w:cs="Arial"/>
          <w:szCs w:val="20"/>
        </w:rPr>
        <w:t xml:space="preserve">basis: </w:t>
      </w:r>
    </w:p>
    <w:p w14:paraId="4A0B34B9" w14:textId="77777777" w:rsidR="00102DB0" w:rsidRPr="0022443C" w:rsidRDefault="00102DB0" w:rsidP="00AE0A87">
      <w:pPr>
        <w:pStyle w:val="ListBullet2"/>
      </w:pPr>
      <w:r w:rsidRPr="00AE0A87">
        <w:t>band</w:t>
      </w:r>
      <w:r>
        <w:t xml:space="preserve">-by-band projects </w:t>
      </w:r>
    </w:p>
    <w:p w14:paraId="2AF28476" w14:textId="77777777" w:rsidR="00102DB0" w:rsidRPr="00E36C3D" w:rsidRDefault="00102DB0" w:rsidP="00AE0A87">
      <w:pPr>
        <w:pStyle w:val="ListBullet2"/>
        <w:spacing w:after="240"/>
      </w:pPr>
      <w:r w:rsidRPr="00AE0A87">
        <w:t>regulatory</w:t>
      </w:r>
      <w:r>
        <w:t xml:space="preserve"> and service-planning projects.</w:t>
      </w:r>
    </w:p>
    <w:p w14:paraId="34D061E2" w14:textId="77777777" w:rsidR="004D0DEA" w:rsidRDefault="004D0DEA" w:rsidP="004D0DEA">
      <w:r>
        <w:t xml:space="preserve">The ACMA welcomes the Spectrum Review recommendation that </w:t>
      </w:r>
      <w:r w:rsidRPr="00E634AA">
        <w:t xml:space="preserve">the </w:t>
      </w:r>
      <w:r w:rsidRPr="002A043B">
        <w:t xml:space="preserve">ACMA should provide the </w:t>
      </w:r>
      <w:r>
        <w:t>m</w:t>
      </w:r>
      <w:r w:rsidRPr="002A043B">
        <w:t>inister with an annual work program, prepared in consultation with stakeholders, including key priorities over a three</w:t>
      </w:r>
      <w:r>
        <w:t>-</w:t>
      </w:r>
      <w:r w:rsidRPr="002A043B">
        <w:t xml:space="preserve"> to five</w:t>
      </w:r>
      <w:r>
        <w:t>-</w:t>
      </w:r>
      <w:r w:rsidRPr="002A043B">
        <w:t>year time</w:t>
      </w:r>
      <w:r>
        <w:t xml:space="preserve"> </w:t>
      </w:r>
      <w:r w:rsidRPr="002A043B">
        <w:t>frame</w:t>
      </w:r>
      <w:r>
        <w:t>.</w:t>
      </w:r>
      <w:r w:rsidRPr="002A043B">
        <w:t xml:space="preserve"> </w:t>
      </w:r>
      <w:r>
        <w:t>T</w:t>
      </w:r>
      <w:r w:rsidRPr="002A043B">
        <w:t>he present measure does not</w:t>
      </w:r>
      <w:r>
        <w:t>, however,</w:t>
      </w:r>
      <w:r w:rsidRPr="002A043B">
        <w:t xml:space="preserve"> purport to </w:t>
      </w:r>
      <w:r>
        <w:t xml:space="preserve">anticipate or </w:t>
      </w:r>
      <w:r w:rsidRPr="002A043B">
        <w:t xml:space="preserve">pre-empt </w:t>
      </w:r>
      <w:r>
        <w:t xml:space="preserve">implementation of this recommendation, which awaits passage of a new Act and any </w:t>
      </w:r>
      <w:r w:rsidRPr="002A043B">
        <w:t xml:space="preserve">ministerial </w:t>
      </w:r>
      <w:r>
        <w:t xml:space="preserve">directions or requests. </w:t>
      </w:r>
      <w:r w:rsidRPr="002A043B">
        <w:t xml:space="preserve">In the interim </w:t>
      </w:r>
      <w:r>
        <w:t>(</w:t>
      </w:r>
      <w:r w:rsidRPr="002A043B">
        <w:t xml:space="preserve">prior to implementation of the </w:t>
      </w:r>
      <w:r w:rsidR="00DC5C14">
        <w:t>r</w:t>
      </w:r>
      <w:r w:rsidRPr="002A043B">
        <w:t>eview</w:t>
      </w:r>
      <w:r>
        <w:t>)</w:t>
      </w:r>
      <w:r w:rsidRPr="002A043B">
        <w:t xml:space="preserve"> however, the Authority </w:t>
      </w:r>
      <w:r>
        <w:t xml:space="preserve">would </w:t>
      </w:r>
      <w:r w:rsidRPr="002A043B">
        <w:t xml:space="preserve">welcome industry </w:t>
      </w:r>
      <w:r>
        <w:t xml:space="preserve">engagement and </w:t>
      </w:r>
      <w:r w:rsidRPr="002A043B">
        <w:t>feedback on the</w:t>
      </w:r>
      <w:r>
        <w:t xml:space="preserve"> format and the increased level of detail provided about each project. </w:t>
      </w:r>
      <w:r w:rsidRPr="002E313A">
        <w:t xml:space="preserve">The work plan </w:t>
      </w:r>
      <w:r>
        <w:t xml:space="preserve">is presented </w:t>
      </w:r>
      <w:r w:rsidRPr="002E313A">
        <w:t xml:space="preserve">under </w:t>
      </w:r>
      <w:r>
        <w:t>three</w:t>
      </w:r>
      <w:r w:rsidRPr="002E313A">
        <w:t xml:space="preserve"> broad themes</w:t>
      </w:r>
      <w:r>
        <w:t xml:space="preserve">: </w:t>
      </w:r>
      <w:r w:rsidRPr="002E313A">
        <w:t>maximising the overall public benefit arising from use of spectrum</w:t>
      </w:r>
      <w:r>
        <w:t xml:space="preserve">; </w:t>
      </w:r>
      <w:r w:rsidRPr="002E313A">
        <w:t>reducing the cost to business arising from regulation</w:t>
      </w:r>
      <w:r>
        <w:t>; and</w:t>
      </w:r>
      <w:r w:rsidRPr="00A86D96">
        <w:t xml:space="preserve"> </w:t>
      </w:r>
      <w:r>
        <w:t>i</w:t>
      </w:r>
      <w:r w:rsidRPr="002E313A">
        <w:t>mplementing current reform priorities</w:t>
      </w:r>
      <w:r>
        <w:t>.</w:t>
      </w:r>
    </w:p>
    <w:p w14:paraId="3947EBBA" w14:textId="77777777" w:rsidR="004D0DEA" w:rsidRPr="002E313A" w:rsidRDefault="004D0DEA" w:rsidP="004D0DEA">
      <w:pPr>
        <w:spacing w:after="80"/>
      </w:pPr>
      <w:r w:rsidRPr="002E313A">
        <w:t xml:space="preserve">The first theme—maximising the overall public benefit arising from </w:t>
      </w:r>
      <w:r w:rsidR="00A67038">
        <w:t xml:space="preserve">the </w:t>
      </w:r>
      <w:r w:rsidRPr="002E313A">
        <w:t xml:space="preserve">use of spectrum—reflects the ACMA’s Principles for </w:t>
      </w:r>
      <w:r>
        <w:t>S</w:t>
      </w:r>
      <w:r w:rsidRPr="002E313A">
        <w:t xml:space="preserve">pectrum </w:t>
      </w:r>
      <w:r>
        <w:t>M</w:t>
      </w:r>
      <w:r w:rsidRPr="002E313A">
        <w:t xml:space="preserve">anagement. This theme provides information on the projects below and explains why </w:t>
      </w:r>
      <w:r w:rsidR="003775C4">
        <w:t>they are priority areas of work:</w:t>
      </w:r>
    </w:p>
    <w:p w14:paraId="172B0322" w14:textId="77777777" w:rsidR="004D0DEA" w:rsidRPr="002E313A" w:rsidRDefault="004D0DEA" w:rsidP="004D0DEA">
      <w:pPr>
        <w:pStyle w:val="ListBullet"/>
      </w:pPr>
      <w:r>
        <w:t>implementation of the m</w:t>
      </w:r>
      <w:r w:rsidRPr="002E313A">
        <w:t>obile broadband strategy and work program</w:t>
      </w:r>
    </w:p>
    <w:p w14:paraId="6823EA8B" w14:textId="77777777" w:rsidR="004D0DEA" w:rsidRPr="002E313A" w:rsidRDefault="004D0DEA" w:rsidP="004D0DEA">
      <w:pPr>
        <w:pStyle w:val="ListBullet"/>
      </w:pPr>
      <w:r>
        <w:t>p</w:t>
      </w:r>
      <w:r w:rsidRPr="002E313A">
        <w:t>riority compliance areas</w:t>
      </w:r>
      <w:r>
        <w:t xml:space="preserve"> (PCAs)</w:t>
      </w:r>
    </w:p>
    <w:p w14:paraId="44E9C35E" w14:textId="77777777" w:rsidR="004D0DEA" w:rsidRPr="002E313A" w:rsidRDefault="004D0DEA" w:rsidP="004D0DEA">
      <w:pPr>
        <w:pStyle w:val="ListBullet"/>
      </w:pPr>
      <w:r>
        <w:t>s</w:t>
      </w:r>
      <w:r w:rsidRPr="002E313A">
        <w:t>pectrum pricing initiatives</w:t>
      </w:r>
    </w:p>
    <w:p w14:paraId="56F8C410" w14:textId="77777777" w:rsidR="004D0DEA" w:rsidRDefault="004D0DEA" w:rsidP="004D0DEA">
      <w:pPr>
        <w:pStyle w:val="ListBullet"/>
      </w:pPr>
      <w:r>
        <w:t>spectrum allocations</w:t>
      </w:r>
    </w:p>
    <w:p w14:paraId="20868EA1" w14:textId="77777777" w:rsidR="004D0DEA" w:rsidRDefault="004D0DEA" w:rsidP="003E024F">
      <w:pPr>
        <w:pStyle w:val="ListBullet"/>
      </w:pPr>
      <w:r>
        <w:t>regional digital radio rollout</w:t>
      </w:r>
    </w:p>
    <w:p w14:paraId="651A70C8" w14:textId="77777777" w:rsidR="002D2461" w:rsidRPr="002E313A" w:rsidRDefault="002D2461" w:rsidP="003E024F">
      <w:pPr>
        <w:pStyle w:val="ListBulletLast"/>
      </w:pPr>
      <w:r>
        <w:t xml:space="preserve">AM to FM </w:t>
      </w:r>
      <w:r w:rsidRPr="003E024F">
        <w:t>conversions</w:t>
      </w:r>
      <w:r>
        <w:t xml:space="preserve"> of commercial radio broadcasting services in selected regional licence areas.</w:t>
      </w:r>
    </w:p>
    <w:p w14:paraId="42658EA2" w14:textId="77777777" w:rsidR="004D0DEA" w:rsidRPr="002E313A" w:rsidRDefault="004D0DEA" w:rsidP="004D0DEA">
      <w:r w:rsidRPr="002E313A">
        <w:t xml:space="preserve">The second theme—reducing the cost to business arising from regulation—reflects the government’s </w:t>
      </w:r>
      <w:r w:rsidR="00A67038">
        <w:t>better regulation</w:t>
      </w:r>
      <w:r w:rsidR="00A67038" w:rsidRPr="002E313A">
        <w:t xml:space="preserve"> </w:t>
      </w:r>
      <w:r w:rsidRPr="002E313A">
        <w:t xml:space="preserve">agenda. This theme focusses on the ACMA’s program of work to deliver spectrum management tools that will facilitate </w:t>
      </w:r>
      <w:r>
        <w:t xml:space="preserve">the capacity for </w:t>
      </w:r>
      <w:r w:rsidRPr="002E313A">
        <w:t xml:space="preserve">customer self-service.  </w:t>
      </w:r>
    </w:p>
    <w:p w14:paraId="4D1DBEDB" w14:textId="77777777" w:rsidR="004D0DEA" w:rsidRDefault="004D0DEA" w:rsidP="0039046B">
      <w:pPr>
        <w:spacing w:after="80"/>
      </w:pPr>
      <w:r w:rsidRPr="002E313A">
        <w:t xml:space="preserve">The third theme—implementing current reform priorities—recognises that the ACMA is responsible for implementing outcomes from major reforms. </w:t>
      </w:r>
      <w:r>
        <w:t xml:space="preserve">These are: </w:t>
      </w:r>
    </w:p>
    <w:p w14:paraId="092FC7E1" w14:textId="77777777" w:rsidR="004D0DEA" w:rsidRDefault="004D0DEA" w:rsidP="004D0DEA">
      <w:pPr>
        <w:pStyle w:val="ListBullet"/>
      </w:pPr>
      <w:r w:rsidRPr="00DA46DB">
        <w:t xml:space="preserve">the </w:t>
      </w:r>
      <w:r w:rsidRPr="00DC5C14">
        <w:t>government’s review of spectrum management</w:t>
      </w:r>
      <w:r w:rsidRPr="00DA46DB">
        <w:t xml:space="preserve"> </w:t>
      </w:r>
    </w:p>
    <w:p w14:paraId="0913C0EF" w14:textId="77777777" w:rsidR="004D0DEA" w:rsidRDefault="004D0DEA" w:rsidP="004D0DEA">
      <w:pPr>
        <w:pStyle w:val="ListBullet"/>
      </w:pPr>
      <w:r>
        <w:t xml:space="preserve">implementation of outcomes from the </w:t>
      </w:r>
      <w:r w:rsidRPr="00DA46DB">
        <w:t>400 MHz band rev</w:t>
      </w:r>
      <w:r>
        <w:t xml:space="preserve">iew </w:t>
      </w:r>
    </w:p>
    <w:p w14:paraId="55DD3B28" w14:textId="77777777" w:rsidR="004D0DEA" w:rsidRPr="000B40EB" w:rsidRDefault="004D0DEA" w:rsidP="004D0DEA">
      <w:pPr>
        <w:pStyle w:val="ListBulletLast"/>
      </w:pPr>
      <w:r w:rsidRPr="00DA46DB">
        <w:t xml:space="preserve">updates to the </w:t>
      </w:r>
      <w:r w:rsidRPr="00DA46DB">
        <w:rPr>
          <w:i/>
        </w:rPr>
        <w:t xml:space="preserve">Australian Radiofrequency </w:t>
      </w:r>
      <w:r>
        <w:rPr>
          <w:i/>
        </w:rPr>
        <w:t>S</w:t>
      </w:r>
      <w:r w:rsidRPr="00DA46DB">
        <w:rPr>
          <w:i/>
        </w:rPr>
        <w:t>pectrum Plan 2013</w:t>
      </w:r>
      <w:r w:rsidRPr="00DA46DB">
        <w:t xml:space="preserve"> to take into account </w:t>
      </w:r>
      <w:r w:rsidRPr="008D3B3B">
        <w:t>World Radiocommunications Conference 2015</w:t>
      </w:r>
      <w:r w:rsidRPr="00DA46DB">
        <w:t xml:space="preserve"> </w:t>
      </w:r>
      <w:r>
        <w:t xml:space="preserve">(WRC–15) </w:t>
      </w:r>
      <w:r w:rsidRPr="00DA46DB">
        <w:t xml:space="preserve">outcomes. </w:t>
      </w:r>
    </w:p>
    <w:p w14:paraId="23335F6D" w14:textId="77777777" w:rsidR="004D0DEA" w:rsidRPr="002E313A" w:rsidRDefault="004D0DEA" w:rsidP="004D0DEA">
      <w:r w:rsidRPr="002E313A">
        <w:rPr>
          <w:b/>
        </w:rPr>
        <w:t xml:space="preserve">Part 3 </w:t>
      </w:r>
      <w:r w:rsidRPr="002E313A">
        <w:t xml:space="preserve">contains the ACMA’s </w:t>
      </w:r>
      <w:r>
        <w:t>m</w:t>
      </w:r>
      <w:r w:rsidRPr="002E313A">
        <w:t xml:space="preserve">obile </w:t>
      </w:r>
      <w:r>
        <w:t>b</w:t>
      </w:r>
      <w:r w:rsidRPr="002E313A">
        <w:t xml:space="preserve">roadband </w:t>
      </w:r>
      <w:r>
        <w:t>s</w:t>
      </w:r>
      <w:r w:rsidRPr="002E313A">
        <w:t xml:space="preserve">trategy update. This is the first mobile broadband annual update to be included in </w:t>
      </w:r>
      <w:r>
        <w:t>a</w:t>
      </w:r>
      <w:r w:rsidRPr="002E313A">
        <w:t xml:space="preserve"> </w:t>
      </w:r>
      <w:r w:rsidR="00DC5C14">
        <w:t>FYSO</w:t>
      </w:r>
      <w:r w:rsidRPr="002E313A">
        <w:t xml:space="preserve">. The update outlines each of the projects that fall under the program, with details such as the project phase, work undertaken and next steps.  </w:t>
      </w:r>
    </w:p>
    <w:p w14:paraId="04E08FAD" w14:textId="77777777" w:rsidR="004D0DEA" w:rsidRDefault="004D0DEA" w:rsidP="004D0DEA">
      <w:r w:rsidRPr="002E313A">
        <w:rPr>
          <w:b/>
        </w:rPr>
        <w:t>Part 4</w:t>
      </w:r>
      <w:r w:rsidRPr="002E313A">
        <w:t xml:space="preserve"> sets out the ACMA’s spectrum management work programs it expects to com</w:t>
      </w:r>
      <w:r>
        <w:t>mence, or continue to progress</w:t>
      </w:r>
      <w:r w:rsidRPr="002E313A">
        <w:t>. It represents the ACMA’s preliminary thinking on priorities and provides an early opportunity for stakeholders to provide feedback on the ACMA’s proposed planning framework.</w:t>
      </w:r>
    </w:p>
    <w:p w14:paraId="35F4805E" w14:textId="77777777" w:rsidR="00006A2A" w:rsidRDefault="00006A2A" w:rsidP="00006A2A">
      <w:pPr>
        <w:pStyle w:val="Heading1"/>
      </w:pPr>
      <w:bookmarkStart w:id="7" w:name="_Toc433122125"/>
      <w:bookmarkStart w:id="8" w:name="_Toc442879664"/>
      <w:bookmarkStart w:id="9" w:name="_Toc463351292"/>
      <w:r>
        <w:t>Issu</w:t>
      </w:r>
      <w:r w:rsidRPr="0018435D">
        <w:t>es</w:t>
      </w:r>
      <w:r>
        <w:t xml:space="preserve"> for comment</w:t>
      </w:r>
      <w:bookmarkEnd w:id="7"/>
      <w:bookmarkEnd w:id="8"/>
      <w:bookmarkEnd w:id="9"/>
    </w:p>
    <w:p w14:paraId="7FED698A" w14:textId="77777777" w:rsidR="00006A2A" w:rsidRDefault="00006A2A" w:rsidP="00006A2A">
      <w:r w:rsidRPr="006D46E5">
        <w:t xml:space="preserve">The ACMA invites comments on the issues set out in </w:t>
      </w:r>
      <w:r>
        <w:t xml:space="preserve">the </w:t>
      </w:r>
      <w:r w:rsidRPr="0018435D">
        <w:rPr>
          <w:i/>
        </w:rPr>
        <w:t xml:space="preserve">Five-year spectrum outlook 2016–20 </w:t>
      </w:r>
      <w:r w:rsidRPr="006D46E5">
        <w:t xml:space="preserve">or any other issues relevant to </w:t>
      </w:r>
      <w:r>
        <w:t xml:space="preserve">spectrum </w:t>
      </w:r>
      <w:r w:rsidRPr="00880DAB">
        <w:t>demand analysis and strategic direction</w:t>
      </w:r>
      <w:r>
        <w:t>. Specific questions are featured in the</w:t>
      </w:r>
      <w:r w:rsidR="00582322">
        <w:t xml:space="preserve"> relevant sections of this FYSO</w:t>
      </w:r>
      <w:r>
        <w:t xml:space="preserve"> and collated below.</w:t>
      </w:r>
    </w:p>
    <w:p w14:paraId="51F6D9B4" w14:textId="77777777" w:rsidR="00006A2A" w:rsidRDefault="00006A2A" w:rsidP="00006A2A">
      <w:pPr>
        <w:rPr>
          <w:i/>
        </w:rPr>
      </w:pPr>
      <w:r>
        <w:t xml:space="preserve">Details on making a submission can be found at </w:t>
      </w:r>
      <w:hyperlink w:anchor="Invitation" w:history="1">
        <w:r w:rsidRPr="0006468B">
          <w:rPr>
            <w:rStyle w:val="Hyperlink"/>
            <w:i/>
          </w:rPr>
          <w:t>Invitation to comment</w:t>
        </w:r>
      </w:hyperlink>
      <w:r w:rsidR="00A67038">
        <w:rPr>
          <w:i/>
        </w:rPr>
        <w:t xml:space="preserve"> </w:t>
      </w:r>
      <w:r w:rsidR="00A67038">
        <w:t>at the end of this document</w:t>
      </w:r>
      <w:r>
        <w:rPr>
          <w:i/>
        </w:rPr>
        <w:t>.</w:t>
      </w:r>
    </w:p>
    <w:p w14:paraId="060AB0ED" w14:textId="77777777" w:rsidR="00006A2A" w:rsidRDefault="00006A2A" w:rsidP="0039046B">
      <w:pPr>
        <w:pStyle w:val="BodySubHeader"/>
      </w:pPr>
      <w:r>
        <w:t>Issue for comment: 5G</w:t>
      </w:r>
    </w:p>
    <w:p w14:paraId="6332221A" w14:textId="77777777" w:rsidR="00006A2A" w:rsidRDefault="00006A2A" w:rsidP="00006A2A">
      <w:pPr>
        <w:spacing w:after="80"/>
      </w:pPr>
      <w:r w:rsidRPr="0039046B">
        <w:t xml:space="preserve">To assist the ACMA in its considerations about 5G in the context of its broader mobile broadband work program (see Part 3), comment (along with supporting evidence) is </w:t>
      </w:r>
      <w:r w:rsidR="00590883">
        <w:t>sought</w:t>
      </w:r>
      <w:r w:rsidR="00590883" w:rsidRPr="0039046B">
        <w:t xml:space="preserve"> </w:t>
      </w:r>
      <w:r w:rsidRPr="0039046B">
        <w:t>on the following questions:</w:t>
      </w:r>
    </w:p>
    <w:p w14:paraId="15532D85" w14:textId="77777777" w:rsidR="00006A2A" w:rsidRDefault="00006A2A" w:rsidP="00006A2A">
      <w:pPr>
        <w:pStyle w:val="ListNumber"/>
        <w:numPr>
          <w:ilvl w:val="0"/>
          <w:numId w:val="69"/>
        </w:numPr>
      </w:pPr>
      <w:r>
        <w:t>When, or under what circumstances, would it be appropriate for potential 5G</w:t>
      </w:r>
      <w:r w:rsidR="00B853A3">
        <w:t xml:space="preserve"> millimetre wave</w:t>
      </w:r>
      <w:r>
        <w:t xml:space="preserve"> </w:t>
      </w:r>
      <w:r w:rsidR="00B853A3">
        <w:t>(</w:t>
      </w:r>
      <w:r>
        <w:t>mmW</w:t>
      </w:r>
      <w:r w:rsidR="00B853A3">
        <w:t>)</w:t>
      </w:r>
      <w:r w:rsidDel="00AE144F">
        <w:t xml:space="preserve"> </w:t>
      </w:r>
      <w:r>
        <w:t xml:space="preserve">bands to progress beyond ‘monitoring’ in the ACMA’s mobile broadband work program?  </w:t>
      </w:r>
    </w:p>
    <w:p w14:paraId="3305F446" w14:textId="77777777" w:rsidR="00006A2A" w:rsidRDefault="00006A2A" w:rsidP="00006A2A">
      <w:pPr>
        <w:pStyle w:val="ListNumber"/>
        <w:numPr>
          <w:ilvl w:val="0"/>
          <w:numId w:val="69"/>
        </w:numPr>
      </w:pPr>
      <w:r>
        <w:t xml:space="preserve">What is the relative priority of investigation of </w:t>
      </w:r>
      <w:r w:rsidRPr="00AE144F">
        <w:t>mmW bands</w:t>
      </w:r>
      <w:r>
        <w:t xml:space="preserve"> versus other potential mobile broadband bands below 6 GHz?</w:t>
      </w:r>
    </w:p>
    <w:p w14:paraId="0678FAAC" w14:textId="77777777" w:rsidR="00006A2A" w:rsidRDefault="00006A2A" w:rsidP="00006A2A">
      <w:pPr>
        <w:pStyle w:val="ListNumber"/>
        <w:numPr>
          <w:ilvl w:val="0"/>
          <w:numId w:val="69"/>
        </w:numPr>
      </w:pPr>
      <w:r>
        <w:t xml:space="preserve">What disposition should the ACMA adopt in progressing possible 5G </w:t>
      </w:r>
      <w:r w:rsidR="00B853A3">
        <w:t>mmW</w:t>
      </w:r>
      <w:r w:rsidR="003E024F">
        <w:t xml:space="preserve"> </w:t>
      </w:r>
      <w:r>
        <w:t>bands? Specifically, is a traditional approach appropriate, where Australia would wait until there were clear signs of a harmonised, widespread ecosystem developing in a band before it was seriously considered domestically? Or should a more proactive approach be adopted that would potentially make available bands very early in a more speculative manner? What are the benefits and risks to each approach?</w:t>
      </w:r>
    </w:p>
    <w:p w14:paraId="6A3558C5" w14:textId="77777777" w:rsidR="00006A2A" w:rsidRDefault="00006A2A" w:rsidP="00006A2A">
      <w:pPr>
        <w:pStyle w:val="ListNumber"/>
        <w:numPr>
          <w:ilvl w:val="0"/>
          <w:numId w:val="69"/>
        </w:numPr>
      </w:pPr>
      <w:r>
        <w:t xml:space="preserve">What bands are the most mature in terms of possible early moves on 5G </w:t>
      </w:r>
      <w:r w:rsidR="00B853A3">
        <w:t>mmW</w:t>
      </w:r>
      <w:r w:rsidR="003E024F">
        <w:t xml:space="preserve"> </w:t>
      </w:r>
      <w:r>
        <w:t xml:space="preserve">bands? </w:t>
      </w:r>
    </w:p>
    <w:p w14:paraId="1B9B77ED" w14:textId="77777777" w:rsidR="00006A2A" w:rsidRDefault="00006A2A" w:rsidP="00006A2A">
      <w:pPr>
        <w:pStyle w:val="ListNumber"/>
        <w:numPr>
          <w:ilvl w:val="0"/>
          <w:numId w:val="69"/>
        </w:numPr>
      </w:pPr>
      <w:r>
        <w:t xml:space="preserve">What technical considerations are relevant to possible early moves on 5G </w:t>
      </w:r>
      <w:r w:rsidR="00B853A3">
        <w:t>mmW</w:t>
      </w:r>
      <w:r w:rsidR="003E024F">
        <w:t xml:space="preserve"> </w:t>
      </w:r>
      <w:r>
        <w:t>bands? For example, what is the minimum contiguous bandwidth considered suitable for individual licences and the industry as a whole? Are some of these considerations flexible in order to support an early move?</w:t>
      </w:r>
    </w:p>
    <w:p w14:paraId="36548A54" w14:textId="77777777" w:rsidR="00006A2A" w:rsidRDefault="00006A2A" w:rsidP="00006A2A">
      <w:pPr>
        <w:pStyle w:val="ListNumber"/>
        <w:numPr>
          <w:ilvl w:val="0"/>
          <w:numId w:val="69"/>
        </w:numPr>
      </w:pPr>
      <w:r>
        <w:t xml:space="preserve">What spectrum sharing and incumbency considerations will be most relevant to 5G </w:t>
      </w:r>
      <w:r w:rsidR="00B853A3">
        <w:t>mmW</w:t>
      </w:r>
      <w:r w:rsidR="003E024F">
        <w:t xml:space="preserve"> </w:t>
      </w:r>
      <w:r>
        <w:t>bands (a</w:t>
      </w:r>
      <w:r w:rsidRPr="0017281B">
        <w:t>cknowledging that the answer will depend on the specific band under consideration</w:t>
      </w:r>
      <w:r>
        <w:t>)?</w:t>
      </w:r>
    </w:p>
    <w:p w14:paraId="644B7A13" w14:textId="77777777" w:rsidR="00006A2A" w:rsidRDefault="00006A2A" w:rsidP="00E01920">
      <w:pPr>
        <w:pStyle w:val="ListNumber"/>
        <w:numPr>
          <w:ilvl w:val="0"/>
          <w:numId w:val="69"/>
        </w:numPr>
        <w:spacing w:after="240"/>
      </w:pPr>
      <w:r>
        <w:t xml:space="preserve">Do the </w:t>
      </w:r>
      <w:r w:rsidR="00B853A3">
        <w:t>mmW</w:t>
      </w:r>
      <w:r w:rsidR="003E024F">
        <w:t xml:space="preserve"> </w:t>
      </w:r>
      <w:r>
        <w:t>bands offer opportunities for new spectrum sharing and/or licensing approaches? If so, what opportunities should be investigated?</w:t>
      </w:r>
    </w:p>
    <w:p w14:paraId="3E9728A2" w14:textId="77777777" w:rsidR="00006A2A" w:rsidRDefault="00006A2A" w:rsidP="0039046B">
      <w:pPr>
        <w:pStyle w:val="BodySubHeader"/>
      </w:pPr>
      <w:r>
        <w:t>Issue for comment: IoT</w:t>
      </w:r>
    </w:p>
    <w:p w14:paraId="47FEA0BF" w14:textId="77777777" w:rsidR="00006A2A" w:rsidRDefault="00006A2A" w:rsidP="00006A2A">
      <w:pPr>
        <w:spacing w:after="80"/>
      </w:pPr>
      <w:r>
        <w:t xml:space="preserve">To assist the ACMA in its considerations on IoT, </w:t>
      </w:r>
      <w:r w:rsidR="00590883">
        <w:t xml:space="preserve">comment </w:t>
      </w:r>
      <w:r>
        <w:t>(along with supporting evidence) is sought on the following questions:</w:t>
      </w:r>
    </w:p>
    <w:p w14:paraId="0E69ADAF" w14:textId="77777777" w:rsidR="00006A2A" w:rsidRPr="00CE5694" w:rsidRDefault="00006A2A" w:rsidP="00006A2A">
      <w:pPr>
        <w:pStyle w:val="ListNumber"/>
        <w:numPr>
          <w:ilvl w:val="0"/>
          <w:numId w:val="69"/>
        </w:numPr>
      </w:pPr>
      <w:r w:rsidRPr="00CE5694">
        <w:t xml:space="preserve">Are there any spectrum bands that should be </w:t>
      </w:r>
      <w:r>
        <w:t>further</w:t>
      </w:r>
      <w:r w:rsidRPr="00CE5694">
        <w:t xml:space="preserve"> investigated by the ACMA for potential future use for IoT applications? Why?</w:t>
      </w:r>
      <w:r>
        <w:t xml:space="preserve"> </w:t>
      </w:r>
      <w:r w:rsidRPr="00D72744">
        <w:t>The ACMA in particular seeks views on possible opportunities in the VHF band for IoT.</w:t>
      </w:r>
    </w:p>
    <w:p w14:paraId="0738D471" w14:textId="77777777" w:rsidR="00006A2A" w:rsidRPr="00CE5694" w:rsidRDefault="00006A2A" w:rsidP="00006A2A">
      <w:pPr>
        <w:pStyle w:val="ListNumber"/>
        <w:numPr>
          <w:ilvl w:val="0"/>
          <w:numId w:val="69"/>
        </w:numPr>
        <w:spacing w:after="240"/>
      </w:pPr>
      <w:r w:rsidRPr="00CE5694">
        <w:t xml:space="preserve">Are there any sectors of industry that require increased engagement from the ACMA </w:t>
      </w:r>
      <w:r>
        <w:t>regarding</w:t>
      </w:r>
      <w:r w:rsidRPr="00CE5694">
        <w:t xml:space="preserve"> spectrum for IoT applications?</w:t>
      </w:r>
    </w:p>
    <w:p w14:paraId="2A3A9991" w14:textId="77777777" w:rsidR="00006A2A" w:rsidRDefault="00006A2A" w:rsidP="00006A2A">
      <w:pPr>
        <w:pStyle w:val="BodySubHeader"/>
        <w:keepNext/>
      </w:pPr>
      <w:r>
        <w:t>Issue for comment: DSA</w:t>
      </w:r>
    </w:p>
    <w:p w14:paraId="25221117" w14:textId="77777777" w:rsidR="00006A2A" w:rsidRPr="007C5749" w:rsidRDefault="00006A2A" w:rsidP="00006A2A">
      <w:pPr>
        <w:keepNext/>
        <w:spacing w:after="80"/>
      </w:pPr>
      <w:r>
        <w:t xml:space="preserve">To assist the ACMA in its considerations on the issues surrounding dynamic spectrum </w:t>
      </w:r>
      <w:r w:rsidRPr="009F4621">
        <w:t>access, comment (along with supporting evidence) is sought on the following questions:</w:t>
      </w:r>
    </w:p>
    <w:p w14:paraId="26F668C9" w14:textId="77777777" w:rsidR="00006A2A" w:rsidRPr="00C775A1" w:rsidRDefault="00006A2A" w:rsidP="00006A2A">
      <w:pPr>
        <w:pStyle w:val="ListNumber"/>
        <w:numPr>
          <w:ilvl w:val="0"/>
          <w:numId w:val="69"/>
        </w:numPr>
      </w:pPr>
      <w:r w:rsidRPr="00C775A1">
        <w:t>When, or under what circumstances, would it be appropriate to move beyond monitoring international regulatory and technical developments and consider implementation of arrangements in Australia?</w:t>
      </w:r>
    </w:p>
    <w:p w14:paraId="561EC128" w14:textId="77777777" w:rsidR="00006A2A" w:rsidRPr="00C775A1" w:rsidRDefault="00006A2A" w:rsidP="00006A2A">
      <w:pPr>
        <w:pStyle w:val="ListNumber"/>
        <w:numPr>
          <w:ilvl w:val="0"/>
          <w:numId w:val="69"/>
        </w:numPr>
      </w:pPr>
      <w:r w:rsidRPr="00C775A1">
        <w:t xml:space="preserve">Are there specific industry sectors and applications where DSA is </w:t>
      </w:r>
      <w:r>
        <w:t>likely to be a candidate</w:t>
      </w:r>
      <w:r w:rsidRPr="00C775A1">
        <w:t xml:space="preserve"> for </w:t>
      </w:r>
      <w:r>
        <w:t>early opportunity for adoption</w:t>
      </w:r>
      <w:r w:rsidRPr="00C775A1">
        <w:t>?</w:t>
      </w:r>
    </w:p>
    <w:p w14:paraId="03981E48" w14:textId="77777777" w:rsidR="000E200B" w:rsidRDefault="00006A2A" w:rsidP="000E200B">
      <w:pPr>
        <w:pStyle w:val="ListNumber"/>
        <w:numPr>
          <w:ilvl w:val="0"/>
          <w:numId w:val="69"/>
        </w:numPr>
      </w:pPr>
      <w:r w:rsidRPr="00C775A1">
        <w:t xml:space="preserve">Are there simple changes that can be made to the regulatory framework that would better allow facilitation of trials of </w:t>
      </w:r>
      <w:r>
        <w:t>DSA</w:t>
      </w:r>
      <w:r w:rsidRPr="00C775A1">
        <w:t xml:space="preserve"> approaches and development of implementation arrangements?</w:t>
      </w:r>
    </w:p>
    <w:p w14:paraId="5DF820C8" w14:textId="7DCE64FA" w:rsidR="008508AB" w:rsidRDefault="00006A2A" w:rsidP="000E200B">
      <w:pPr>
        <w:pStyle w:val="ListNumber"/>
        <w:numPr>
          <w:ilvl w:val="0"/>
          <w:numId w:val="69"/>
        </w:numPr>
        <w:spacing w:after="240"/>
      </w:pPr>
      <w:r>
        <w:t xml:space="preserve">Are there any spectrum bands, services and/or applications, in particular that will be, or should/shouldn’t be, targeted in Australia for trials or initial implementation of DSA frameworks? </w:t>
      </w:r>
    </w:p>
    <w:p w14:paraId="130E83A8" w14:textId="77777777" w:rsidR="008508AB" w:rsidRDefault="008508AB" w:rsidP="00006A2A">
      <w:pPr>
        <w:pStyle w:val="BodySubHeader"/>
      </w:pPr>
      <w:r>
        <w:t>Issue for comment: 5G, IOT and DSA</w:t>
      </w:r>
    </w:p>
    <w:p w14:paraId="2EDD8632" w14:textId="77777777" w:rsidR="008508AB" w:rsidRPr="008508AB" w:rsidRDefault="008508AB" w:rsidP="000E200B">
      <w:r>
        <w:t>Are there any impediments or restrictions arising from the regulatory framework that would impact on the deployment of 5G, IOT and DSA?</w:t>
      </w:r>
    </w:p>
    <w:p w14:paraId="0371EE8E" w14:textId="77777777" w:rsidR="00006A2A" w:rsidRDefault="00006A2A" w:rsidP="00006A2A">
      <w:pPr>
        <w:pStyle w:val="BodySubHeader"/>
      </w:pPr>
      <w:r>
        <w:t>Issue for comment: The ACMA’s approach to the 12-month work plan</w:t>
      </w:r>
    </w:p>
    <w:p w14:paraId="44D96E84" w14:textId="77777777" w:rsidR="00006A2A" w:rsidRPr="002E313A" w:rsidRDefault="00006A2A" w:rsidP="004D0DEA">
      <w:r>
        <w:t xml:space="preserve">The ACMA welcomes </w:t>
      </w:r>
      <w:r w:rsidRPr="009F4621">
        <w:t>feedback on our proposed approach to the development of the 12-month work plan, including its format and content. The ACMA is also keen to receive feedback on the proposed communication channels for notifying stakeholders of progress on and changes to the work plan.</w:t>
      </w:r>
    </w:p>
    <w:p w14:paraId="647188E1" w14:textId="77777777" w:rsidR="004D0DEA" w:rsidRPr="00524B01" w:rsidRDefault="004D0DEA" w:rsidP="004D0DEA">
      <w:pPr>
        <w:pStyle w:val="Heading1"/>
      </w:pPr>
      <w:bookmarkStart w:id="10" w:name="_Toc421196883"/>
      <w:bookmarkStart w:id="11" w:name="_Toc421626749"/>
      <w:bookmarkStart w:id="12" w:name="_Toc422405864"/>
      <w:bookmarkStart w:id="13" w:name="_Toc425954272"/>
      <w:bookmarkStart w:id="14" w:name="_Toc455579179"/>
      <w:bookmarkStart w:id="15" w:name="_Toc456616607"/>
      <w:bookmarkStart w:id="16" w:name="_Toc458084534"/>
      <w:bookmarkStart w:id="17" w:name="_Toc458608671"/>
      <w:bookmarkStart w:id="18" w:name="_Toc461107978"/>
      <w:bookmarkStart w:id="19" w:name="_Toc461194805"/>
      <w:bookmarkStart w:id="20" w:name="_Toc461445456"/>
      <w:bookmarkStart w:id="21" w:name="_Toc463351293"/>
      <w:r w:rsidRPr="000B40EB">
        <w:rPr>
          <w:b/>
        </w:rPr>
        <w:t>Part 1—</w:t>
      </w:r>
      <w:r>
        <w:br/>
      </w:r>
      <w:bookmarkEnd w:id="10"/>
      <w:bookmarkEnd w:id="11"/>
      <w:bookmarkEnd w:id="12"/>
      <w:bookmarkEnd w:id="13"/>
      <w:bookmarkEnd w:id="14"/>
      <w:bookmarkEnd w:id="15"/>
      <w:r>
        <w:rPr>
          <w:rFonts w:eastAsiaTheme="minorHAnsi"/>
          <w:lang w:eastAsia="en-US"/>
        </w:rPr>
        <w:t>Setting the ACMA’s priorities and annual work p</w:t>
      </w:r>
      <w:r w:rsidR="00B91268" w:rsidRPr="003E024F">
        <w:rPr>
          <w:rFonts w:eastAsiaTheme="minorHAnsi"/>
          <w:noProof/>
        </w:rPr>
        <w:drawing>
          <wp:anchor distT="0" distB="0" distL="114300" distR="114300" simplePos="0" relativeHeight="251659264" behindDoc="1" locked="1" layoutInCell="0" allowOverlap="0" wp14:anchorId="6B7C0DE1" wp14:editId="112D59B7">
            <wp:simplePos x="0" y="0"/>
            <wp:positionH relativeFrom="page">
              <wp:posOffset>-50165</wp:posOffset>
            </wp:positionH>
            <wp:positionV relativeFrom="page">
              <wp:posOffset>-6985</wp:posOffset>
            </wp:positionV>
            <wp:extent cx="7632000" cy="10807200"/>
            <wp:effectExtent l="0" t="0" r="7620" b="0"/>
            <wp:wrapNone/>
            <wp:docPr id="8" name="Picture 2"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FYSODocumentAssets2013_ChapIntro.png"/>
                    <pic:cNvPicPr/>
                  </pic:nvPicPr>
                  <pic:blipFill>
                    <a:blip r:embed="rId41" cstate="print"/>
                    <a:stretch>
                      <a:fillRect/>
                    </a:stretch>
                  </pic:blipFill>
                  <pic:spPr>
                    <a:xfrm>
                      <a:off x="0" y="0"/>
                      <a:ext cx="7632000" cy="10807200"/>
                    </a:xfrm>
                    <a:prstGeom prst="rect">
                      <a:avLst/>
                    </a:prstGeom>
                  </pic:spPr>
                </pic:pic>
              </a:graphicData>
            </a:graphic>
            <wp14:sizeRelH relativeFrom="margin">
              <wp14:pctWidth>0</wp14:pctWidth>
            </wp14:sizeRelH>
            <wp14:sizeRelV relativeFrom="margin">
              <wp14:pctHeight>0</wp14:pctHeight>
            </wp14:sizeRelV>
          </wp:anchor>
        </w:drawing>
      </w:r>
      <w:r>
        <w:rPr>
          <w:rFonts w:eastAsiaTheme="minorHAnsi"/>
          <w:lang w:eastAsia="en-US"/>
        </w:rPr>
        <w:t>rogram</w:t>
      </w:r>
      <w:bookmarkEnd w:id="16"/>
      <w:bookmarkEnd w:id="17"/>
      <w:bookmarkEnd w:id="18"/>
      <w:bookmarkEnd w:id="19"/>
      <w:bookmarkEnd w:id="20"/>
      <w:bookmarkEnd w:id="21"/>
    </w:p>
    <w:p w14:paraId="729D1227" w14:textId="77777777" w:rsidR="004D0DEA" w:rsidRPr="000D76E0" w:rsidRDefault="004D0DEA" w:rsidP="003E024F">
      <w:pPr>
        <w:pStyle w:val="Heading2"/>
        <w:pageBreakBefore/>
        <w:spacing w:before="60"/>
      </w:pPr>
      <w:bookmarkStart w:id="22" w:name="_Toc421196884"/>
      <w:bookmarkStart w:id="23" w:name="_Toc421626750"/>
      <w:bookmarkStart w:id="24" w:name="_Toc422405865"/>
      <w:bookmarkStart w:id="25" w:name="_Toc425954273"/>
      <w:bookmarkStart w:id="26" w:name="_Toc458084535"/>
      <w:bookmarkStart w:id="27" w:name="_Toc458608672"/>
      <w:bookmarkStart w:id="28" w:name="_Toc461107979"/>
      <w:bookmarkStart w:id="29" w:name="_Toc461194806"/>
      <w:bookmarkStart w:id="30" w:name="_Toc461445457"/>
      <w:bookmarkStart w:id="31" w:name="_Toc463351294"/>
      <w:bookmarkStart w:id="32" w:name="_Toc455579180"/>
      <w:bookmarkStart w:id="33" w:name="_Toc456616608"/>
      <w:r>
        <w:t>Introduction</w:t>
      </w:r>
      <w:bookmarkEnd w:id="22"/>
      <w:bookmarkEnd w:id="23"/>
      <w:bookmarkEnd w:id="24"/>
      <w:bookmarkEnd w:id="25"/>
      <w:bookmarkEnd w:id="26"/>
      <w:bookmarkEnd w:id="27"/>
      <w:bookmarkEnd w:id="28"/>
      <w:bookmarkEnd w:id="29"/>
      <w:bookmarkEnd w:id="30"/>
      <w:bookmarkEnd w:id="31"/>
      <w:r w:rsidRPr="00FF3C69">
        <w:t xml:space="preserve"> </w:t>
      </w:r>
      <w:bookmarkEnd w:id="32"/>
      <w:bookmarkEnd w:id="33"/>
    </w:p>
    <w:p w14:paraId="0ECE4A06" w14:textId="77777777" w:rsidR="004D0DEA" w:rsidRPr="00124637" w:rsidRDefault="004D0DEA" w:rsidP="004D0DEA">
      <w:pPr>
        <w:rPr>
          <w:rFonts w:cs="Arial"/>
        </w:rPr>
      </w:pPr>
      <w:r w:rsidRPr="00C46D67">
        <w:t xml:space="preserve">The ACMA is an independent statutory authority within the Australian Government’s communications portfolio. </w:t>
      </w:r>
      <w:r>
        <w:t xml:space="preserve">One of the ACMA’s key responsibilities is to </w:t>
      </w:r>
      <w:r w:rsidRPr="00C46D67">
        <w:t xml:space="preserve">manage the radiofrequency spectrum in accordance with its obligations under the </w:t>
      </w:r>
      <w:r w:rsidRPr="00B24F66">
        <w:rPr>
          <w:i/>
        </w:rPr>
        <w:t>Australian Communications and Media Authority Act 2005</w:t>
      </w:r>
      <w:r w:rsidRPr="00C46D67">
        <w:t xml:space="preserve"> (the ACMA Act)</w:t>
      </w:r>
      <w:r>
        <w:t>,</w:t>
      </w:r>
      <w:r w:rsidRPr="00C46D67">
        <w:t xml:space="preserve"> the </w:t>
      </w:r>
      <w:r w:rsidRPr="00B24F66">
        <w:rPr>
          <w:i/>
        </w:rPr>
        <w:t xml:space="preserve">Radiocommunications Act 1992 </w:t>
      </w:r>
      <w:r w:rsidRPr="00C46D67">
        <w:t>(the Act)</w:t>
      </w:r>
      <w:r>
        <w:t xml:space="preserve"> and the </w:t>
      </w:r>
      <w:r w:rsidRPr="00D27B2E">
        <w:rPr>
          <w:i/>
        </w:rPr>
        <w:t>Broadcasting Services Act 1992</w:t>
      </w:r>
      <w:r>
        <w:t xml:space="preserve"> (the BSA)</w:t>
      </w:r>
      <w:r w:rsidRPr="00C46D67">
        <w:t>.</w:t>
      </w:r>
      <w:r>
        <w:t xml:space="preserve"> The scope of the ACMA’s spectrum related role includes </w:t>
      </w:r>
      <w:r>
        <w:rPr>
          <w:rFonts w:cs="Arial"/>
        </w:rPr>
        <w:t xml:space="preserve">planning, </w:t>
      </w:r>
      <w:r>
        <w:t>allocation and licensing activity</w:t>
      </w:r>
      <w:r w:rsidRPr="00124637">
        <w:rPr>
          <w:rFonts w:cs="Arial"/>
        </w:rPr>
        <w:t xml:space="preserve">, </w:t>
      </w:r>
      <w:r>
        <w:t xml:space="preserve">device regulation and compliance. </w:t>
      </w:r>
    </w:p>
    <w:p w14:paraId="1AFA725E" w14:textId="77777777" w:rsidR="004D0DEA" w:rsidRPr="007E3450" w:rsidRDefault="004D0DEA" w:rsidP="004D0DEA">
      <w:r>
        <w:t xml:space="preserve">The communications environment is continually changing and evolving. Demand for access to spectrum by new and increasingly sophisticated wireless technologies and uses continues to put pressure on the spectrum management framework. When making decisions, the ACMA needs to balance this unprecedented growth in demand by new users </w:t>
      </w:r>
      <w:r w:rsidRPr="009C5246">
        <w:t>against the requirements</w:t>
      </w:r>
      <w:r w:rsidRPr="00124637">
        <w:t xml:space="preserve"> of existing users for ongoing </w:t>
      </w:r>
      <w:r w:rsidR="00CB44D6">
        <w:t>access to</w:t>
      </w:r>
      <w:r w:rsidRPr="00124637">
        <w:t xml:space="preserve"> spectrum. </w:t>
      </w:r>
      <w:r>
        <w:t xml:space="preserve">The ACMA must also </w:t>
      </w:r>
      <w:r w:rsidRPr="00124637">
        <w:t>strike the</w:t>
      </w:r>
      <w:r>
        <w:t xml:space="preserve"> balance between government </w:t>
      </w:r>
      <w:r w:rsidRPr="007E3450">
        <w:t>uses of the spectrum</w:t>
      </w:r>
      <w:r w:rsidRPr="007E3450">
        <w:rPr>
          <w:rStyle w:val="FootnoteReference"/>
          <w:rFonts w:cs="Arial"/>
        </w:rPr>
        <w:footnoteReference w:id="1"/>
      </w:r>
      <w:r w:rsidRPr="007E3450">
        <w:t xml:space="preserve"> and other applications that </w:t>
      </w:r>
      <w:r w:rsidR="00CB44D6">
        <w:t xml:space="preserve">it </w:t>
      </w:r>
      <w:r w:rsidRPr="007E3450">
        <w:t>may be inappropriate to le</w:t>
      </w:r>
      <w:r w:rsidR="00AE0A87">
        <w:t>ave to market forces to address,</w:t>
      </w:r>
      <w:r w:rsidRPr="007E3450">
        <w:t xml:space="preserve"> and its availability for use by the broader community. </w:t>
      </w:r>
    </w:p>
    <w:p w14:paraId="15023DBE" w14:textId="77777777" w:rsidR="004D0DEA" w:rsidRDefault="004D0DEA" w:rsidP="004D0DEA">
      <w:pPr>
        <w:rPr>
          <w:rFonts w:ascii="Calibri" w:hAnsi="Calibri"/>
        </w:rPr>
      </w:pPr>
      <w:r w:rsidRPr="007E3450">
        <w:t>For over a decade, the growth in mobile telephony</w:t>
      </w:r>
      <w:r>
        <w:t>,</w:t>
      </w:r>
      <w:r w:rsidRPr="007E3450">
        <w:t xml:space="preserve"> including the recent rapid rise in mobile broadband traffic</w:t>
      </w:r>
      <w:r>
        <w:t>,</w:t>
      </w:r>
      <w:r w:rsidRPr="007E3450">
        <w:t xml:space="preserve"> has been a key driver of changes in the demand for radiofrequency spectrum. The ACMA has provided detailed public guidance on its associated strategy and work program because mobile broadband often favours bands that are heavily encumbered for a range of reasons. Therefore, how the ACMA continues to accommodate its future growth will be of interest to other industry sectors and users that value access to fit-for-purpose spectrum.</w:t>
      </w:r>
    </w:p>
    <w:p w14:paraId="12076157" w14:textId="77777777" w:rsidR="004D0DEA" w:rsidRDefault="004D0DEA" w:rsidP="004D0DEA">
      <w:pPr>
        <w:rPr>
          <w:rFonts w:cs="Arial"/>
        </w:rPr>
      </w:pPr>
      <w:r>
        <w:rPr>
          <w:rFonts w:cs="Arial"/>
        </w:rPr>
        <w:t xml:space="preserve">The ACMA strives to deliver spectrum management activities consistent with the ACMA’s strategic goal to make communications and media work in Australia’s public interest. The </w:t>
      </w:r>
      <w:r w:rsidR="00DC5C14">
        <w:rPr>
          <w:rFonts w:cs="Arial"/>
        </w:rPr>
        <w:t>FYSO</w:t>
      </w:r>
      <w:r>
        <w:rPr>
          <w:rFonts w:cs="Arial"/>
        </w:rPr>
        <w:t xml:space="preserve"> is </w:t>
      </w:r>
      <w:r>
        <w:t>an important component of the ACMA’s engagement strategy with spectrum users and the community. It complements the ACMA’s program of public forums</w:t>
      </w:r>
      <w:r w:rsidR="00AE0A87">
        <w:t>,</w:t>
      </w:r>
      <w:r>
        <w:t xml:space="preserve"> including the flagship RadComms conferences and subject-specific tune-up events.</w:t>
      </w:r>
    </w:p>
    <w:p w14:paraId="402E0CBD" w14:textId="77777777" w:rsidR="004D0DEA" w:rsidRDefault="004D0DEA" w:rsidP="003E024F">
      <w:pPr>
        <w:pStyle w:val="Heading3"/>
      </w:pPr>
      <w:bookmarkStart w:id="34" w:name="_Toc421196885"/>
      <w:bookmarkStart w:id="35" w:name="_Toc421626751"/>
      <w:bookmarkStart w:id="36" w:name="_Toc422405866"/>
      <w:bookmarkStart w:id="37" w:name="_Toc425954274"/>
      <w:bookmarkStart w:id="38" w:name="_Toc455579181"/>
      <w:bookmarkStart w:id="39" w:name="_Toc456616609"/>
      <w:bookmarkStart w:id="40" w:name="_Toc458084536"/>
      <w:bookmarkStart w:id="41" w:name="_Toc458608673"/>
      <w:bookmarkStart w:id="42" w:name="_Toc461107980"/>
      <w:bookmarkStart w:id="43" w:name="_Toc461194807"/>
      <w:bookmarkStart w:id="44" w:name="_Toc461445458"/>
      <w:bookmarkStart w:id="45" w:name="_Toc463351295"/>
      <w:r>
        <w:t>Purpose</w:t>
      </w:r>
      <w:bookmarkEnd w:id="34"/>
      <w:bookmarkEnd w:id="35"/>
      <w:bookmarkEnd w:id="36"/>
      <w:bookmarkEnd w:id="37"/>
      <w:bookmarkEnd w:id="38"/>
      <w:bookmarkEnd w:id="39"/>
      <w:bookmarkEnd w:id="40"/>
      <w:bookmarkEnd w:id="41"/>
      <w:bookmarkEnd w:id="42"/>
      <w:bookmarkEnd w:id="43"/>
      <w:bookmarkEnd w:id="44"/>
      <w:bookmarkEnd w:id="45"/>
    </w:p>
    <w:p w14:paraId="41AB8919" w14:textId="77777777" w:rsidR="004D0DEA" w:rsidRDefault="004D0DEA" w:rsidP="004D0DEA">
      <w:r w:rsidRPr="00C46D67">
        <w:t xml:space="preserve">The </w:t>
      </w:r>
      <w:r>
        <w:t>FYSO</w:t>
      </w:r>
      <w:r w:rsidRPr="00C46D67">
        <w:t xml:space="preserve"> provides </w:t>
      </w:r>
      <w:r>
        <w:t xml:space="preserve">an overview of the ACMA’s spectrum management priorities over the </w:t>
      </w:r>
      <w:r w:rsidR="009C0190">
        <w:t>near</w:t>
      </w:r>
      <w:r>
        <w:t xml:space="preserve"> to </w:t>
      </w:r>
      <w:r w:rsidRPr="009C5246">
        <w:t xml:space="preserve">medium term, and the ACMA’s plans to address them. It </w:t>
      </w:r>
      <w:r>
        <w:t xml:space="preserve">also </w:t>
      </w:r>
      <w:r w:rsidRPr="009C5246">
        <w:t xml:space="preserve">provides </w:t>
      </w:r>
      <w:r>
        <w:t>visibility to</w:t>
      </w:r>
      <w:r w:rsidRPr="009C5246">
        <w:t xml:space="preserve"> stakeholders about </w:t>
      </w:r>
      <w:r w:rsidRPr="007E3450">
        <w:t>how t</w:t>
      </w:r>
      <w:r w:rsidRPr="009C5246">
        <w:t>he</w:t>
      </w:r>
      <w:r>
        <w:t xml:space="preserve"> ACMA is directing its resources and which spectrum projects are considered a higher priority. </w:t>
      </w:r>
    </w:p>
    <w:p w14:paraId="6CB76723" w14:textId="77777777" w:rsidR="004D0DEA" w:rsidRDefault="004D0DEA" w:rsidP="004D0DEA">
      <w:r>
        <w:t xml:space="preserve">For the first time, the FYSO will feature a dedicated 12-month plan in which the ACMA identifies milestone tasks and timings for priority spectrum management activities to be completed. This </w:t>
      </w:r>
      <w:r w:rsidR="00DC5C14">
        <w:t xml:space="preserve">FYSO </w:t>
      </w:r>
      <w:r>
        <w:t xml:space="preserve">also includes the ACMA’s inaugural detailed update on </w:t>
      </w:r>
      <w:r w:rsidR="00CB44D6">
        <w:t xml:space="preserve">its </w:t>
      </w:r>
      <w:r>
        <w:t xml:space="preserve">mobile broadband work program. </w:t>
      </w:r>
    </w:p>
    <w:p w14:paraId="52FC8880" w14:textId="77777777" w:rsidR="004D0DEA" w:rsidRDefault="004D0DEA" w:rsidP="004D0DEA">
      <w:r>
        <w:t xml:space="preserve">Publication of the FYSO serves a dual purpose—transparency to spectrum users about the ACMA’s spectrum management priorities and an avenue for meaningful engagement with stakeholders about the ACMA’s approach. </w:t>
      </w:r>
      <w:bookmarkStart w:id="46" w:name="_Toc421196886"/>
      <w:bookmarkStart w:id="47" w:name="_Toc421626752"/>
      <w:bookmarkStart w:id="48" w:name="_Toc422405867"/>
      <w:bookmarkStart w:id="49" w:name="_Toc425954275"/>
      <w:bookmarkStart w:id="50" w:name="_Toc455579182"/>
      <w:bookmarkStart w:id="51" w:name="_Toc456616610"/>
      <w:bookmarkStart w:id="52" w:name="_Toc458084537"/>
    </w:p>
    <w:p w14:paraId="3D0D67CC" w14:textId="77777777" w:rsidR="004D0DEA" w:rsidRPr="00C46D67" w:rsidRDefault="004D0DEA" w:rsidP="003E024F">
      <w:pPr>
        <w:pStyle w:val="Heading3"/>
      </w:pPr>
      <w:bookmarkStart w:id="53" w:name="_Toc458608675"/>
      <w:bookmarkStart w:id="54" w:name="_Toc461107981"/>
      <w:bookmarkStart w:id="55" w:name="_Toc461194808"/>
      <w:bookmarkStart w:id="56" w:name="_Toc461445459"/>
      <w:bookmarkStart w:id="57" w:name="_Toc463351296"/>
      <w:r>
        <w:t xml:space="preserve">How evidence informs the development of the </w:t>
      </w:r>
      <w:bookmarkEnd w:id="46"/>
      <w:bookmarkEnd w:id="47"/>
      <w:bookmarkEnd w:id="48"/>
      <w:bookmarkEnd w:id="49"/>
      <w:bookmarkEnd w:id="50"/>
      <w:bookmarkEnd w:id="51"/>
      <w:bookmarkEnd w:id="52"/>
      <w:bookmarkEnd w:id="53"/>
      <w:bookmarkEnd w:id="54"/>
      <w:bookmarkEnd w:id="55"/>
      <w:bookmarkEnd w:id="56"/>
      <w:r>
        <w:t>FYSO</w:t>
      </w:r>
      <w:bookmarkEnd w:id="57"/>
    </w:p>
    <w:p w14:paraId="4653DA05" w14:textId="77777777" w:rsidR="004D0DEA" w:rsidRDefault="004D0DEA" w:rsidP="004D0DEA">
      <w:r w:rsidRPr="00DC27E0">
        <w:t>The ACMA scan</w:t>
      </w:r>
      <w:r>
        <w:t>s</w:t>
      </w:r>
      <w:r w:rsidRPr="00DC27E0">
        <w:t xml:space="preserve"> the domestic and international spectrum environment to identify trends in spectrum use and likely future pressure points on spectrum. While there is an inherent degree of uncertainty in predicting spectrum requirements </w:t>
      </w:r>
      <w:r>
        <w:t xml:space="preserve">in future years, consideration of available evidence in </w:t>
      </w:r>
      <w:r w:rsidRPr="00DC27E0">
        <w:t xml:space="preserve">advance of the likely pressure points on spectrum is valuable for two reasons. Firstly, it should ensure that the ACMA’s work priorities are closely linked to actual emerging demand pressures. Secondly, it should provide a greater degree of industry certainty about the ACMA’s priorities and promote dialogue with spectrum users about these priorities. </w:t>
      </w:r>
    </w:p>
    <w:p w14:paraId="19DFD4A6" w14:textId="77777777" w:rsidR="004D0DEA" w:rsidRPr="000B40EB" w:rsidRDefault="004D0DEA" w:rsidP="004D0DEA">
      <w:pPr>
        <w:pStyle w:val="ListBulletLast"/>
        <w:numPr>
          <w:ilvl w:val="0"/>
          <w:numId w:val="0"/>
        </w:numPr>
        <w:rPr>
          <w:rFonts w:eastAsiaTheme="minorHAnsi"/>
          <w:lang w:eastAsia="en-US"/>
        </w:rPr>
      </w:pPr>
      <w:r w:rsidRPr="0039046B">
        <w:t>Figure 1</w:t>
      </w:r>
      <w:r w:rsidRPr="00336F62">
        <w:t xml:space="preserve"> </w:t>
      </w:r>
      <w:r>
        <w:t xml:space="preserve">below represents the </w:t>
      </w:r>
      <w:r w:rsidRPr="000B40EB">
        <w:t xml:space="preserve">ACMA’s demand analysis framework. It illustrates how evidence informs the development of the ACMA’s </w:t>
      </w:r>
      <w:r w:rsidR="00DC5C14">
        <w:t>FYSO</w:t>
      </w:r>
      <w:r w:rsidRPr="000B40EB">
        <w:t>. It sets out the different types of information and data the ACMA gathers</w:t>
      </w:r>
      <w:r w:rsidR="00DC5C14">
        <w:t>,</w:t>
      </w:r>
      <w:r w:rsidRPr="000B40EB">
        <w:t xml:space="preserve"> and the tests it applies to support its decision-making and regulatory policy development</w:t>
      </w:r>
      <w:r w:rsidRPr="00C46D67">
        <w:t xml:space="preserve"> activities</w:t>
      </w:r>
      <w:r>
        <w:t xml:space="preserve">. </w:t>
      </w:r>
    </w:p>
    <w:p w14:paraId="3AEDAE2F" w14:textId="77777777" w:rsidR="004D0DEA" w:rsidRDefault="004D0DEA" w:rsidP="00DF0BA7">
      <w:pPr>
        <w:pStyle w:val="ACMAFigureHeader"/>
        <w:tabs>
          <w:tab w:val="clear" w:pos="3574"/>
          <w:tab w:val="num" w:pos="993"/>
        </w:tabs>
        <w:ind w:left="993"/>
      </w:pPr>
      <w:r w:rsidRPr="008E6658">
        <w:t>The</w:t>
      </w:r>
      <w:r>
        <w:t xml:space="preserve"> ACMA’s spectrum demand analysis framework</w:t>
      </w:r>
      <w:r w:rsidRPr="00DC27E0">
        <w:t xml:space="preserve"> </w:t>
      </w:r>
      <w:bookmarkStart w:id="58" w:name="_Toc455579183"/>
      <w:bookmarkStart w:id="59" w:name="_Toc421196888"/>
      <w:bookmarkStart w:id="60" w:name="_Toc421626754"/>
      <w:bookmarkStart w:id="61" w:name="_Toc422405869"/>
      <w:bookmarkStart w:id="62" w:name="_Toc425954277"/>
    </w:p>
    <w:p w14:paraId="4B401EA9" w14:textId="62357A20" w:rsidR="004D0DEA" w:rsidRDefault="00472198" w:rsidP="004D0DEA">
      <w:pPr>
        <w:spacing w:after="0"/>
      </w:pPr>
      <w:r>
        <w:rPr>
          <w:noProof/>
        </w:rPr>
        <w:drawing>
          <wp:inline distT="0" distB="0" distL="0" distR="0" wp14:anchorId="389AFAD6" wp14:editId="258B41C0">
            <wp:extent cx="4160590" cy="6391860"/>
            <wp:effectExtent l="0" t="0" r="0" b="9525"/>
            <wp:docPr id="5" name="Picture 5" descr="Includes analysis (environment, government priorities, consultation, filters) and priorities, leading to FYSO." title="Spectrum demand analysis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pectrum demand analysis framework_2015.jpg"/>
                    <pic:cNvPicPr/>
                  </pic:nvPicPr>
                  <pic:blipFill rotWithShape="1">
                    <a:blip r:embed="rId42">
                      <a:extLst>
                        <a:ext uri="{28A0092B-C50C-407E-A947-70E740481C1C}">
                          <a14:useLocalDpi xmlns:a14="http://schemas.microsoft.com/office/drawing/2010/main" val="0"/>
                        </a:ext>
                      </a:extLst>
                    </a:blip>
                    <a:srcRect l="4513" t="10523" r="3242" b="8484"/>
                    <a:stretch/>
                  </pic:blipFill>
                  <pic:spPr bwMode="auto">
                    <a:xfrm>
                      <a:off x="0" y="0"/>
                      <a:ext cx="4165625" cy="6399596"/>
                    </a:xfrm>
                    <a:prstGeom prst="rect">
                      <a:avLst/>
                    </a:prstGeom>
                    <a:ln>
                      <a:noFill/>
                    </a:ln>
                    <a:extLst>
                      <a:ext uri="{53640926-AAD7-44D8-BBD7-CCE9431645EC}">
                        <a14:shadowObscured xmlns:a14="http://schemas.microsoft.com/office/drawing/2010/main"/>
                      </a:ext>
                    </a:extLst>
                  </pic:spPr>
                </pic:pic>
              </a:graphicData>
            </a:graphic>
          </wp:inline>
        </w:drawing>
      </w:r>
    </w:p>
    <w:p w14:paraId="75E50E36" w14:textId="77777777" w:rsidR="004D0DEA" w:rsidRPr="00DA5A1F" w:rsidRDefault="004D0DEA" w:rsidP="004D0DEA">
      <w:pPr>
        <w:pStyle w:val="ACMASpaceaftertable"/>
      </w:pPr>
    </w:p>
    <w:p w14:paraId="6F5F1F22" w14:textId="77777777" w:rsidR="004D0DEA" w:rsidRPr="00E552D0" w:rsidRDefault="004D0DEA" w:rsidP="003E024F">
      <w:pPr>
        <w:pStyle w:val="Heading3"/>
      </w:pPr>
      <w:bookmarkStart w:id="63" w:name="_Toc456616611"/>
      <w:bookmarkStart w:id="64" w:name="_Toc458084538"/>
      <w:bookmarkStart w:id="65" w:name="_Toc458608676"/>
      <w:bookmarkStart w:id="66" w:name="_Toc461107982"/>
      <w:bookmarkStart w:id="67" w:name="_Toc461194809"/>
      <w:bookmarkStart w:id="68" w:name="_Toc461445460"/>
      <w:bookmarkStart w:id="69" w:name="_Toc463351297"/>
      <w:r w:rsidRPr="00E552D0">
        <w:t>Spectrum research</w:t>
      </w:r>
      <w:bookmarkEnd w:id="63"/>
      <w:r w:rsidRPr="00E552D0">
        <w:t xml:space="preserve"> program</w:t>
      </w:r>
      <w:bookmarkEnd w:id="64"/>
      <w:bookmarkEnd w:id="65"/>
      <w:bookmarkEnd w:id="66"/>
      <w:bookmarkEnd w:id="67"/>
      <w:bookmarkEnd w:id="68"/>
      <w:bookmarkEnd w:id="69"/>
    </w:p>
    <w:p w14:paraId="2F3A3C63" w14:textId="77777777" w:rsidR="004D0DEA" w:rsidRPr="00E552D0" w:rsidRDefault="004D0DEA" w:rsidP="004D0DEA">
      <w:r w:rsidRPr="00E552D0">
        <w:t>Research and analysis provides important information for regulatory decision-making in the broader spectrum management environment. The ACMA has identified the following priority research areas related to spectrum management over the next 12</w:t>
      </w:r>
      <w:r>
        <w:t> </w:t>
      </w:r>
      <w:r w:rsidR="003A78D0">
        <w:t>months.</w:t>
      </w:r>
    </w:p>
    <w:p w14:paraId="682B5E21" w14:textId="77777777" w:rsidR="004D0DEA" w:rsidRDefault="004D0DEA" w:rsidP="0039046B">
      <w:pPr>
        <w:pStyle w:val="BodySubHeader"/>
        <w:keepNext/>
      </w:pPr>
      <w:r w:rsidRPr="00E552D0">
        <w:t xml:space="preserve">Spectrum </w:t>
      </w:r>
      <w:r>
        <w:t>and pricing reviews</w:t>
      </w:r>
    </w:p>
    <w:p w14:paraId="62C712B8" w14:textId="77777777" w:rsidR="004D0DEA" w:rsidRDefault="004D0DEA" w:rsidP="004D0DEA">
      <w:r w:rsidRPr="00E552D0">
        <w:t xml:space="preserve">With implementation of the spectrum </w:t>
      </w:r>
      <w:r>
        <w:t xml:space="preserve">and pricing </w:t>
      </w:r>
      <w:r w:rsidRPr="00E552D0">
        <w:t>review</w:t>
      </w:r>
      <w:r>
        <w:t>s</w:t>
      </w:r>
      <w:r w:rsidRPr="00E552D0">
        <w:t xml:space="preserve"> </w:t>
      </w:r>
      <w:r>
        <w:t xml:space="preserve">being </w:t>
      </w:r>
      <w:r w:rsidRPr="00E552D0">
        <w:t xml:space="preserve">such a strong focus for the ACMA over the coming year, our research and analysis is being directed towards supporting analysis for the reform of </w:t>
      </w:r>
      <w:r>
        <w:t>allocation, licensing and pricing arrangements associated with the reviews. The intent of the research will be to assist the ACMA in its implementation of the reviews and will also be used as a vehicle to engage spectrum users in the implementation process.</w:t>
      </w:r>
    </w:p>
    <w:p w14:paraId="0A260AEB" w14:textId="77777777" w:rsidR="004D0DEA" w:rsidRPr="00E552D0" w:rsidRDefault="004D0DEA" w:rsidP="004D0DEA">
      <w:pPr>
        <w:pStyle w:val="BodySubHeader"/>
      </w:pPr>
      <w:r w:rsidRPr="00E552D0">
        <w:t>Highest value use of spe</w:t>
      </w:r>
      <w:r>
        <w:t>c</w:t>
      </w:r>
      <w:r w:rsidRPr="00E552D0">
        <w:t>trum</w:t>
      </w:r>
    </w:p>
    <w:p w14:paraId="707D8653" w14:textId="2BDFF5CB" w:rsidR="004D0DEA" w:rsidRDefault="004D0DEA" w:rsidP="004D0DEA">
      <w:r>
        <w:t xml:space="preserve">Consistent with the ACMA’s </w:t>
      </w:r>
      <w:hyperlink r:id="rId43" w:history="1">
        <w:r w:rsidR="00DC5C14" w:rsidRPr="0039046B">
          <w:rPr>
            <w:rStyle w:val="Hyperlink"/>
          </w:rPr>
          <w:t>m</w:t>
        </w:r>
        <w:r w:rsidRPr="0039046B">
          <w:rPr>
            <w:rStyle w:val="Hyperlink"/>
          </w:rPr>
          <w:t>obile broadband strategy</w:t>
        </w:r>
      </w:hyperlink>
      <w:r w:rsidRPr="00DC5C14">
        <w:t>,</w:t>
      </w:r>
      <w:r>
        <w:t xml:space="preserve"> this research will estimate the highest value of use for spectrum bands that are identified as being under consideration for mobile broadband use. It is expected that in 2016–17, the ACMA will release preliminary and</w:t>
      </w:r>
      <w:r w:rsidR="003649C7">
        <w:t>/or</w:t>
      </w:r>
      <w:r>
        <w:t xml:space="preserve"> comprehensive </w:t>
      </w:r>
      <w:r w:rsidR="003649C7">
        <w:t xml:space="preserve">analyses </w:t>
      </w:r>
      <w:r>
        <w:t xml:space="preserve">of the highest-value use </w:t>
      </w:r>
      <w:r w:rsidR="003649C7">
        <w:t xml:space="preserve">of </w:t>
      </w:r>
      <w:r>
        <w:t xml:space="preserve">the 1.5 </w:t>
      </w:r>
      <w:r w:rsidR="003649C7">
        <w:t xml:space="preserve">and 3.6 </w:t>
      </w:r>
      <w:r>
        <w:t>GHz band</w:t>
      </w:r>
      <w:r w:rsidR="003649C7">
        <w:t>s</w:t>
      </w:r>
      <w:r>
        <w:t>. This research has previously been identified in the</w:t>
      </w:r>
      <w:hyperlink r:id="rId44" w:history="1">
        <w:r w:rsidRPr="00E552D0">
          <w:rPr>
            <w:rStyle w:val="Hyperlink"/>
          </w:rPr>
          <w:t xml:space="preserve"> 2015–19</w:t>
        </w:r>
      </w:hyperlink>
      <w:r w:rsidRPr="00AD207B">
        <w:rPr>
          <w:rStyle w:val="Hyperlink"/>
        </w:rPr>
        <w:t xml:space="preserve"> </w:t>
      </w:r>
      <w:r w:rsidR="00DC5C14">
        <w:rPr>
          <w:rStyle w:val="Hyperlink"/>
        </w:rPr>
        <w:t>FYSO</w:t>
      </w:r>
      <w:r>
        <w:t xml:space="preserve">. </w:t>
      </w:r>
    </w:p>
    <w:p w14:paraId="1A971DC2" w14:textId="77777777" w:rsidR="004D0DEA" w:rsidRDefault="004D0DEA" w:rsidP="004D0DEA">
      <w:pPr>
        <w:pStyle w:val="BodySubHeader"/>
      </w:pPr>
      <w:bookmarkStart w:id="70" w:name="AM"/>
      <w:bookmarkEnd w:id="70"/>
      <w:r w:rsidRPr="00E62430">
        <w:t>AM radio in regional Australia</w:t>
      </w:r>
    </w:p>
    <w:p w14:paraId="325D5BD7" w14:textId="77777777" w:rsidR="004D0DEA" w:rsidRPr="00E62430" w:rsidRDefault="004D0DEA" w:rsidP="004D0DEA">
      <w:pPr>
        <w:rPr>
          <w:rFonts w:ascii="Calibri" w:hAnsi="Calibri"/>
        </w:rPr>
      </w:pPr>
      <w:r w:rsidRPr="00E62430">
        <w:t xml:space="preserve">This project is contributing to an evidence base on the role of AM radio in the contemporary communications environment, including consideration of the value of potential alternative uses of the spectrum. </w:t>
      </w:r>
    </w:p>
    <w:p w14:paraId="42992212" w14:textId="77777777" w:rsidR="004D0DEA" w:rsidRPr="00E0167C" w:rsidRDefault="004D0DEA" w:rsidP="004D0DEA">
      <w:r w:rsidRPr="00E62430">
        <w:t>The ACMA is conducting research to understand the impact of moving from an AM</w:t>
      </w:r>
      <w:r>
        <w:t> </w:t>
      </w:r>
      <w:r w:rsidRPr="00E62430">
        <w:t xml:space="preserve">radio platform to FM or other broadcasting technologies such as </w:t>
      </w:r>
      <w:r w:rsidRPr="00DC5C14">
        <w:t xml:space="preserve">DAB+ </w:t>
      </w:r>
      <w:r w:rsidRPr="0039046B">
        <w:t>d</w:t>
      </w:r>
      <w:r w:rsidRPr="00DC5C14">
        <w:t>igital</w:t>
      </w:r>
      <w:r w:rsidRPr="00E62430">
        <w:t xml:space="preserve"> or streaming radio. This research is designed to support the second recommendation in the Digital Radio Report (the 2015 Department of Communications Review under section 215B of the </w:t>
      </w:r>
      <w:r w:rsidRPr="0039046B">
        <w:t>BSA</w:t>
      </w:r>
      <w:r w:rsidRPr="00EB7666">
        <w:t xml:space="preserve"> and</w:t>
      </w:r>
      <w:r w:rsidRPr="00E62430">
        <w:t xml:space="preserve"> section 313B of </w:t>
      </w:r>
      <w:r>
        <w:t>the Act</w:t>
      </w:r>
      <w:r w:rsidR="00403B8F">
        <w:t>)</w:t>
      </w:r>
      <w:r>
        <w:t xml:space="preserve">, which </w:t>
      </w:r>
      <w:r w:rsidRPr="00E62430">
        <w:t xml:space="preserve">states the </w:t>
      </w:r>
      <w:r>
        <w:t>g</w:t>
      </w:r>
      <w:r w:rsidRPr="00E62430">
        <w:t>overnment should give the ACMA responsibility for determining where and when digital terrestri</w:t>
      </w:r>
      <w:r>
        <w:t>al radio services can commence.</w:t>
      </w:r>
    </w:p>
    <w:p w14:paraId="07BCD3A6" w14:textId="77777777" w:rsidR="004D0DEA" w:rsidRDefault="004D0DEA" w:rsidP="003E024F">
      <w:pPr>
        <w:pStyle w:val="Heading3"/>
        <w:keepLines/>
        <w:spacing w:before="240"/>
      </w:pPr>
      <w:bookmarkStart w:id="71" w:name="_Toc456616615"/>
      <w:bookmarkStart w:id="72" w:name="_Toc458084541"/>
      <w:bookmarkStart w:id="73" w:name="_Toc458608677"/>
      <w:bookmarkStart w:id="74" w:name="_Toc461107983"/>
      <w:bookmarkStart w:id="75" w:name="_Toc461194810"/>
      <w:bookmarkStart w:id="76" w:name="_Toc461445461"/>
      <w:bookmarkStart w:id="77" w:name="_Toc463351298"/>
      <w:bookmarkStart w:id="78" w:name="_Toc455579185"/>
      <w:bookmarkStart w:id="79" w:name="_Toc456616614"/>
      <w:bookmarkStart w:id="80" w:name="_Toc458084540"/>
      <w:bookmarkEnd w:id="58"/>
      <w:r>
        <w:t>Total welfare standard</w:t>
      </w:r>
      <w:bookmarkEnd w:id="71"/>
      <w:bookmarkEnd w:id="72"/>
      <w:bookmarkEnd w:id="73"/>
      <w:bookmarkEnd w:id="74"/>
      <w:bookmarkEnd w:id="75"/>
      <w:bookmarkEnd w:id="76"/>
      <w:bookmarkEnd w:id="77"/>
    </w:p>
    <w:p w14:paraId="7210493D" w14:textId="77777777" w:rsidR="004D0DEA" w:rsidRDefault="004D0DEA" w:rsidP="004D0DEA">
      <w:pPr>
        <w:spacing w:after="80"/>
        <w:rPr>
          <w:rFonts w:ascii="Calibri" w:hAnsi="Calibri"/>
        </w:rPr>
      </w:pPr>
      <w:r>
        <w:t xml:space="preserve">Consistent with the spectrum management functions set out in the </w:t>
      </w:r>
      <w:r w:rsidR="00DC5C14" w:rsidRPr="0039046B">
        <w:t xml:space="preserve">ACMA </w:t>
      </w:r>
      <w:r w:rsidRPr="0039046B">
        <w:t>Act</w:t>
      </w:r>
      <w:r>
        <w:t>, the object of the Act is to provide for management of the radiofrequency spectrum in order to achieve a number of goals, including:</w:t>
      </w:r>
      <w:r>
        <w:rPr>
          <w:rStyle w:val="FootnoteReference"/>
        </w:rPr>
        <w:footnoteReference w:id="2"/>
      </w:r>
      <w:r w:rsidDel="00EB7666">
        <w:rPr>
          <w:rStyle w:val="FootnoteReference"/>
        </w:rPr>
        <w:t xml:space="preserve"> </w:t>
      </w:r>
    </w:p>
    <w:p w14:paraId="75D6A35E" w14:textId="77777777" w:rsidR="004D0DEA" w:rsidRDefault="004D0DEA" w:rsidP="0039046B">
      <w:pPr>
        <w:pStyle w:val="ListBulletLast"/>
      </w:pPr>
      <w:r w:rsidRPr="00EB7666">
        <w:t>maximise</w:t>
      </w:r>
      <w:r>
        <w:t>, by ensuring the efficient allocation and use of the spectrum, the overall public benefit derived from using the radiofrequency spectrum.</w:t>
      </w:r>
    </w:p>
    <w:p w14:paraId="464630E1" w14:textId="77777777" w:rsidR="004D0DEA" w:rsidRDefault="004D0DEA" w:rsidP="004D0DEA">
      <w:pPr>
        <w:spacing w:after="80"/>
      </w:pPr>
      <w:r>
        <w:t xml:space="preserve">Subject to the statutory framework provided by the Act, the ACMA uses a </w:t>
      </w:r>
      <w:hyperlink r:id="rId45" w:history="1">
        <w:r>
          <w:rPr>
            <w:rStyle w:val="Hyperlink"/>
          </w:rPr>
          <w:t>total welfare standard</w:t>
        </w:r>
      </w:hyperlink>
      <w:r>
        <w:t xml:space="preserve"> as its overarching framework when assessing the optimal approach to individual spectrum management issues. Since 2007, the ACMA has adopted a total welfare standard for use when:</w:t>
      </w:r>
    </w:p>
    <w:p w14:paraId="0DCDF897" w14:textId="77777777" w:rsidR="004D0DEA" w:rsidRDefault="004D0DEA" w:rsidP="0039046B">
      <w:pPr>
        <w:pStyle w:val="ListBullet"/>
      </w:pPr>
      <w:r>
        <w:t xml:space="preserve">the </w:t>
      </w:r>
      <w:r w:rsidRPr="00EB7666">
        <w:t>policy</w:t>
      </w:r>
      <w:r>
        <w:t xml:space="preserve"> and legislative framework provides the ACMA with discretion about the tests it might apply</w:t>
      </w:r>
    </w:p>
    <w:p w14:paraId="31C66BF5" w14:textId="77777777" w:rsidR="004D0DEA" w:rsidRDefault="004D0DEA" w:rsidP="0039046B">
      <w:pPr>
        <w:pStyle w:val="ListBulletLast"/>
      </w:pPr>
      <w:r>
        <w:t xml:space="preserve">a </w:t>
      </w:r>
      <w:r w:rsidRPr="00EB7666">
        <w:t>regulatory</w:t>
      </w:r>
      <w:r>
        <w:t xml:space="preserve"> intervention might have a significant economic impact on consumers, producers or other stakeholders. </w:t>
      </w:r>
    </w:p>
    <w:p w14:paraId="24286B33" w14:textId="77777777" w:rsidR="004D0DEA" w:rsidRPr="00DC5C14" w:rsidRDefault="004D0DEA" w:rsidP="004D0DEA">
      <w:pPr>
        <w:rPr>
          <w:rFonts w:ascii="Times New Roman" w:hAnsi="Times New Roman"/>
          <w:sz w:val="24"/>
        </w:rPr>
      </w:pPr>
      <w:r>
        <w:t xml:space="preserve">When a total welfare standard is applied, the impact of a regulatory proposal on the public interest is measured as the sum of the effects on consumers, producers, government and the broader social impacts on others in the community. A total welfare standard requires that, to the extent possible, all significant benefits and costs arising from a regulatory proposal are given the same weight regardless of the identity of the recipient; and the approach expected to generate the greatest net benefits for the community is the preferred approach. This is consistent with </w:t>
      </w:r>
      <w:r w:rsidR="005E748A">
        <w:t>guidance provided</w:t>
      </w:r>
      <w:r>
        <w:t xml:space="preserve"> by the Office of Best Practice Regulation (OBPR).</w:t>
      </w:r>
      <w:r>
        <w:rPr>
          <w:rStyle w:val="FootnoteReference"/>
        </w:rPr>
        <w:footnoteReference w:id="3"/>
      </w:r>
      <w:r>
        <w:t xml:space="preserve"> The ACMA recognises that using a total welfare standard approach to assess costs and benefits will often </w:t>
      </w:r>
      <w:r w:rsidRPr="00DC5C14">
        <w:t>need to take into account both quantitative and qualitative factors.</w:t>
      </w:r>
      <w:r w:rsidRPr="00DC5C14">
        <w:rPr>
          <w:rFonts w:ascii="Times New Roman" w:hAnsi="Times New Roman"/>
          <w:sz w:val="24"/>
        </w:rPr>
        <w:t xml:space="preserve"> </w:t>
      </w:r>
    </w:p>
    <w:p w14:paraId="3DA54B29" w14:textId="77777777" w:rsidR="004D0DEA" w:rsidRPr="00DC5C14" w:rsidRDefault="004D0DEA" w:rsidP="00D07910">
      <w:pPr>
        <w:pStyle w:val="Heading3"/>
      </w:pPr>
      <w:bookmarkStart w:id="81" w:name="_Toc458608678"/>
      <w:bookmarkStart w:id="82" w:name="_Toc461107984"/>
      <w:bookmarkStart w:id="83" w:name="_Toc461194811"/>
      <w:bookmarkStart w:id="84" w:name="_Toc461445462"/>
      <w:bookmarkStart w:id="85" w:name="_Toc463351299"/>
      <w:r w:rsidRPr="00DC5C14">
        <w:t xml:space="preserve">Principles for </w:t>
      </w:r>
      <w:r w:rsidR="00DC5C14" w:rsidRPr="0039046B">
        <w:t>S</w:t>
      </w:r>
      <w:r w:rsidRPr="00DC5C14">
        <w:t xml:space="preserve">pectrum </w:t>
      </w:r>
      <w:r w:rsidR="00DC5C14" w:rsidRPr="0039046B">
        <w:t>M</w:t>
      </w:r>
      <w:r w:rsidRPr="00DC5C14">
        <w:t>anagement</w:t>
      </w:r>
      <w:bookmarkEnd w:id="59"/>
      <w:bookmarkEnd w:id="60"/>
      <w:bookmarkEnd w:id="61"/>
      <w:bookmarkEnd w:id="62"/>
      <w:bookmarkEnd w:id="78"/>
      <w:bookmarkEnd w:id="79"/>
      <w:bookmarkEnd w:id="80"/>
      <w:bookmarkEnd w:id="81"/>
      <w:bookmarkEnd w:id="82"/>
      <w:bookmarkEnd w:id="83"/>
      <w:bookmarkEnd w:id="84"/>
      <w:bookmarkEnd w:id="85"/>
    </w:p>
    <w:p w14:paraId="09413040" w14:textId="77777777" w:rsidR="004D0DEA" w:rsidRPr="00C46D67" w:rsidRDefault="004D0DEA" w:rsidP="004D0DEA">
      <w:pPr>
        <w:rPr>
          <w:rFonts w:cs="Arial"/>
        </w:rPr>
      </w:pPr>
      <w:r w:rsidRPr="00C46D67">
        <w:rPr>
          <w:rFonts w:cs="Arial"/>
        </w:rPr>
        <w:t>The ACMA’s</w:t>
      </w:r>
      <w:hyperlink r:id="rId46" w:history="1">
        <w:r w:rsidRPr="007C5CA4">
          <w:rPr>
            <w:rStyle w:val="Hyperlink"/>
            <w:rFonts w:cs="Arial"/>
          </w:rPr>
          <w:t xml:space="preserve"> Principles for </w:t>
        </w:r>
        <w:r w:rsidR="00DC5C14">
          <w:rPr>
            <w:rStyle w:val="Hyperlink"/>
            <w:rFonts w:cs="Arial"/>
          </w:rPr>
          <w:t>S</w:t>
        </w:r>
        <w:r w:rsidRPr="007C5CA4">
          <w:rPr>
            <w:rStyle w:val="Hyperlink"/>
            <w:rFonts w:cs="Arial"/>
          </w:rPr>
          <w:t xml:space="preserve">pectrum </w:t>
        </w:r>
        <w:r w:rsidR="00DC5C14">
          <w:rPr>
            <w:rStyle w:val="Hyperlink"/>
            <w:rFonts w:cs="Arial"/>
          </w:rPr>
          <w:t>M</w:t>
        </w:r>
        <w:r w:rsidRPr="007C5CA4">
          <w:rPr>
            <w:rStyle w:val="Hyperlink"/>
            <w:rFonts w:cs="Arial"/>
          </w:rPr>
          <w:t>anagement</w:t>
        </w:r>
      </w:hyperlink>
      <w:r>
        <w:rPr>
          <w:rFonts w:cs="Arial"/>
        </w:rPr>
        <w:t xml:space="preserve"> (the Principles) </w:t>
      </w:r>
      <w:r w:rsidRPr="00C46D67">
        <w:rPr>
          <w:rFonts w:cs="Arial"/>
        </w:rPr>
        <w:t>are designed to provide further guidance about the ACMA’s approach to management of the</w:t>
      </w:r>
      <w:r>
        <w:rPr>
          <w:rFonts w:cs="Arial"/>
        </w:rPr>
        <w:t xml:space="preserve"> radiofrequency</w:t>
      </w:r>
      <w:r w:rsidRPr="00C46D67">
        <w:rPr>
          <w:rFonts w:cs="Arial"/>
        </w:rPr>
        <w:t xml:space="preserve"> spectrum. </w:t>
      </w:r>
      <w:r>
        <w:rPr>
          <w:rFonts w:cs="Arial"/>
        </w:rPr>
        <w:t xml:space="preserve">They are </w:t>
      </w:r>
      <w:r w:rsidRPr="007A5194">
        <w:t xml:space="preserve">intended to guide ACMA’s management of the radiofrequency spectrum within its existing legislative responsibilities and government policy settings. </w:t>
      </w:r>
      <w:r w:rsidRPr="007A5194">
        <w:rPr>
          <w:rFonts w:cs="Arial"/>
        </w:rPr>
        <w:t xml:space="preserve">The key objective of the principles is to maximise the overall public benefit from use of the spectrum. </w:t>
      </w:r>
    </w:p>
    <w:p w14:paraId="24E4BE40" w14:textId="77777777" w:rsidR="004D0DEA" w:rsidRPr="00C46D67" w:rsidRDefault="004D0DEA" w:rsidP="004D0DEA">
      <w:pPr>
        <w:spacing w:after="80"/>
        <w:rPr>
          <w:rFonts w:cs="Arial"/>
        </w:rPr>
      </w:pPr>
      <w:r w:rsidRPr="00C46D67">
        <w:rPr>
          <w:rFonts w:cs="Arial"/>
        </w:rPr>
        <w:t xml:space="preserve">The </w:t>
      </w:r>
      <w:r>
        <w:rPr>
          <w:rFonts w:cs="Arial"/>
        </w:rPr>
        <w:t>P</w:t>
      </w:r>
      <w:r w:rsidRPr="00C46D67">
        <w:rPr>
          <w:rFonts w:cs="Arial"/>
        </w:rPr>
        <w:t>rinciples are:</w:t>
      </w:r>
    </w:p>
    <w:p w14:paraId="76635D29" w14:textId="77777777" w:rsidR="004D0DEA" w:rsidRPr="000D13E8" w:rsidRDefault="004D0DEA" w:rsidP="004D0DEA">
      <w:pPr>
        <w:pStyle w:val="ListBullet"/>
        <w:rPr>
          <w:rFonts w:cs="Arial"/>
          <w:szCs w:val="20"/>
        </w:rPr>
      </w:pPr>
      <w:r w:rsidRPr="000D13E8">
        <w:rPr>
          <w:rFonts w:cs="Arial"/>
          <w:szCs w:val="20"/>
        </w:rPr>
        <w:t xml:space="preserve">Allocate spectrum to the highest value use or uses. </w:t>
      </w:r>
    </w:p>
    <w:p w14:paraId="5CF9EBC6" w14:textId="77777777" w:rsidR="004D0DEA" w:rsidRPr="000D13E8" w:rsidRDefault="004D0DEA" w:rsidP="004D0DEA">
      <w:pPr>
        <w:pStyle w:val="ListBullet"/>
        <w:rPr>
          <w:rFonts w:cs="Arial"/>
          <w:szCs w:val="20"/>
        </w:rPr>
      </w:pPr>
      <w:r w:rsidRPr="000D13E8">
        <w:rPr>
          <w:rFonts w:cs="Arial"/>
          <w:szCs w:val="20"/>
        </w:rPr>
        <w:t xml:space="preserve">Enable and encourage spectrum to move to its highest value use or uses. </w:t>
      </w:r>
    </w:p>
    <w:p w14:paraId="7AD6EAC2" w14:textId="77777777" w:rsidR="004D0DEA" w:rsidRPr="000D13E8" w:rsidRDefault="004D0DEA" w:rsidP="004D0DEA">
      <w:pPr>
        <w:pStyle w:val="ListBullet"/>
        <w:rPr>
          <w:rFonts w:cs="Arial"/>
          <w:szCs w:val="20"/>
        </w:rPr>
      </w:pPr>
      <w:r w:rsidRPr="000D13E8">
        <w:rPr>
          <w:rFonts w:cs="Arial"/>
          <w:szCs w:val="20"/>
        </w:rPr>
        <w:t xml:space="preserve">Use the least cost and least restrictive approach to achieving policy objectives. </w:t>
      </w:r>
    </w:p>
    <w:p w14:paraId="21F920E5" w14:textId="77777777" w:rsidR="004D0DEA" w:rsidRPr="000D13E8" w:rsidRDefault="004D0DEA" w:rsidP="004D0DEA">
      <w:pPr>
        <w:pStyle w:val="ListBullet"/>
        <w:rPr>
          <w:rFonts w:cs="Arial"/>
          <w:szCs w:val="20"/>
        </w:rPr>
      </w:pPr>
      <w:r w:rsidRPr="000D13E8">
        <w:rPr>
          <w:rFonts w:cs="Arial"/>
          <w:szCs w:val="20"/>
        </w:rPr>
        <w:t xml:space="preserve">To the extent possible, promote both certainty and flexibility. </w:t>
      </w:r>
    </w:p>
    <w:p w14:paraId="6D6FB3F3" w14:textId="77777777" w:rsidR="004D0DEA" w:rsidRPr="000D13E8" w:rsidRDefault="004D0DEA" w:rsidP="004D0DEA">
      <w:pPr>
        <w:pStyle w:val="ListBulletLast"/>
      </w:pPr>
      <w:r w:rsidRPr="000D13E8">
        <w:t>Balance the cost of interference and the benefits of greater spectrum utilisation</w:t>
      </w:r>
      <w:r>
        <w:t>.</w:t>
      </w:r>
    </w:p>
    <w:p w14:paraId="71576B68" w14:textId="77777777" w:rsidR="004D0DEA" w:rsidRDefault="004D0DEA" w:rsidP="004D0DEA">
      <w:r>
        <w:rPr>
          <w:rFonts w:cs="Arial"/>
        </w:rPr>
        <w:t>Application of t</w:t>
      </w:r>
      <w:r>
        <w:t>he Principles to the ACMA’s decision-making process is consistent with good regulatory practice. The Principles provide direction that will generally result in welfare being maximised and, together with use of a total welfare standard discussed below, articulate the ACMA’s proposed standard approach to spectrum regulation.</w:t>
      </w:r>
    </w:p>
    <w:p w14:paraId="41C077FB" w14:textId="77777777" w:rsidR="004D0DEA" w:rsidRDefault="004D0DEA" w:rsidP="00D07910">
      <w:pPr>
        <w:pStyle w:val="Heading3"/>
      </w:pPr>
      <w:bookmarkStart w:id="86" w:name="_Toc455579186"/>
      <w:bookmarkStart w:id="87" w:name="_Toc456616612"/>
      <w:bookmarkStart w:id="88" w:name="_Toc458084539"/>
      <w:bookmarkStart w:id="89" w:name="_Toc458608679"/>
      <w:bookmarkStart w:id="90" w:name="_Toc461107985"/>
      <w:bookmarkStart w:id="91" w:name="_Toc461194812"/>
      <w:bookmarkStart w:id="92" w:name="_Toc461445463"/>
      <w:bookmarkStart w:id="93" w:name="_Toc463351300"/>
      <w:bookmarkEnd w:id="86"/>
      <w:r>
        <w:t>Spectrum management decision-making framework</w:t>
      </w:r>
      <w:bookmarkEnd w:id="87"/>
      <w:bookmarkEnd w:id="88"/>
      <w:bookmarkEnd w:id="89"/>
      <w:bookmarkEnd w:id="90"/>
      <w:bookmarkEnd w:id="91"/>
      <w:bookmarkEnd w:id="92"/>
      <w:bookmarkEnd w:id="93"/>
    </w:p>
    <w:p w14:paraId="0FC7B420" w14:textId="77777777" w:rsidR="004D0DEA" w:rsidDel="008042D5" w:rsidRDefault="004D0DEA" w:rsidP="004D0DEA">
      <w:pPr>
        <w:rPr>
          <w:rFonts w:cs="Arial"/>
        </w:rPr>
      </w:pPr>
      <w:r>
        <w:rPr>
          <w:rFonts w:cs="Arial"/>
        </w:rPr>
        <w:t>The ACMA is required to make spectrum management decisions and develop subordinate legislation for the purposes of</w:t>
      </w:r>
      <w:r>
        <w:t xml:space="preserve"> </w:t>
      </w:r>
      <w:r w:rsidRPr="00D832CB">
        <w:t xml:space="preserve">planning, </w:t>
      </w:r>
      <w:r>
        <w:t xml:space="preserve">allocation, </w:t>
      </w:r>
      <w:r w:rsidRPr="00D832CB">
        <w:t>licensing</w:t>
      </w:r>
      <w:r>
        <w:t xml:space="preserve"> </w:t>
      </w:r>
      <w:r w:rsidRPr="00D832CB">
        <w:t>and pricing</w:t>
      </w:r>
      <w:r>
        <w:rPr>
          <w:rFonts w:cs="Arial"/>
        </w:rPr>
        <w:t xml:space="preserve">. To ensure that these decisions </w:t>
      </w:r>
      <w:r w:rsidRPr="00D832CB">
        <w:t>are well-informed, robust and meaningful</w:t>
      </w:r>
      <w:r>
        <w:t xml:space="preserve">, the ACMA has </w:t>
      </w:r>
      <w:r>
        <w:rPr>
          <w:rFonts w:cs="Arial"/>
        </w:rPr>
        <w:t xml:space="preserve">developed a spectrum management decision-making framework </w:t>
      </w:r>
      <w:r w:rsidRPr="005137B9">
        <w:rPr>
          <w:rFonts w:cs="Arial"/>
        </w:rPr>
        <w:t>(the Framework)</w:t>
      </w:r>
      <w:r w:rsidR="003A78D0">
        <w:rPr>
          <w:rFonts w:cs="Arial"/>
        </w:rPr>
        <w:t>.</w:t>
      </w:r>
      <w:r>
        <w:rPr>
          <w:rStyle w:val="FootnoteReference"/>
          <w:rFonts w:cs="Arial"/>
        </w:rPr>
        <w:footnoteReference w:id="4"/>
      </w:r>
      <w:r>
        <w:rPr>
          <w:rFonts w:cs="Arial"/>
        </w:rPr>
        <w:t xml:space="preserve"> </w:t>
      </w:r>
      <w:r>
        <w:t>This uniform approach to the assessment of relevant information ensures consistency in the ACMA’s decision-making and accords with the principles of best regulatory practice.</w:t>
      </w:r>
    </w:p>
    <w:p w14:paraId="7B55DE3A" w14:textId="77777777" w:rsidR="004D0DEA" w:rsidRPr="00C46D67" w:rsidRDefault="003A78D0" w:rsidP="0039046B">
      <w:pPr>
        <w:spacing w:after="80"/>
        <w:rPr>
          <w:rFonts w:cs="Arial"/>
        </w:rPr>
      </w:pPr>
      <w:r>
        <w:t>The Framework is informed by:</w:t>
      </w:r>
    </w:p>
    <w:p w14:paraId="283B5686" w14:textId="77777777" w:rsidR="004D0DEA" w:rsidRPr="00C46D67" w:rsidRDefault="004D0DEA" w:rsidP="004D0DEA">
      <w:pPr>
        <w:pStyle w:val="ListBullet"/>
      </w:pPr>
      <w:r w:rsidRPr="00C46D67">
        <w:t xml:space="preserve">assessing the spectrum environment </w:t>
      </w:r>
      <w:r w:rsidRPr="003C4269">
        <w:t>through</w:t>
      </w:r>
      <w:r w:rsidRPr="00C46D67">
        <w:t>:</w:t>
      </w:r>
    </w:p>
    <w:p w14:paraId="07732B79" w14:textId="77777777" w:rsidR="004D0DEA" w:rsidRPr="00FF1CD9" w:rsidRDefault="004D0DEA" w:rsidP="004D0DEA">
      <w:pPr>
        <w:pStyle w:val="ListBullet2"/>
      </w:pPr>
      <w:r w:rsidRPr="00FF1CD9">
        <w:t>monitoring international developments</w:t>
      </w:r>
    </w:p>
    <w:p w14:paraId="68577DCC" w14:textId="77777777" w:rsidR="004D0DEA" w:rsidRPr="00FF1CD9" w:rsidRDefault="004D0DEA" w:rsidP="004D0DEA">
      <w:pPr>
        <w:pStyle w:val="ListBullet2"/>
      </w:pPr>
      <w:r w:rsidRPr="00FF1CD9">
        <w:t>listening to the needs of industry</w:t>
      </w:r>
    </w:p>
    <w:p w14:paraId="7F81E7D4" w14:textId="77777777" w:rsidR="004D0DEA" w:rsidRPr="00FF1CD9" w:rsidRDefault="004D0DEA" w:rsidP="004D0DEA">
      <w:pPr>
        <w:pStyle w:val="ListBullet2"/>
      </w:pPr>
      <w:r w:rsidRPr="00FF1CD9">
        <w:t>awareness of broader government requirements</w:t>
      </w:r>
    </w:p>
    <w:p w14:paraId="35A79F5C" w14:textId="77777777" w:rsidR="004D0DEA" w:rsidRPr="00C46D67" w:rsidRDefault="004D0DEA" w:rsidP="004D0DEA">
      <w:pPr>
        <w:pStyle w:val="ListBullet2"/>
      </w:pPr>
      <w:r w:rsidRPr="00FF1CD9">
        <w:t>identification of spectrum</w:t>
      </w:r>
      <w:r w:rsidRPr="00C46D67">
        <w:t xml:space="preserve"> demand/supply equation</w:t>
      </w:r>
    </w:p>
    <w:p w14:paraId="7A996343" w14:textId="77777777" w:rsidR="004D0DEA" w:rsidRPr="00C46D67" w:rsidRDefault="004D0DEA" w:rsidP="004D0DEA">
      <w:pPr>
        <w:pStyle w:val="ListBullet2"/>
      </w:pPr>
      <w:r w:rsidRPr="00C46D67">
        <w:t>future needs of incumbents</w:t>
      </w:r>
    </w:p>
    <w:p w14:paraId="6981EF2F" w14:textId="77777777" w:rsidR="004D0DEA" w:rsidRPr="00C46D67" w:rsidRDefault="004D0DEA" w:rsidP="007B5FA9">
      <w:pPr>
        <w:pStyle w:val="ListBullet"/>
        <w:keepNext/>
      </w:pPr>
      <w:r w:rsidRPr="00C46D67">
        <w:t>consulting with industry and government via:</w:t>
      </w:r>
    </w:p>
    <w:p w14:paraId="38C1C301" w14:textId="77777777" w:rsidR="004D0DEA" w:rsidRPr="00FF1CD9" w:rsidRDefault="004D0DEA" w:rsidP="004D0DEA">
      <w:pPr>
        <w:pStyle w:val="ListBullet2"/>
      </w:pPr>
      <w:r w:rsidRPr="00C46D67">
        <w:t xml:space="preserve">the </w:t>
      </w:r>
      <w:r w:rsidRPr="00FF1CD9">
        <w:t xml:space="preserve">ACMA’s annual </w:t>
      </w:r>
      <w:r>
        <w:t xml:space="preserve">radiocommunications conference, </w:t>
      </w:r>
      <w:r w:rsidRPr="00852FD5">
        <w:t>RadComms</w:t>
      </w:r>
    </w:p>
    <w:p w14:paraId="7C62CA89" w14:textId="77777777" w:rsidR="004D0DEA" w:rsidRPr="00FF1CD9" w:rsidRDefault="004D0DEA" w:rsidP="004D0DEA">
      <w:pPr>
        <w:pStyle w:val="ListBullet2"/>
      </w:pPr>
      <w:r w:rsidRPr="00FF1CD9">
        <w:t xml:space="preserve">the ACMA’s </w:t>
      </w:r>
      <w:r>
        <w:t>s</w:t>
      </w:r>
      <w:r w:rsidRPr="00FF1CD9">
        <w:t xml:space="preserve">pectrum </w:t>
      </w:r>
      <w:r>
        <w:t>t</w:t>
      </w:r>
      <w:r w:rsidRPr="00FF1CD9">
        <w:t>une-</w:t>
      </w:r>
      <w:r>
        <w:t>u</w:t>
      </w:r>
      <w:r w:rsidRPr="00FF1CD9">
        <w:t>ps</w:t>
      </w:r>
    </w:p>
    <w:p w14:paraId="7500ED6A" w14:textId="77777777" w:rsidR="004D0DEA" w:rsidRPr="00FF1CD9" w:rsidRDefault="004D0DEA" w:rsidP="004D0DEA">
      <w:pPr>
        <w:pStyle w:val="ListBullet2"/>
      </w:pPr>
      <w:r w:rsidRPr="00FF1CD9">
        <w:t>other radiocommunication forums</w:t>
      </w:r>
    </w:p>
    <w:p w14:paraId="3FA10141" w14:textId="77777777" w:rsidR="004D0DEA" w:rsidRPr="00FF1CD9" w:rsidRDefault="004D0DEA" w:rsidP="004D0DEA">
      <w:pPr>
        <w:pStyle w:val="ListBullet2"/>
      </w:pPr>
      <w:r w:rsidRPr="00FF1CD9">
        <w:t>ACMA discussion papers</w:t>
      </w:r>
    </w:p>
    <w:p w14:paraId="1EB9FD4C" w14:textId="77777777" w:rsidR="004D0DEA" w:rsidRPr="00FF1CD9" w:rsidRDefault="004D0DEA" w:rsidP="004D0DEA">
      <w:pPr>
        <w:pStyle w:val="ListBullet2"/>
      </w:pPr>
      <w:r w:rsidRPr="00FF1CD9">
        <w:t>industry representations</w:t>
      </w:r>
    </w:p>
    <w:p w14:paraId="6037088D" w14:textId="77777777" w:rsidR="004D0DEA" w:rsidRDefault="004D0DEA" w:rsidP="004D0DEA">
      <w:pPr>
        <w:pStyle w:val="ListBullet2"/>
      </w:pPr>
      <w:r w:rsidRPr="00FF1CD9">
        <w:t>submissions to relevant spectrum</w:t>
      </w:r>
      <w:r w:rsidRPr="00C46D67">
        <w:t xml:space="preserve"> projects</w:t>
      </w:r>
      <w:r w:rsidR="007E7731">
        <w:t>,</w:t>
      </w:r>
      <w:r w:rsidRPr="00C46D67">
        <w:t xml:space="preserve"> including the </w:t>
      </w:r>
      <w:r>
        <w:t>ACMA</w:t>
      </w:r>
      <w:r w:rsidR="00DC5C14">
        <w:t>’s</w:t>
      </w:r>
      <w:r>
        <w:t xml:space="preserve"> </w:t>
      </w:r>
      <w:r w:rsidR="00DC5C14">
        <w:t>FYSO</w:t>
      </w:r>
    </w:p>
    <w:p w14:paraId="3A4FEF0D" w14:textId="77777777" w:rsidR="004D0DEA" w:rsidRPr="00C46D67" w:rsidRDefault="004D0DEA" w:rsidP="003A78D0">
      <w:pPr>
        <w:pStyle w:val="ListBullet"/>
      </w:pPr>
      <w:r w:rsidRPr="00C46D67">
        <w:t xml:space="preserve">identifying </w:t>
      </w:r>
      <w:r w:rsidRPr="003C4269">
        <w:t>regulatory</w:t>
      </w:r>
      <w:r w:rsidRPr="00C46D67">
        <w:t xml:space="preserve"> frameworks via:</w:t>
      </w:r>
    </w:p>
    <w:p w14:paraId="279299CB" w14:textId="77777777" w:rsidR="004D0DEA" w:rsidRPr="00FF1CD9" w:rsidRDefault="004D0DEA" w:rsidP="0039046B">
      <w:pPr>
        <w:pStyle w:val="ListBullet2"/>
        <w:tabs>
          <w:tab w:val="clear" w:pos="845"/>
          <w:tab w:val="num" w:pos="1112"/>
        </w:tabs>
        <w:ind w:left="1112"/>
      </w:pPr>
      <w:r w:rsidRPr="00C46D67">
        <w:t xml:space="preserve">relevant </w:t>
      </w:r>
      <w:r w:rsidRPr="00FF1CD9">
        <w:t>legislation</w:t>
      </w:r>
    </w:p>
    <w:p w14:paraId="3E22D2F1" w14:textId="77777777" w:rsidR="004D0DEA" w:rsidRPr="00C46D67" w:rsidRDefault="004D0DEA" w:rsidP="0039046B">
      <w:pPr>
        <w:pStyle w:val="ListBullet2"/>
        <w:tabs>
          <w:tab w:val="clear" w:pos="845"/>
          <w:tab w:val="num" w:pos="1112"/>
        </w:tabs>
        <w:ind w:left="1112"/>
      </w:pPr>
      <w:r>
        <w:t>g</w:t>
      </w:r>
      <w:r w:rsidRPr="00FF1CD9">
        <w:t>overnment policies on</w:t>
      </w:r>
      <w:r w:rsidRPr="00C46D67">
        <w:t xml:space="preserve"> spectrum</w:t>
      </w:r>
    </w:p>
    <w:p w14:paraId="59034B5B" w14:textId="77777777" w:rsidR="004D0DEA" w:rsidRPr="00C46D67" w:rsidRDefault="004D0DEA" w:rsidP="004D0DEA">
      <w:pPr>
        <w:pStyle w:val="ListBullet"/>
      </w:pPr>
      <w:r w:rsidRPr="00C46D67">
        <w:t xml:space="preserve">applying </w:t>
      </w:r>
      <w:r w:rsidRPr="003C4269">
        <w:t>overarching</w:t>
      </w:r>
      <w:r w:rsidRPr="00C46D67">
        <w:t xml:space="preserve"> filters such as:</w:t>
      </w:r>
    </w:p>
    <w:p w14:paraId="6E6EB9CC" w14:textId="77777777" w:rsidR="004D0DEA" w:rsidRPr="00DE0C36" w:rsidRDefault="004D0DEA" w:rsidP="004D0DEA">
      <w:pPr>
        <w:pStyle w:val="ListBullet2"/>
      </w:pPr>
      <w:r w:rsidRPr="00DE0C36">
        <w:t xml:space="preserve">the Principles for </w:t>
      </w:r>
      <w:r>
        <w:t>S</w:t>
      </w:r>
      <w:r w:rsidRPr="00DE0C36">
        <w:t xml:space="preserve">pectrum </w:t>
      </w:r>
      <w:r>
        <w:t>M</w:t>
      </w:r>
      <w:r w:rsidRPr="00DE0C36">
        <w:t>anagement</w:t>
      </w:r>
    </w:p>
    <w:p w14:paraId="28DABBD9" w14:textId="77777777" w:rsidR="004D0DEA" w:rsidRPr="00DE0C36" w:rsidRDefault="004D0DEA" w:rsidP="0039046B">
      <w:pPr>
        <w:pStyle w:val="ListBullet2"/>
        <w:spacing w:after="240"/>
      </w:pPr>
      <w:r w:rsidRPr="00DE0C36">
        <w:t xml:space="preserve">the </w:t>
      </w:r>
      <w:r>
        <w:t>t</w:t>
      </w:r>
      <w:r w:rsidRPr="00DE0C36">
        <w:t xml:space="preserve">otal </w:t>
      </w:r>
      <w:r>
        <w:t>w</w:t>
      </w:r>
      <w:r w:rsidRPr="00DE0C36">
        <w:t xml:space="preserve">elfare </w:t>
      </w:r>
      <w:r>
        <w:t>s</w:t>
      </w:r>
      <w:r w:rsidRPr="00DE0C36">
        <w:t>tandard.</w:t>
      </w:r>
    </w:p>
    <w:p w14:paraId="6A654DAB" w14:textId="77777777" w:rsidR="004D0DEA" w:rsidRPr="006F73FE" w:rsidRDefault="004D0DEA" w:rsidP="0039046B">
      <w:pPr>
        <w:rPr>
          <w:rFonts w:cs="Arial"/>
        </w:rPr>
      </w:pPr>
      <w:r w:rsidRPr="0039046B">
        <w:rPr>
          <w:snapToGrid w:val="0"/>
        </w:rPr>
        <w:t>Figure 2</w:t>
      </w:r>
      <w:r w:rsidRPr="00564773">
        <w:rPr>
          <w:snapToGrid w:val="0"/>
        </w:rPr>
        <w:t xml:space="preserve"> illustrates ACMA</w:t>
      </w:r>
      <w:r>
        <w:rPr>
          <w:snapToGrid w:val="0"/>
        </w:rPr>
        <w:t>’s spectrum management decision-</w:t>
      </w:r>
      <w:r w:rsidRPr="00564773">
        <w:rPr>
          <w:snapToGrid w:val="0"/>
        </w:rPr>
        <w:t xml:space="preserve">making framework. </w:t>
      </w:r>
      <w:r w:rsidRPr="00D832CB">
        <w:t xml:space="preserve">This process </w:t>
      </w:r>
      <w:r>
        <w:t xml:space="preserve">is designed to </w:t>
      </w:r>
      <w:r w:rsidRPr="00D832CB">
        <w:t xml:space="preserve">ensure that the ACMA has a clear understanding of the technical, economic and social environments governing users and services, which enables the ACMA to implement spectrum-management decisions that address these </w:t>
      </w:r>
      <w:r w:rsidRPr="00333CBE">
        <w:rPr>
          <w:rFonts w:cs="Arial"/>
        </w:rPr>
        <w:t xml:space="preserve">needs. </w:t>
      </w:r>
      <w:r w:rsidRPr="00333CBE">
        <w:rPr>
          <w:rFonts w:cs="Arial"/>
          <w:szCs w:val="20"/>
          <w:lang w:val="en"/>
        </w:rPr>
        <w:t>As indicated by the arrows encircling this diagram, spectrum management outcomes affect the environment and the demand for and supply of spectrum and so in this</w:t>
      </w:r>
      <w:r>
        <w:rPr>
          <w:rFonts w:cs="Arial"/>
          <w:szCs w:val="20"/>
          <w:lang w:val="en"/>
        </w:rPr>
        <w:t xml:space="preserve"> sense, the process is iterative. </w:t>
      </w:r>
    </w:p>
    <w:p w14:paraId="4B619128" w14:textId="77777777" w:rsidR="004D0DEA" w:rsidRPr="0039046B" w:rsidRDefault="004D0DEA" w:rsidP="00DF0BA7">
      <w:pPr>
        <w:pStyle w:val="ACMAFigureHeader"/>
        <w:tabs>
          <w:tab w:val="clear" w:pos="3574"/>
          <w:tab w:val="num" w:pos="993"/>
        </w:tabs>
        <w:ind w:left="993"/>
      </w:pPr>
      <w:r w:rsidRPr="007E7731">
        <w:t>The ACMA’s spectrum management decision-making framework</w:t>
      </w:r>
    </w:p>
    <w:p w14:paraId="790A84EB" w14:textId="4FED4B4F" w:rsidR="004D0DEA" w:rsidRDefault="00472198" w:rsidP="0039046B">
      <w:pPr>
        <w:pStyle w:val="ACMASpaceaftertable"/>
        <w:rPr>
          <w:snapToGrid w:val="0"/>
        </w:rPr>
      </w:pPr>
      <w:r>
        <w:rPr>
          <w:noProof/>
        </w:rPr>
        <w:drawing>
          <wp:inline distT="0" distB="0" distL="0" distR="0" wp14:anchorId="5D6F0232" wp14:editId="01C0ADD1">
            <wp:extent cx="5625578" cy="3649358"/>
            <wp:effectExtent l="0" t="0" r="0" b="8255"/>
            <wp:docPr id="9" name="Picture 9" descr="Includes environment, priorities, filter outcomees. FYSO is featured under 'Priorities'." title="Spectrum management decision-making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NEW_spectrum decision making framework diagram_2016.jpg"/>
                    <pic:cNvPicPr/>
                  </pic:nvPicPr>
                  <pic:blipFill rotWithShape="1">
                    <a:blip r:embed="rId47">
                      <a:extLst>
                        <a:ext uri="{28A0092B-C50C-407E-A947-70E740481C1C}">
                          <a14:useLocalDpi xmlns:a14="http://schemas.microsoft.com/office/drawing/2010/main" val="0"/>
                        </a:ext>
                      </a:extLst>
                    </a:blip>
                    <a:srcRect l="4994" t="4363" r="4649" b="4004"/>
                    <a:stretch/>
                  </pic:blipFill>
                  <pic:spPr bwMode="auto">
                    <a:xfrm>
                      <a:off x="0" y="0"/>
                      <a:ext cx="5638593" cy="3657801"/>
                    </a:xfrm>
                    <a:prstGeom prst="rect">
                      <a:avLst/>
                    </a:prstGeom>
                    <a:ln>
                      <a:noFill/>
                    </a:ln>
                    <a:extLst>
                      <a:ext uri="{53640926-AAD7-44D8-BBD7-CCE9431645EC}">
                        <a14:shadowObscured xmlns:a14="http://schemas.microsoft.com/office/drawing/2010/main"/>
                      </a:ext>
                    </a:extLst>
                  </pic:spPr>
                </pic:pic>
              </a:graphicData>
            </a:graphic>
          </wp:inline>
        </w:drawing>
      </w:r>
      <w:r w:rsidR="004D0DEA">
        <w:rPr>
          <w:snapToGrid w:val="0"/>
        </w:rPr>
        <w:br/>
      </w:r>
    </w:p>
    <w:p w14:paraId="239A1FF6" w14:textId="77777777" w:rsidR="004D0DEA" w:rsidRDefault="004D0DEA" w:rsidP="007B5FA9">
      <w:pPr>
        <w:pStyle w:val="Heading3"/>
        <w:keepLines/>
      </w:pPr>
      <w:bookmarkStart w:id="94" w:name="_Toc461527819"/>
      <w:bookmarkStart w:id="95" w:name="_Toc461528701"/>
      <w:bookmarkStart w:id="96" w:name="_Toc458608674"/>
      <w:bookmarkStart w:id="97" w:name="_Toc461107986"/>
      <w:bookmarkStart w:id="98" w:name="_Toc461194813"/>
      <w:bookmarkStart w:id="99" w:name="_Toc461445464"/>
      <w:bookmarkStart w:id="100" w:name="_Toc463351301"/>
      <w:bookmarkEnd w:id="94"/>
      <w:bookmarkEnd w:id="95"/>
      <w:r>
        <w:t xml:space="preserve">2015–16 </w:t>
      </w:r>
      <w:bookmarkEnd w:id="96"/>
      <w:bookmarkEnd w:id="97"/>
      <w:bookmarkEnd w:id="98"/>
      <w:bookmarkEnd w:id="99"/>
      <w:r w:rsidR="00DE2E50">
        <w:t>activities</w:t>
      </w:r>
      <w:bookmarkEnd w:id="100"/>
    </w:p>
    <w:p w14:paraId="6AC8EC1E" w14:textId="77777777" w:rsidR="004D0DEA" w:rsidRDefault="004D0DEA" w:rsidP="007B5FA9">
      <w:pPr>
        <w:keepNext/>
        <w:keepLines/>
      </w:pPr>
      <w:r>
        <w:t xml:space="preserve">In future editions of the FYSO, the ACMA will report on the progress made against the previous 12-month work plan. This will include a discussion on any aspects of the work plan that were not </w:t>
      </w:r>
      <w:r w:rsidR="00F169C3">
        <w:t>realised</w:t>
      </w:r>
      <w:r>
        <w:t xml:space="preserve">. It will also identify any revised priorities and unexpected work that may have contributed to progress against the work plan. </w:t>
      </w:r>
    </w:p>
    <w:p w14:paraId="39172D3D" w14:textId="77777777" w:rsidR="004D0DEA" w:rsidRDefault="004D0DEA" w:rsidP="007B5FA9">
      <w:pPr>
        <w:keepNext/>
        <w:keepLines/>
      </w:pPr>
      <w:r>
        <w:t xml:space="preserve">This edition lists the ACMA’s spectrum management </w:t>
      </w:r>
      <w:r w:rsidR="00F169C3">
        <w:t>activities</w:t>
      </w:r>
      <w:r>
        <w:t xml:space="preserve"> </w:t>
      </w:r>
      <w:r w:rsidR="00E01920">
        <w:t xml:space="preserve">since the 2015–19 FYSO was released </w:t>
      </w:r>
      <w:r>
        <w:t xml:space="preserve">in </w:t>
      </w:r>
      <w:r w:rsidR="00E01920">
        <w:t>T</w:t>
      </w:r>
      <w:r>
        <w:t xml:space="preserve">able </w:t>
      </w:r>
      <w:r w:rsidR="00E01920">
        <w:t xml:space="preserve">1 </w:t>
      </w:r>
      <w:r>
        <w:t xml:space="preserve">below. </w:t>
      </w:r>
    </w:p>
    <w:p w14:paraId="492F5E31" w14:textId="77777777" w:rsidR="004D0DEA" w:rsidRPr="0039046B" w:rsidRDefault="004D0DEA" w:rsidP="004D0DEA">
      <w:pPr>
        <w:keepNext/>
        <w:numPr>
          <w:ilvl w:val="0"/>
          <w:numId w:val="27"/>
        </w:numPr>
        <w:spacing w:after="160" w:line="240" w:lineRule="auto"/>
        <w:rPr>
          <w:b/>
          <w:bCs/>
          <w:color w:val="323232"/>
          <w:szCs w:val="20"/>
        </w:rPr>
      </w:pPr>
      <w:r w:rsidRPr="004D0DEA">
        <w:rPr>
          <w:b/>
        </w:rPr>
        <w:t>Completed projects</w:t>
      </w:r>
    </w:p>
    <w:tbl>
      <w:tblPr>
        <w:tblStyle w:val="MediumGrid1-Accent5"/>
        <w:tblW w:w="906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Describes activity type and final outcomes for completed projects"/>
      </w:tblPr>
      <w:tblGrid>
        <w:gridCol w:w="1833"/>
        <w:gridCol w:w="7229"/>
      </w:tblGrid>
      <w:tr w:rsidR="004D0DEA" w:rsidRPr="009546B9" w14:paraId="31B00211" w14:textId="77777777" w:rsidTr="0039046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33" w:type="dxa"/>
            <w:shd w:val="clear" w:color="auto" w:fill="404040" w:themeFill="text1" w:themeFillTint="BF"/>
            <w:tcMar>
              <w:top w:w="57" w:type="dxa"/>
              <w:bottom w:w="57" w:type="dxa"/>
            </w:tcMar>
          </w:tcPr>
          <w:p w14:paraId="393D6042" w14:textId="77777777" w:rsidR="004D0DEA" w:rsidRPr="00D04B86" w:rsidRDefault="004D0DEA" w:rsidP="00375F63">
            <w:pPr>
              <w:pStyle w:val="TableHeading"/>
              <w:rPr>
                <w:color w:val="FFFFFF" w:themeColor="background1"/>
              </w:rPr>
            </w:pPr>
            <w:r>
              <w:rPr>
                <w:b/>
                <w:color w:val="FFFFFF" w:themeColor="background1"/>
              </w:rPr>
              <w:t>Work task</w:t>
            </w:r>
          </w:p>
        </w:tc>
        <w:tc>
          <w:tcPr>
            <w:tcW w:w="7229" w:type="dxa"/>
            <w:shd w:val="clear" w:color="auto" w:fill="404040" w:themeFill="text1" w:themeFillTint="BF"/>
            <w:tcMar>
              <w:top w:w="57" w:type="dxa"/>
              <w:bottom w:w="57" w:type="dxa"/>
            </w:tcMar>
          </w:tcPr>
          <w:p w14:paraId="02A29162" w14:textId="77777777" w:rsidR="004D0DEA" w:rsidRPr="00D04B86" w:rsidRDefault="004D0DEA" w:rsidP="00375F63">
            <w:pPr>
              <w:pStyle w:val="TableHeading"/>
              <w:cnfStyle w:val="100000000000" w:firstRow="1" w:lastRow="0" w:firstColumn="0" w:lastColumn="0" w:oddVBand="0" w:evenVBand="0" w:oddHBand="0" w:evenHBand="0" w:firstRowFirstColumn="0" w:firstRowLastColumn="0" w:lastRowFirstColumn="0" w:lastRowLastColumn="0"/>
              <w:rPr>
                <w:color w:val="FFFFFF" w:themeColor="background1"/>
              </w:rPr>
            </w:pPr>
            <w:r w:rsidRPr="00D04B86">
              <w:rPr>
                <w:b/>
                <w:color w:val="FFFFFF" w:themeColor="background1"/>
              </w:rPr>
              <w:t>Final outcomes</w:t>
            </w:r>
          </w:p>
        </w:tc>
      </w:tr>
      <w:tr w:rsidR="004D0DEA" w:rsidRPr="009546B9" w14:paraId="6832C398" w14:textId="77777777" w:rsidTr="003904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shd w:val="clear" w:color="auto" w:fill="auto"/>
            <w:tcMar>
              <w:top w:w="57" w:type="dxa"/>
              <w:bottom w:w="57" w:type="dxa"/>
            </w:tcMar>
          </w:tcPr>
          <w:p w14:paraId="484C1920" w14:textId="77777777" w:rsidR="004D0DEA" w:rsidRPr="00026F79" w:rsidRDefault="004D0DEA" w:rsidP="00375F63">
            <w:pPr>
              <w:rPr>
                <w:rFonts w:cs="Arial"/>
              </w:rPr>
            </w:pPr>
            <w:r w:rsidRPr="00026F79">
              <w:rPr>
                <w:rFonts w:cs="Arial"/>
              </w:rPr>
              <w:t>803</w:t>
            </w:r>
            <w:r>
              <w:rPr>
                <w:rFonts w:cs="Arial"/>
              </w:rPr>
              <w:t>–</w:t>
            </w:r>
            <w:r w:rsidRPr="00026F79">
              <w:rPr>
                <w:rFonts w:cs="Arial"/>
              </w:rPr>
              <w:t>960 MHz band reforms</w:t>
            </w:r>
          </w:p>
        </w:tc>
        <w:tc>
          <w:tcPr>
            <w:tcW w:w="7229" w:type="dxa"/>
            <w:shd w:val="clear" w:color="auto" w:fill="auto"/>
            <w:tcMar>
              <w:top w:w="57" w:type="dxa"/>
              <w:bottom w:w="57" w:type="dxa"/>
            </w:tcMar>
          </w:tcPr>
          <w:p w14:paraId="2A6CAE07" w14:textId="77777777" w:rsidR="004D0DEA" w:rsidRPr="00C02035" w:rsidRDefault="004D0DEA" w:rsidP="0039046B">
            <w:pPr>
              <w:pStyle w:val="NormalWeb"/>
              <w:spacing w:after="80"/>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Fonts w:ascii="Arial" w:hAnsi="Arial" w:cs="Arial"/>
                <w:sz w:val="20"/>
              </w:rPr>
              <w:t>I</w:t>
            </w:r>
            <w:r w:rsidRPr="00C02035">
              <w:rPr>
                <w:rFonts w:ascii="Arial" w:hAnsi="Arial" w:cs="Arial"/>
                <w:sz w:val="20"/>
              </w:rPr>
              <w:t>n November 2015</w:t>
            </w:r>
            <w:r>
              <w:rPr>
                <w:rFonts w:ascii="Arial" w:hAnsi="Arial" w:cs="Arial"/>
                <w:sz w:val="20"/>
              </w:rPr>
              <w:t>,</w:t>
            </w:r>
            <w:r w:rsidRPr="00C02035">
              <w:rPr>
                <w:rFonts w:ascii="Arial" w:hAnsi="Arial" w:cs="Arial"/>
                <w:sz w:val="20"/>
              </w:rPr>
              <w:t xml:space="preserve"> the ACMA released a paper containing decisions on a range of reforms in the </w:t>
            </w:r>
            <w:r>
              <w:rPr>
                <w:rFonts w:ascii="Arial" w:hAnsi="Arial" w:cs="Arial"/>
                <w:sz w:val="20"/>
              </w:rPr>
              <w:t xml:space="preserve">803–960 MHz </w:t>
            </w:r>
            <w:r w:rsidRPr="00C02035">
              <w:rPr>
                <w:rFonts w:ascii="Arial" w:hAnsi="Arial" w:cs="Arial"/>
                <w:sz w:val="20"/>
              </w:rPr>
              <w:t>band. Key decisions arising from the review included:</w:t>
            </w:r>
          </w:p>
          <w:p w14:paraId="265D0E5F" w14:textId="77777777" w:rsidR="004D0DEA" w:rsidRPr="00C02035" w:rsidRDefault="004D0DEA" w:rsidP="0039046B">
            <w:pPr>
              <w:pStyle w:val="ListBullet"/>
              <w:cnfStyle w:val="000000100000" w:firstRow="0" w:lastRow="0" w:firstColumn="0" w:lastColumn="0" w:oddVBand="0" w:evenVBand="0" w:oddHBand="1" w:evenHBand="0" w:firstRowFirstColumn="0" w:firstRowLastColumn="0" w:lastRowFirstColumn="0" w:lastRowLastColumn="0"/>
            </w:pPr>
            <w:r w:rsidRPr="00C02035">
              <w:t xml:space="preserve">2 x 15 MHz of 4G-standardised spectrum </w:t>
            </w:r>
            <w:r>
              <w:t>will</w:t>
            </w:r>
            <w:r w:rsidRPr="00C02035">
              <w:t xml:space="preserve"> be made available</w:t>
            </w:r>
            <w:r>
              <w:t xml:space="preserve"> for new mobile broadband services</w:t>
            </w:r>
            <w:r w:rsidRPr="00C02035">
              <w:t xml:space="preserve"> from 2024 onwards</w:t>
            </w:r>
            <w:r>
              <w:t>. This spectrum will come from the 850 MHz ‘expansion band’, which is lower-adjacent the current 850 MHz 3G band used by Telstra and Vodafone Hutchison Australia (VHA).</w:t>
            </w:r>
          </w:p>
          <w:p w14:paraId="5AFD2575" w14:textId="77777777" w:rsidR="004D0DEA" w:rsidRPr="00C02035" w:rsidRDefault="004D0DEA" w:rsidP="0039046B">
            <w:pPr>
              <w:pStyle w:val="ListBullet"/>
              <w:cnfStyle w:val="000000100000" w:firstRow="0" w:lastRow="0" w:firstColumn="0" w:lastColumn="0" w:oddVBand="0" w:evenVBand="0" w:oddHBand="1" w:evenHBand="0" w:firstRowFirstColumn="0" w:firstRowLastColumn="0" w:lastRowFirstColumn="0" w:lastRowLastColumn="0"/>
            </w:pPr>
            <w:r w:rsidRPr="00C02035">
              <w:t>Up to 7 MHz (</w:t>
            </w:r>
            <w:r>
              <w:t xml:space="preserve">5 or 7 MHz </w:t>
            </w:r>
            <w:r w:rsidRPr="00C02035">
              <w:t xml:space="preserve">depending on geographic area) </w:t>
            </w:r>
            <w:r>
              <w:t xml:space="preserve">will be </w:t>
            </w:r>
            <w:r w:rsidRPr="00C02035">
              <w:t xml:space="preserve">made available </w:t>
            </w:r>
            <w:r>
              <w:t xml:space="preserve">from the 928–935 MHz segment and optimised </w:t>
            </w:r>
            <w:r w:rsidRPr="00C02035">
              <w:t xml:space="preserve">for new and innovative machine-to-machine </w:t>
            </w:r>
            <w:r>
              <w:t xml:space="preserve">(M2M) </w:t>
            </w:r>
            <w:r w:rsidRPr="00C02035">
              <w:t>applications and networks</w:t>
            </w:r>
            <w:r>
              <w:t xml:space="preserve"> to</w:t>
            </w:r>
            <w:r w:rsidRPr="00C02035">
              <w:t xml:space="preserve"> support</w:t>
            </w:r>
            <w:r>
              <w:t xml:space="preserve"> the IoT.</w:t>
            </w:r>
          </w:p>
          <w:p w14:paraId="3C92D644" w14:textId="77777777" w:rsidR="004D0DEA" w:rsidRPr="00F164FB" w:rsidRDefault="004D0DEA" w:rsidP="0039046B">
            <w:pPr>
              <w:pStyle w:val="ListBullet"/>
              <w:cnfStyle w:val="000000100000" w:firstRow="0" w:lastRow="0" w:firstColumn="0" w:lastColumn="0" w:oddVBand="0" w:evenVBand="0" w:oddHBand="1" w:evenHBand="0" w:firstRowFirstColumn="0" w:firstRowLastColumn="0" w:lastRowFirstColumn="0" w:lastRowLastColumn="0"/>
            </w:pPr>
            <w:r>
              <w:t>Many fixed and land mobile users will be required to change frequencies or cease operation to accommodate the above reforms. The decision paper contained an implementation plan detailing requirements for affected users.</w:t>
            </w:r>
          </w:p>
        </w:tc>
      </w:tr>
      <w:tr w:rsidR="004D0DEA" w:rsidRPr="009546B9" w14:paraId="00BC1103" w14:textId="77777777" w:rsidTr="00A101E8">
        <w:tc>
          <w:tcPr>
            <w:cnfStyle w:val="001000000000" w:firstRow="0" w:lastRow="0" w:firstColumn="1" w:lastColumn="0" w:oddVBand="0" w:evenVBand="0" w:oddHBand="0" w:evenHBand="0" w:firstRowFirstColumn="0" w:firstRowLastColumn="0" w:lastRowFirstColumn="0" w:lastRowLastColumn="0"/>
            <w:tcW w:w="1833" w:type="dxa"/>
            <w:shd w:val="clear" w:color="auto" w:fill="F2EFF5"/>
            <w:tcMar>
              <w:top w:w="57" w:type="dxa"/>
              <w:bottom w:w="57" w:type="dxa"/>
            </w:tcMar>
          </w:tcPr>
          <w:p w14:paraId="7E8696B3" w14:textId="77777777" w:rsidR="004D0DEA" w:rsidRDefault="004D0DEA" w:rsidP="0039046B">
            <w:pPr>
              <w:spacing w:after="120"/>
              <w:rPr>
                <w:rFonts w:cs="Arial"/>
              </w:rPr>
            </w:pPr>
            <w:r>
              <w:rPr>
                <w:rFonts w:cs="Arial"/>
              </w:rPr>
              <w:t>Release of mobile broadband strategy and work plan</w:t>
            </w:r>
          </w:p>
        </w:tc>
        <w:tc>
          <w:tcPr>
            <w:tcW w:w="7229" w:type="dxa"/>
            <w:shd w:val="clear" w:color="auto" w:fill="F2EFF5"/>
            <w:tcMar>
              <w:top w:w="57" w:type="dxa"/>
              <w:bottom w:w="57" w:type="dxa"/>
            </w:tcMar>
          </w:tcPr>
          <w:p w14:paraId="0C50543B" w14:textId="77777777" w:rsidR="004D0DEA" w:rsidRPr="001B02C1" w:rsidRDefault="004D0DEA" w:rsidP="00375F63">
            <w:pPr>
              <w:spacing w:after="60"/>
              <w:cnfStyle w:val="000000000000" w:firstRow="0" w:lastRow="0" w:firstColumn="0" w:lastColumn="0" w:oddVBand="0" w:evenVBand="0" w:oddHBand="0" w:evenHBand="0" w:firstRowFirstColumn="0" w:firstRowLastColumn="0" w:lastRowFirstColumn="0" w:lastRowLastColumn="0"/>
              <w:rPr>
                <w:rFonts w:cs="Arial"/>
              </w:rPr>
            </w:pPr>
            <w:r w:rsidRPr="001B02C1">
              <w:rPr>
                <w:rFonts w:cs="Arial"/>
              </w:rPr>
              <w:t xml:space="preserve">Mobile </w:t>
            </w:r>
            <w:r>
              <w:rPr>
                <w:rFonts w:cs="Arial"/>
              </w:rPr>
              <w:t>b</w:t>
            </w:r>
            <w:r w:rsidRPr="001B02C1">
              <w:rPr>
                <w:rFonts w:cs="Arial"/>
              </w:rPr>
              <w:t xml:space="preserve">roadband </w:t>
            </w:r>
            <w:r>
              <w:rPr>
                <w:rFonts w:cs="Arial"/>
              </w:rPr>
              <w:t>s</w:t>
            </w:r>
            <w:r w:rsidRPr="001B02C1">
              <w:rPr>
                <w:rFonts w:cs="Arial"/>
              </w:rPr>
              <w:t xml:space="preserve">trategy and </w:t>
            </w:r>
            <w:r>
              <w:rPr>
                <w:rFonts w:cs="Arial"/>
              </w:rPr>
              <w:t>w</w:t>
            </w:r>
            <w:r w:rsidRPr="001B02C1">
              <w:rPr>
                <w:rFonts w:cs="Arial"/>
              </w:rPr>
              <w:t xml:space="preserve">ork </w:t>
            </w:r>
            <w:r>
              <w:rPr>
                <w:rFonts w:cs="Arial"/>
              </w:rPr>
              <w:t>p</w:t>
            </w:r>
            <w:r w:rsidR="00083330">
              <w:rPr>
                <w:rFonts w:cs="Arial"/>
              </w:rPr>
              <w:t>lan</w:t>
            </w:r>
            <w:r w:rsidRPr="001B02C1">
              <w:rPr>
                <w:rFonts w:cs="Arial"/>
              </w:rPr>
              <w:t xml:space="preserve"> </w:t>
            </w:r>
            <w:hyperlink r:id="rId48" w:history="1">
              <w:r w:rsidRPr="001B02C1">
                <w:rPr>
                  <w:rStyle w:val="Hyperlink"/>
                  <w:rFonts w:cs="Arial"/>
                </w:rPr>
                <w:t>Strategy for addressing the growth in mobile broadband capacity</w:t>
              </w:r>
            </w:hyperlink>
            <w:r w:rsidRPr="001B02C1">
              <w:rPr>
                <w:rFonts w:cs="Arial"/>
              </w:rPr>
              <w:t xml:space="preserve"> and an associated </w:t>
            </w:r>
            <w:hyperlink r:id="rId49" w:history="1">
              <w:r w:rsidRPr="001B02C1">
                <w:rPr>
                  <w:rStyle w:val="Hyperlink"/>
                  <w:rFonts w:cs="Arial"/>
                </w:rPr>
                <w:t>February 2016 edition work plan</w:t>
              </w:r>
            </w:hyperlink>
            <w:r w:rsidRPr="001B02C1">
              <w:rPr>
                <w:rFonts w:cs="Arial"/>
              </w:rPr>
              <w:t xml:space="preserve"> were released on 24 February 2016.</w:t>
            </w:r>
          </w:p>
        </w:tc>
      </w:tr>
      <w:tr w:rsidR="004D0DEA" w:rsidRPr="009546B9" w14:paraId="57E35F4B" w14:textId="77777777" w:rsidTr="003904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shd w:val="clear" w:color="auto" w:fill="auto"/>
            <w:tcMar>
              <w:top w:w="57" w:type="dxa"/>
              <w:bottom w:w="57" w:type="dxa"/>
            </w:tcMar>
          </w:tcPr>
          <w:p w14:paraId="49E54EB2" w14:textId="77777777" w:rsidR="004D0DEA" w:rsidRPr="00711300" w:rsidRDefault="004D0DEA" w:rsidP="0039046B">
            <w:pPr>
              <w:spacing w:after="120"/>
              <w:rPr>
                <w:rFonts w:cs="Arial"/>
              </w:rPr>
            </w:pPr>
            <w:r>
              <w:rPr>
                <w:rFonts w:cs="Arial"/>
              </w:rPr>
              <w:t>3.4 GHz—revised technical framework</w:t>
            </w:r>
          </w:p>
        </w:tc>
        <w:tc>
          <w:tcPr>
            <w:tcW w:w="7229" w:type="dxa"/>
            <w:shd w:val="clear" w:color="auto" w:fill="auto"/>
            <w:tcMar>
              <w:top w:w="57" w:type="dxa"/>
              <w:bottom w:w="57" w:type="dxa"/>
            </w:tcMar>
          </w:tcPr>
          <w:p w14:paraId="7D08DBC0" w14:textId="77777777" w:rsidR="004D0DEA" w:rsidRPr="001B02C1" w:rsidRDefault="004D0DEA" w:rsidP="0039046B">
            <w:pPr>
              <w:spacing w:after="60"/>
              <w:cnfStyle w:val="000000100000" w:firstRow="0" w:lastRow="0" w:firstColumn="0" w:lastColumn="0" w:oddVBand="0" w:evenVBand="0" w:oddHBand="1" w:evenHBand="0" w:firstRowFirstColumn="0" w:firstRowLastColumn="0" w:lastRowFirstColumn="0" w:lastRowLastColumn="0"/>
              <w:rPr>
                <w:rFonts w:cs="Arial"/>
              </w:rPr>
            </w:pPr>
            <w:r w:rsidRPr="001B02C1">
              <w:rPr>
                <w:rFonts w:cs="Arial"/>
              </w:rPr>
              <w:t>Finalised revision of the technical framework. Multiple offers for re-issue have been made. The new licence term commenced on 14 December 2015.</w:t>
            </w:r>
          </w:p>
        </w:tc>
      </w:tr>
      <w:tr w:rsidR="004D0DEA" w:rsidRPr="009546B9" w14:paraId="52822A3D" w14:textId="77777777" w:rsidTr="00A101E8">
        <w:tc>
          <w:tcPr>
            <w:cnfStyle w:val="001000000000" w:firstRow="0" w:lastRow="0" w:firstColumn="1" w:lastColumn="0" w:oddVBand="0" w:evenVBand="0" w:oddHBand="0" w:evenHBand="0" w:firstRowFirstColumn="0" w:firstRowLastColumn="0" w:lastRowFirstColumn="0" w:lastRowLastColumn="0"/>
            <w:tcW w:w="1833" w:type="dxa"/>
            <w:shd w:val="clear" w:color="auto" w:fill="F2EFF5"/>
            <w:tcMar>
              <w:top w:w="57" w:type="dxa"/>
              <w:bottom w:w="57" w:type="dxa"/>
            </w:tcMar>
          </w:tcPr>
          <w:p w14:paraId="48CB948A" w14:textId="77777777" w:rsidR="004D0DEA" w:rsidRPr="000131E4" w:rsidRDefault="004D0DEA" w:rsidP="00375F63">
            <w:pPr>
              <w:rPr>
                <w:rFonts w:cs="Arial"/>
              </w:rPr>
            </w:pPr>
            <w:r w:rsidRPr="000131E4">
              <w:rPr>
                <w:rFonts w:cs="Arial"/>
              </w:rPr>
              <w:t>27 GHz—transition of spectrum to apparatus licences</w:t>
            </w:r>
          </w:p>
        </w:tc>
        <w:tc>
          <w:tcPr>
            <w:tcW w:w="7229" w:type="dxa"/>
            <w:shd w:val="clear" w:color="auto" w:fill="F2EFF5"/>
            <w:tcMar>
              <w:top w:w="57" w:type="dxa"/>
              <w:bottom w:w="57" w:type="dxa"/>
            </w:tcMar>
          </w:tcPr>
          <w:p w14:paraId="450E593C" w14:textId="77777777" w:rsidR="004D0DEA" w:rsidRPr="001B02C1" w:rsidRDefault="004D0DEA" w:rsidP="0039046B">
            <w:pPr>
              <w:spacing w:after="120"/>
              <w:cnfStyle w:val="000000000000" w:firstRow="0" w:lastRow="0" w:firstColumn="0" w:lastColumn="0" w:oddVBand="0" w:evenVBand="0" w:oddHBand="0" w:evenHBand="0" w:firstRowFirstColumn="0" w:firstRowLastColumn="0" w:lastRowFirstColumn="0" w:lastRowLastColumn="0"/>
              <w:rPr>
                <w:rFonts w:cs="Arial"/>
              </w:rPr>
            </w:pPr>
            <w:r w:rsidRPr="001B02C1">
              <w:rPr>
                <w:rFonts w:cs="Arial"/>
              </w:rPr>
              <w:t xml:space="preserve">The Minister for Communications repealed the instrument </w:t>
            </w:r>
            <w:r>
              <w:rPr>
                <w:rFonts w:cs="Arial"/>
              </w:rPr>
              <w:t>that</w:t>
            </w:r>
            <w:r w:rsidRPr="001B02C1">
              <w:rPr>
                <w:rFonts w:cs="Arial"/>
              </w:rPr>
              <w:t xml:space="preserve"> designated the 27</w:t>
            </w:r>
            <w:r>
              <w:rPr>
                <w:rFonts w:cs="Arial"/>
              </w:rPr>
              <w:t> </w:t>
            </w:r>
            <w:r w:rsidRPr="001B02C1">
              <w:rPr>
                <w:rFonts w:cs="Arial"/>
              </w:rPr>
              <w:t>GHz band to be allocated by issuing spectrum licences. Th</w:t>
            </w:r>
            <w:r>
              <w:rPr>
                <w:rFonts w:cs="Arial"/>
              </w:rPr>
              <w:t xml:space="preserve">is had the </w:t>
            </w:r>
            <w:r w:rsidRPr="001B02C1">
              <w:rPr>
                <w:rFonts w:cs="Arial"/>
              </w:rPr>
              <w:t xml:space="preserve">effect of </w:t>
            </w:r>
            <w:r>
              <w:rPr>
                <w:rFonts w:cs="Arial"/>
              </w:rPr>
              <w:t xml:space="preserve">ceasing </w:t>
            </w:r>
            <w:r w:rsidRPr="001B02C1">
              <w:rPr>
                <w:rFonts w:cs="Arial"/>
              </w:rPr>
              <w:t>restrictions on issuing apparatus licences in the band when the spectrum licences expired on 17 January 2016. The ACMA worked with incumbent spectrum licensees to transition their licences from spectrum licensing to apparatus licences.</w:t>
            </w:r>
          </w:p>
        </w:tc>
      </w:tr>
      <w:tr w:rsidR="004D0DEA" w:rsidRPr="009546B9" w14:paraId="05A89EE8" w14:textId="77777777" w:rsidTr="003904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shd w:val="clear" w:color="auto" w:fill="auto"/>
            <w:tcMar>
              <w:top w:w="57" w:type="dxa"/>
              <w:bottom w:w="57" w:type="dxa"/>
            </w:tcMar>
          </w:tcPr>
          <w:p w14:paraId="669B3F06" w14:textId="77777777" w:rsidR="004D0DEA" w:rsidRPr="00F907C3" w:rsidRDefault="004D0DEA" w:rsidP="00375F63">
            <w:pPr>
              <w:rPr>
                <w:rFonts w:cs="Arial"/>
              </w:rPr>
            </w:pPr>
            <w:r w:rsidRPr="00F907C3">
              <w:rPr>
                <w:rFonts w:cs="Arial"/>
              </w:rPr>
              <w:t xml:space="preserve">400 MHz band—implementation </w:t>
            </w:r>
            <w:r>
              <w:rPr>
                <w:rFonts w:cs="Arial"/>
              </w:rPr>
              <w:t>outcomes</w:t>
            </w:r>
          </w:p>
        </w:tc>
        <w:tc>
          <w:tcPr>
            <w:tcW w:w="7229" w:type="dxa"/>
            <w:shd w:val="clear" w:color="auto" w:fill="auto"/>
            <w:tcMar>
              <w:top w:w="57" w:type="dxa"/>
              <w:bottom w:w="57" w:type="dxa"/>
            </w:tcMar>
          </w:tcPr>
          <w:p w14:paraId="6CCDB35A" w14:textId="77777777" w:rsidR="004D0DEA" w:rsidRPr="009E400F" w:rsidRDefault="004D0DEA" w:rsidP="0039046B">
            <w:pPr>
              <w:spacing w:after="120"/>
              <w:cnfStyle w:val="000000100000" w:firstRow="0" w:lastRow="0" w:firstColumn="0" w:lastColumn="0" w:oddVBand="0" w:evenVBand="0" w:oddHBand="1" w:evenHBand="0" w:firstRowFirstColumn="0" w:firstRowLastColumn="0" w:lastRowFirstColumn="0" w:lastRowLastColumn="0"/>
              <w:rPr>
                <w:rFonts w:cs="Arial"/>
              </w:rPr>
            </w:pPr>
            <w:r w:rsidRPr="009E400F">
              <w:rPr>
                <w:rFonts w:cs="Arial"/>
              </w:rPr>
              <w:t>Licensees made progress towards 400 MHz band mile</w:t>
            </w:r>
            <w:r w:rsidR="00543D25">
              <w:rPr>
                <w:rFonts w:cs="Arial"/>
              </w:rPr>
              <w:t xml:space="preserve">stone requirements. The ACMA </w:t>
            </w:r>
            <w:r w:rsidRPr="009E400F">
              <w:rPr>
                <w:rFonts w:cs="Arial"/>
              </w:rPr>
              <w:t xml:space="preserve">actively informed licensees through public </w:t>
            </w:r>
            <w:r>
              <w:rPr>
                <w:rFonts w:cs="Arial"/>
              </w:rPr>
              <w:t>t</w:t>
            </w:r>
            <w:r w:rsidRPr="009E400F">
              <w:rPr>
                <w:rFonts w:cs="Arial"/>
              </w:rPr>
              <w:t>une-</w:t>
            </w:r>
            <w:r>
              <w:rPr>
                <w:rFonts w:cs="Arial"/>
              </w:rPr>
              <w:t>u</w:t>
            </w:r>
            <w:r w:rsidRPr="009E400F">
              <w:rPr>
                <w:rFonts w:cs="Arial"/>
              </w:rPr>
              <w:t>p</w:t>
            </w:r>
            <w:r>
              <w:rPr>
                <w:rFonts w:cs="Arial"/>
              </w:rPr>
              <w:t>s</w:t>
            </w:r>
            <w:r w:rsidRPr="009E400F">
              <w:rPr>
                <w:rFonts w:cs="Arial"/>
              </w:rPr>
              <w:t xml:space="preserve">, </w:t>
            </w:r>
            <w:r>
              <w:rPr>
                <w:rFonts w:cs="Arial"/>
              </w:rPr>
              <w:t>e</w:t>
            </w:r>
            <w:r w:rsidRPr="009E400F">
              <w:rPr>
                <w:rFonts w:cs="Arial"/>
              </w:rPr>
              <w:t xml:space="preserve">-bulletins, and presentations at key industry conferences. Staff also met with many stakeholder groups to resolve specific issues, </w:t>
            </w:r>
            <w:r>
              <w:rPr>
                <w:rFonts w:cs="Arial"/>
              </w:rPr>
              <w:t>including</w:t>
            </w:r>
            <w:r w:rsidRPr="009E400F">
              <w:rPr>
                <w:rFonts w:cs="Arial"/>
              </w:rPr>
              <w:t xml:space="preserve"> licensees facing difficulty meeting milestone requirements and negotiated favourable outcomes</w:t>
            </w:r>
            <w:r>
              <w:rPr>
                <w:rFonts w:cs="Arial"/>
              </w:rPr>
              <w:t xml:space="preserve"> such as</w:t>
            </w:r>
            <w:r w:rsidRPr="009E400F">
              <w:rPr>
                <w:rFonts w:cs="Arial"/>
              </w:rPr>
              <w:t xml:space="preserve"> providing additional time, where impact on other licensees was low and overall 400 </w:t>
            </w:r>
            <w:r>
              <w:rPr>
                <w:rFonts w:cs="Arial"/>
              </w:rPr>
              <w:t>M</w:t>
            </w:r>
            <w:r w:rsidRPr="009E400F">
              <w:rPr>
                <w:rFonts w:cs="Arial"/>
              </w:rPr>
              <w:t>Hz implementation objectives were still met.</w:t>
            </w:r>
          </w:p>
          <w:p w14:paraId="2A666C4C" w14:textId="77777777" w:rsidR="004D0DEA" w:rsidRPr="009E400F" w:rsidRDefault="004D0DEA" w:rsidP="0039046B">
            <w:pPr>
              <w:spacing w:after="120"/>
              <w:cnfStyle w:val="000000100000" w:firstRow="0" w:lastRow="0" w:firstColumn="0" w:lastColumn="0" w:oddVBand="0" w:evenVBand="0" w:oddHBand="1" w:evenHBand="0" w:firstRowFirstColumn="0" w:firstRowLastColumn="0" w:lastRowFirstColumn="0" w:lastRowLastColumn="0"/>
              <w:rPr>
                <w:rFonts w:cs="Arial"/>
              </w:rPr>
            </w:pPr>
            <w:r w:rsidRPr="009E400F">
              <w:rPr>
                <w:rFonts w:cs="Arial"/>
              </w:rPr>
              <w:t>A new Harmonised Government Spectrum Area licensing option was introduced, providing flexibility and administrative streamlining opportunities for government licensees.</w:t>
            </w:r>
          </w:p>
          <w:p w14:paraId="365568F7" w14:textId="77777777" w:rsidR="004D0DEA" w:rsidRPr="009E400F" w:rsidRDefault="004D0DEA" w:rsidP="00375F63">
            <w:pPr>
              <w:spacing w:after="40"/>
              <w:cnfStyle w:val="000000100000" w:firstRow="0" w:lastRow="0" w:firstColumn="0" w:lastColumn="0" w:oddVBand="0" w:evenVBand="0" w:oddHBand="1" w:evenHBand="0" w:firstRowFirstColumn="0" w:firstRowLastColumn="0" w:lastRowFirstColumn="0" w:lastRowLastColumn="0"/>
              <w:rPr>
                <w:rFonts w:cs="Arial"/>
              </w:rPr>
            </w:pPr>
            <w:r w:rsidRPr="009E400F">
              <w:t xml:space="preserve">Coordination procedures for point-to-multipoint services in the 400 MHz band were updated in May 2016 to include a low powered model. See </w:t>
            </w:r>
            <w:r w:rsidRPr="009E400F">
              <w:rPr>
                <w:lang w:val="en"/>
              </w:rPr>
              <w:t>IFC 3/2016 </w:t>
            </w:r>
            <w:hyperlink r:id="rId50" w:history="1">
              <w:r w:rsidRPr="009E400F">
                <w:rPr>
                  <w:rStyle w:val="Hyperlink"/>
                  <w:lang w:val="en"/>
                </w:rPr>
                <w:t>Proposed updates to RALI FX 16 and FX 20</w:t>
              </w:r>
            </w:hyperlink>
            <w:r w:rsidRPr="009E400F">
              <w:rPr>
                <w:rStyle w:val="Hyperlink"/>
                <w:lang w:val="en"/>
              </w:rPr>
              <w:t>.</w:t>
            </w:r>
          </w:p>
        </w:tc>
      </w:tr>
      <w:tr w:rsidR="004D0DEA" w:rsidRPr="009546B9" w14:paraId="6C6E16EE" w14:textId="77777777" w:rsidTr="00A101E8">
        <w:tc>
          <w:tcPr>
            <w:cnfStyle w:val="001000000000" w:firstRow="0" w:lastRow="0" w:firstColumn="1" w:lastColumn="0" w:oddVBand="0" w:evenVBand="0" w:oddHBand="0" w:evenHBand="0" w:firstRowFirstColumn="0" w:firstRowLastColumn="0" w:lastRowFirstColumn="0" w:lastRowLastColumn="0"/>
            <w:tcW w:w="1833" w:type="dxa"/>
            <w:shd w:val="clear" w:color="auto" w:fill="F2EFF5"/>
            <w:tcMar>
              <w:top w:w="57" w:type="dxa"/>
              <w:bottom w:w="57" w:type="dxa"/>
            </w:tcMar>
          </w:tcPr>
          <w:p w14:paraId="30E4CF39" w14:textId="6EA44CCC" w:rsidR="004D0DEA" w:rsidRPr="00770B12" w:rsidRDefault="004D0DEA" w:rsidP="00375F63">
            <w:pPr>
              <w:rPr>
                <w:rFonts w:cs="Arial"/>
              </w:rPr>
            </w:pPr>
            <w:r w:rsidRPr="00770B12">
              <w:rPr>
                <w:rFonts w:cs="Arial"/>
              </w:rPr>
              <w:t xml:space="preserve">Satellite </w:t>
            </w:r>
            <w:r w:rsidR="000E200B">
              <w:rPr>
                <w:rFonts w:cs="Arial"/>
              </w:rPr>
              <w:t>Earth s</w:t>
            </w:r>
            <w:r w:rsidR="00F11CA4">
              <w:rPr>
                <w:rFonts w:cs="Arial"/>
              </w:rPr>
              <w:t xml:space="preserve">tation </w:t>
            </w:r>
            <w:r>
              <w:rPr>
                <w:rFonts w:cs="Arial"/>
              </w:rPr>
              <w:t>coordination arrangements</w:t>
            </w:r>
          </w:p>
        </w:tc>
        <w:tc>
          <w:tcPr>
            <w:tcW w:w="7229" w:type="dxa"/>
            <w:shd w:val="clear" w:color="auto" w:fill="F2EFF5"/>
            <w:tcMar>
              <w:top w:w="57" w:type="dxa"/>
              <w:bottom w:w="57" w:type="dxa"/>
            </w:tcMar>
          </w:tcPr>
          <w:p w14:paraId="54EE863D" w14:textId="77777777" w:rsidR="004D0DEA" w:rsidRDefault="004D0DEA" w:rsidP="0039046B">
            <w:pPr>
              <w:spacing w:after="80"/>
              <w:cnfStyle w:val="000000000000" w:firstRow="0" w:lastRow="0" w:firstColumn="0" w:lastColumn="0" w:oddVBand="0" w:evenVBand="0" w:oddHBand="0" w:evenHBand="0" w:firstRowFirstColumn="0" w:firstRowLastColumn="0" w:lastRowFirstColumn="0" w:lastRowLastColumn="0"/>
              <w:rPr>
                <w:rFonts w:cs="Arial"/>
              </w:rPr>
            </w:pPr>
            <w:r w:rsidRPr="009E400F">
              <w:rPr>
                <w:rFonts w:cs="Arial"/>
              </w:rPr>
              <w:t xml:space="preserve">Coordination procedures to facilitate the operation of the European Space Agency (ESA) New Norcia </w:t>
            </w:r>
            <w:r w:rsidR="0041475D">
              <w:rPr>
                <w:rFonts w:cs="Arial"/>
              </w:rPr>
              <w:t>E</w:t>
            </w:r>
            <w:r w:rsidRPr="009E400F">
              <w:rPr>
                <w:rFonts w:cs="Arial"/>
              </w:rPr>
              <w:t xml:space="preserve">arth station facility: </w:t>
            </w:r>
          </w:p>
          <w:p w14:paraId="5DA0A567" w14:textId="77777777" w:rsidR="004D0DEA" w:rsidRDefault="004D0DEA" w:rsidP="0039046B">
            <w:pPr>
              <w:pStyle w:val="ListBullet"/>
              <w:cnfStyle w:val="000000000000" w:firstRow="0" w:lastRow="0" w:firstColumn="0" w:lastColumn="0" w:oddVBand="0" w:evenVBand="0" w:oddHBand="0" w:evenHBand="0" w:firstRowFirstColumn="0" w:firstRowLastColumn="0" w:lastRowFirstColumn="0" w:lastRowLastColumn="0"/>
            </w:pPr>
            <w:r>
              <w:t>F</w:t>
            </w:r>
            <w:r w:rsidRPr="009E400F">
              <w:t>ollowing public consultation</w:t>
            </w:r>
            <w:r>
              <w:t>,</w:t>
            </w:r>
            <w:r w:rsidRPr="009E400F">
              <w:t xml:space="preserve"> </w:t>
            </w:r>
            <w:r>
              <w:t>i</w:t>
            </w:r>
            <w:r w:rsidRPr="009E400F">
              <w:t xml:space="preserve">n January 2016 coordination arrangements were put in place supporting ESA operations in the frequency bands 7145–7235 MHz, 8400–8500 MHz, 25.5–26.5 GHz, 31.8–32.3 GHz and </w:t>
            </w:r>
            <w:r w:rsidR="00083330">
              <w:br/>
              <w:t>34.2–34.7 GHz.</w:t>
            </w:r>
          </w:p>
          <w:p w14:paraId="76F6590D" w14:textId="77777777" w:rsidR="004D0DEA" w:rsidRDefault="004D0DEA" w:rsidP="0039046B">
            <w:pPr>
              <w:pStyle w:val="ListBullet"/>
              <w:cnfStyle w:val="000000000000" w:firstRow="0" w:lastRow="0" w:firstColumn="0" w:lastColumn="0" w:oddVBand="0" w:evenVBand="0" w:oddHBand="0" w:evenHBand="0" w:firstRowFirstColumn="0" w:firstRowLastColumn="0" w:lastRowFirstColumn="0" w:lastRowLastColumn="0"/>
            </w:pPr>
            <w:r w:rsidRPr="009E400F">
              <w:t xml:space="preserve">In </w:t>
            </w:r>
            <w:r w:rsidRPr="00F70DF7">
              <w:t>December</w:t>
            </w:r>
            <w:r w:rsidRPr="009E400F">
              <w:t xml:space="preserve"> 2015</w:t>
            </w:r>
            <w:r>
              <w:t>,</w:t>
            </w:r>
            <w:r w:rsidRPr="009E400F">
              <w:t xml:space="preserve"> arrangement for television outside broadcast services in Perth were updated to include spectrum coordination arrangements for access to parts of the 2025–2110 MHz and 2200–2300 MHz bands for short</w:t>
            </w:r>
            <w:r>
              <w:t>-</w:t>
            </w:r>
            <w:r w:rsidRPr="009E400F">
              <w:t>duration activities</w:t>
            </w:r>
            <w:r>
              <w:t>,</w:t>
            </w:r>
            <w:r w:rsidRPr="009E400F">
              <w:t xml:space="preserve"> including launcher tracking and launch and early orbit support. </w:t>
            </w:r>
          </w:p>
          <w:p w14:paraId="7C8A9B20" w14:textId="52822545" w:rsidR="004D0DEA" w:rsidRPr="009E400F" w:rsidRDefault="004D0DEA" w:rsidP="0039046B">
            <w:pPr>
              <w:spacing w:after="120"/>
              <w:cnfStyle w:val="000000000000" w:firstRow="0" w:lastRow="0" w:firstColumn="0" w:lastColumn="0" w:oddVBand="0" w:evenVBand="0" w:oddHBand="0" w:evenHBand="0" w:firstRowFirstColumn="0" w:firstRowLastColumn="0" w:lastRowFirstColumn="0" w:lastRowLastColumn="0"/>
            </w:pPr>
            <w:r w:rsidRPr="009E400F">
              <w:t xml:space="preserve">See IFC 27/2015 Coordination arrangements with ESA New Norcia </w:t>
            </w:r>
            <w:r w:rsidR="0041475D">
              <w:t>E</w:t>
            </w:r>
            <w:r w:rsidRPr="009E400F">
              <w:t>arth station.</w:t>
            </w:r>
          </w:p>
        </w:tc>
      </w:tr>
      <w:tr w:rsidR="004D0DEA" w:rsidRPr="009546B9" w14:paraId="306A7CAF" w14:textId="77777777" w:rsidTr="003904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shd w:val="clear" w:color="auto" w:fill="FFFFFF" w:themeFill="background1"/>
            <w:tcMar>
              <w:top w:w="57" w:type="dxa"/>
              <w:bottom w:w="57" w:type="dxa"/>
            </w:tcMar>
          </w:tcPr>
          <w:p w14:paraId="56728F7C" w14:textId="77777777" w:rsidR="004D0DEA" w:rsidRPr="003E3735" w:rsidRDefault="004D0DEA" w:rsidP="00375F63">
            <w:pPr>
              <w:rPr>
                <w:rFonts w:cs="Arial"/>
              </w:rPr>
            </w:pPr>
            <w:r w:rsidRPr="003E3735">
              <w:rPr>
                <w:rFonts w:cs="Arial"/>
              </w:rPr>
              <w:t>Rollout of SPECTRA</w:t>
            </w:r>
          </w:p>
        </w:tc>
        <w:tc>
          <w:tcPr>
            <w:tcW w:w="7229" w:type="dxa"/>
            <w:shd w:val="clear" w:color="auto" w:fill="FFFFFF" w:themeFill="background1"/>
            <w:tcMar>
              <w:top w:w="57" w:type="dxa"/>
              <w:bottom w:w="57" w:type="dxa"/>
            </w:tcMar>
          </w:tcPr>
          <w:p w14:paraId="03F77EF6" w14:textId="77777777" w:rsidR="004D0DEA" w:rsidRPr="009E400F" w:rsidRDefault="004D0DEA" w:rsidP="0039046B">
            <w:pPr>
              <w:spacing w:after="120"/>
              <w:cnfStyle w:val="000000100000" w:firstRow="0" w:lastRow="0" w:firstColumn="0" w:lastColumn="0" w:oddVBand="0" w:evenVBand="0" w:oddHBand="1" w:evenHBand="0" w:firstRowFirstColumn="0" w:firstRowLastColumn="0" w:lastRowFirstColumn="0" w:lastRowLastColumn="0"/>
              <w:rPr>
                <w:rFonts w:cs="Arial"/>
              </w:rPr>
            </w:pPr>
            <w:r w:rsidRPr="009E400F">
              <w:t>On 31 May 2016</w:t>
            </w:r>
            <w:r>
              <w:t>,</w:t>
            </w:r>
            <w:r w:rsidRPr="009E400F">
              <w:t xml:space="preserve"> the ACMA switched on the final piece of its new integrated spectrum management tool</w:t>
            </w:r>
            <w:r>
              <w:t>—</w:t>
            </w:r>
            <w:r w:rsidRPr="009E400F">
              <w:t xml:space="preserve">the SPECTRA Enterprise Suite or SPECTRA. This brings to </w:t>
            </w:r>
            <w:r>
              <w:t>a</w:t>
            </w:r>
            <w:r w:rsidRPr="009E400F">
              <w:t xml:space="preserve"> close </w:t>
            </w:r>
            <w:r>
              <w:t>the</w:t>
            </w:r>
            <w:r w:rsidRPr="009E400F">
              <w:t xml:space="preserve"> multi-year, multi-dimensional initiative to upgrade the ACMA’s spectrum management capabilities.</w:t>
            </w:r>
          </w:p>
          <w:p w14:paraId="48CE60F5" w14:textId="77777777" w:rsidR="004D0DEA" w:rsidRPr="009E400F" w:rsidRDefault="004D0DEA" w:rsidP="0039046B">
            <w:pPr>
              <w:spacing w:after="120"/>
              <w:cnfStyle w:val="000000100000" w:firstRow="0" w:lastRow="0" w:firstColumn="0" w:lastColumn="0" w:oddVBand="0" w:evenVBand="0" w:oddHBand="1" w:evenHBand="0" w:firstRowFirstColumn="0" w:firstRowLastColumn="0" w:lastRowFirstColumn="0" w:lastRowLastColumn="0"/>
              <w:rPr>
                <w:rFonts w:cs="Arial"/>
              </w:rPr>
            </w:pPr>
            <w:r w:rsidRPr="009E400F">
              <w:t>The ACMA now has the infrastructure in place to allow it to continue to support existing planning and licensing arrangements</w:t>
            </w:r>
            <w:r>
              <w:t>,</w:t>
            </w:r>
            <w:r w:rsidRPr="009E400F">
              <w:t xml:space="preserve"> as well as implement the government’s reform agenda. </w:t>
            </w:r>
            <w:r>
              <w:t xml:space="preserve">In its initial implementation, </w:t>
            </w:r>
            <w:r w:rsidRPr="009E400F">
              <w:t xml:space="preserve">SPECTRA has improved the productivity of ACMA staff, provided </w:t>
            </w:r>
            <w:r w:rsidRPr="007E7731">
              <w:t>accredited persons</w:t>
            </w:r>
            <w:r w:rsidR="007E7731">
              <w:t xml:space="preserve"> (APs)</w:t>
            </w:r>
            <w:r w:rsidRPr="009E400F">
              <w:t xml:space="preserve"> with the ability to lodge complete licence applications on behalf of their clients</w:t>
            </w:r>
            <w:r>
              <w:t>,</w:t>
            </w:r>
            <w:r w:rsidRPr="009E400F">
              <w:t xml:space="preserve"> and allows the ACMA to make the data published in the Register freely available through downloads and APIs, which enables the development of third-party apps and systems. The ACMA </w:t>
            </w:r>
            <w:r>
              <w:t xml:space="preserve">continues to work with the software provider to improve the performance of the system. </w:t>
            </w:r>
          </w:p>
        </w:tc>
      </w:tr>
      <w:tr w:rsidR="004D0DEA" w:rsidRPr="009546B9" w14:paraId="7C66F7E7" w14:textId="77777777" w:rsidTr="00A101E8">
        <w:tc>
          <w:tcPr>
            <w:cnfStyle w:val="001000000000" w:firstRow="0" w:lastRow="0" w:firstColumn="1" w:lastColumn="0" w:oddVBand="0" w:evenVBand="0" w:oddHBand="0" w:evenHBand="0" w:firstRowFirstColumn="0" w:firstRowLastColumn="0" w:lastRowFirstColumn="0" w:lastRowLastColumn="0"/>
            <w:tcW w:w="1833" w:type="dxa"/>
            <w:shd w:val="clear" w:color="auto" w:fill="F2EFF5"/>
            <w:tcMar>
              <w:top w:w="57" w:type="dxa"/>
              <w:bottom w:w="57" w:type="dxa"/>
            </w:tcMar>
          </w:tcPr>
          <w:p w14:paraId="003E0BB6" w14:textId="77777777" w:rsidR="004D0DEA" w:rsidRPr="003443AA" w:rsidRDefault="004D0DEA" w:rsidP="00375F63">
            <w:pPr>
              <w:rPr>
                <w:rFonts w:cs="Arial"/>
              </w:rPr>
            </w:pPr>
            <w:r>
              <w:rPr>
                <w:rFonts w:cs="Arial"/>
              </w:rPr>
              <w:t>Planning for rollout of digital radio</w:t>
            </w:r>
          </w:p>
        </w:tc>
        <w:tc>
          <w:tcPr>
            <w:tcW w:w="7229" w:type="dxa"/>
            <w:shd w:val="clear" w:color="auto" w:fill="F2EFF5"/>
            <w:tcMar>
              <w:top w:w="57" w:type="dxa"/>
              <w:bottom w:w="57" w:type="dxa"/>
            </w:tcMar>
          </w:tcPr>
          <w:p w14:paraId="6753F931" w14:textId="77777777" w:rsidR="004D0DEA" w:rsidRPr="00B20A01" w:rsidRDefault="004D0DEA" w:rsidP="0039046B">
            <w:pPr>
              <w:spacing w:after="120"/>
              <w:cnfStyle w:val="000000000000" w:firstRow="0" w:lastRow="0" w:firstColumn="0" w:lastColumn="0" w:oddVBand="0" w:evenVBand="0" w:oddHBand="0" w:evenHBand="0" w:firstRowFirstColumn="0" w:firstRowLastColumn="0" w:lastRowFirstColumn="0" w:lastRowLastColumn="0"/>
            </w:pPr>
            <w:r w:rsidRPr="00B20A01">
              <w:t xml:space="preserve">The ACMA has been working closely with the radio industry to facilitate the rollout of digital radio into regional areas of Australia. </w:t>
            </w:r>
          </w:p>
          <w:p w14:paraId="1B8BAFDC" w14:textId="77777777" w:rsidR="004D0DEA" w:rsidRPr="00B20A01" w:rsidRDefault="004D0DEA" w:rsidP="0039046B">
            <w:pPr>
              <w:spacing w:after="120"/>
              <w:cnfStyle w:val="000000000000" w:firstRow="0" w:lastRow="0" w:firstColumn="0" w:lastColumn="0" w:oddVBand="0" w:evenVBand="0" w:oddHBand="0" w:evenHBand="0" w:firstRowFirstColumn="0" w:firstRowLastColumn="0" w:lastRowFirstColumn="0" w:lastRowLastColumn="0"/>
            </w:pPr>
            <w:r w:rsidRPr="00B20A01">
              <w:t>Following the recommendations of the report of a statutory review into digital radio, the ACMA established a joint government-industry Digital Radio Planning Committee</w:t>
            </w:r>
            <w:r>
              <w:t>. The committee has</w:t>
            </w:r>
            <w:r w:rsidRPr="00B20A01">
              <w:t xml:space="preserve"> met four times since September 2015</w:t>
            </w:r>
            <w:r>
              <w:t xml:space="preserve"> and is</w:t>
            </w:r>
            <w:r w:rsidRPr="00CB0B8A">
              <w:t xml:space="preserve"> focusing on planning the rollout of digital radio in regional areas where it is economically feasible to do so</w:t>
            </w:r>
            <w:r>
              <w:t>, starting with the permanent licensing of the Canberra and Darwin trial services.</w:t>
            </w:r>
          </w:p>
          <w:p w14:paraId="58E651BA" w14:textId="77777777" w:rsidR="004D0DEA" w:rsidRDefault="004D0DEA" w:rsidP="0039046B">
            <w:pPr>
              <w:spacing w:after="120"/>
              <w:cnfStyle w:val="000000000000" w:firstRow="0" w:lastRow="0" w:firstColumn="0" w:lastColumn="0" w:oddVBand="0" w:evenVBand="0" w:oddHBand="0" w:evenHBand="0" w:firstRowFirstColumn="0" w:firstRowLastColumn="0" w:lastRowFirstColumn="0" w:lastRowLastColumn="0"/>
            </w:pPr>
            <w:r w:rsidRPr="00CB0B8A">
              <w:t xml:space="preserve">A </w:t>
            </w:r>
            <w:r>
              <w:t xml:space="preserve">technical </w:t>
            </w:r>
            <w:r w:rsidRPr="00CB0B8A">
              <w:t>sub-committee has been formed to develop high</w:t>
            </w:r>
            <w:r>
              <w:t>-</w:t>
            </w:r>
            <w:r w:rsidRPr="00CB0B8A">
              <w:t xml:space="preserve">level technical planning principles </w:t>
            </w:r>
            <w:r>
              <w:t xml:space="preserve">and parameters </w:t>
            </w:r>
            <w:r w:rsidRPr="00CB0B8A">
              <w:t>for the allotment of frequency blocks for the digital radio expansion</w:t>
            </w:r>
            <w:r>
              <w:t xml:space="preserve"> into regional Australia</w:t>
            </w:r>
            <w:r w:rsidRPr="00CB0B8A">
              <w:t xml:space="preserve">. </w:t>
            </w:r>
            <w:r>
              <w:t xml:space="preserve">The planning principles provide a basis for the planning of DAB+ in regional Australia. </w:t>
            </w:r>
          </w:p>
          <w:p w14:paraId="16DA3F5D" w14:textId="77777777" w:rsidR="004D0DEA" w:rsidRDefault="004D0DEA" w:rsidP="0039046B">
            <w:pPr>
              <w:spacing w:after="120"/>
              <w:cnfStyle w:val="000000000000" w:firstRow="0" w:lastRow="0" w:firstColumn="0" w:lastColumn="0" w:oddVBand="0" w:evenVBand="0" w:oddHBand="0" w:evenHBand="0" w:firstRowFirstColumn="0" w:firstRowLastColumn="0" w:lastRowFirstColumn="0" w:lastRowLastColumn="0"/>
            </w:pPr>
            <w:r>
              <w:t xml:space="preserve">The technical sub-committee has been looking at a number of planning scenarios using modelling from both the ACMA and industry. </w:t>
            </w:r>
            <w:r w:rsidRPr="00CB0B8A">
              <w:t>With only 14 MHz of spectrum available for digital radio, careful planning of regional services will be needed to balance the need to provide suitable coverage within markets while maximising the number of markets that can be planned within the available spectrum.</w:t>
            </w:r>
          </w:p>
          <w:p w14:paraId="4DBD90C0" w14:textId="77777777" w:rsidR="004D0DEA" w:rsidRDefault="004D0DEA" w:rsidP="0039046B">
            <w:pPr>
              <w:spacing w:after="120"/>
              <w:cnfStyle w:val="000000000000" w:firstRow="0" w:lastRow="0" w:firstColumn="0" w:lastColumn="0" w:oddVBand="0" w:evenVBand="0" w:oddHBand="0" w:evenHBand="0" w:firstRowFirstColumn="0" w:firstRowLastColumn="0" w:lastRowFirstColumn="0" w:lastRowLastColumn="0"/>
              <w:rPr>
                <w:rFonts w:cs="Arial"/>
              </w:rPr>
            </w:pPr>
            <w:r>
              <w:t>Through the committee, i</w:t>
            </w:r>
            <w:r w:rsidRPr="007E1B1E">
              <w:t>ndustry has expressed an interest in 39 potential ‘early mover’ markets</w:t>
            </w:r>
            <w:r>
              <w:t>,</w:t>
            </w:r>
            <w:r w:rsidRPr="007E1B1E">
              <w:t xml:space="preserve"> where it may be economically feasible to roll out within the next </w:t>
            </w:r>
            <w:r>
              <w:t>five</w:t>
            </w:r>
            <w:r w:rsidRPr="007E1B1E">
              <w:t xml:space="preserve"> years.</w:t>
            </w:r>
          </w:p>
        </w:tc>
      </w:tr>
      <w:tr w:rsidR="004D0DEA" w:rsidRPr="009546B9" w14:paraId="2AEC87EE" w14:textId="77777777" w:rsidTr="003904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shd w:val="clear" w:color="auto" w:fill="auto"/>
            <w:tcMar>
              <w:top w:w="57" w:type="dxa"/>
              <w:bottom w:w="57" w:type="dxa"/>
            </w:tcMar>
          </w:tcPr>
          <w:p w14:paraId="1541572D" w14:textId="77777777" w:rsidR="004D0DEA" w:rsidRPr="003443AA" w:rsidRDefault="004D0DEA" w:rsidP="00375F63">
            <w:pPr>
              <w:rPr>
                <w:rFonts w:cs="Arial"/>
              </w:rPr>
            </w:pPr>
            <w:r w:rsidRPr="003443AA">
              <w:rPr>
                <w:rFonts w:cs="Arial"/>
              </w:rPr>
              <w:t xml:space="preserve">Certificate of Proficiency—changes to recognition of qualifications </w:t>
            </w:r>
          </w:p>
        </w:tc>
        <w:tc>
          <w:tcPr>
            <w:tcW w:w="7229" w:type="dxa"/>
            <w:shd w:val="clear" w:color="auto" w:fill="auto"/>
            <w:tcMar>
              <w:top w:w="57" w:type="dxa"/>
              <w:bottom w:w="57" w:type="dxa"/>
            </w:tcMar>
          </w:tcPr>
          <w:p w14:paraId="06BA0F60" w14:textId="77777777" w:rsidR="004D0DEA" w:rsidRPr="009E400F" w:rsidRDefault="004D0DEA" w:rsidP="0039046B">
            <w:pPr>
              <w:spacing w:after="120"/>
              <w:cnfStyle w:val="000000100000" w:firstRow="0" w:lastRow="0" w:firstColumn="0" w:lastColumn="0" w:oddVBand="0" w:evenVBand="0" w:oddHBand="1" w:evenHBand="0" w:firstRowFirstColumn="0" w:firstRowLastColumn="0" w:lastRowFirstColumn="0" w:lastRowLastColumn="0"/>
              <w:rPr>
                <w:rFonts w:cs="Arial"/>
              </w:rPr>
            </w:pPr>
            <w:r w:rsidRPr="009E400F">
              <w:rPr>
                <w:rFonts w:cs="Arial"/>
              </w:rPr>
              <w:t xml:space="preserve">The ACMA amended the requirements under which </w:t>
            </w:r>
            <w:r>
              <w:rPr>
                <w:rFonts w:cs="Arial"/>
              </w:rPr>
              <w:t>m</w:t>
            </w:r>
            <w:r w:rsidRPr="009E400F">
              <w:rPr>
                <w:rFonts w:cs="Arial"/>
              </w:rPr>
              <w:t xml:space="preserve">arine </w:t>
            </w:r>
            <w:r>
              <w:rPr>
                <w:rFonts w:cs="Arial"/>
              </w:rPr>
              <w:t>r</w:t>
            </w:r>
            <w:r w:rsidRPr="009E400F">
              <w:rPr>
                <w:rFonts w:cs="Arial"/>
              </w:rPr>
              <w:t xml:space="preserve">adio Certificates of Proficiency recognise assessments provided by </w:t>
            </w:r>
            <w:r>
              <w:rPr>
                <w:rFonts w:cs="Arial"/>
              </w:rPr>
              <w:t>r</w:t>
            </w:r>
            <w:r w:rsidRPr="009E400F">
              <w:rPr>
                <w:rFonts w:cs="Arial"/>
              </w:rPr>
              <w:t xml:space="preserve">egistered </w:t>
            </w:r>
            <w:r>
              <w:rPr>
                <w:rFonts w:cs="Arial"/>
              </w:rPr>
              <w:t>t</w:t>
            </w:r>
            <w:r w:rsidRPr="009E400F">
              <w:rPr>
                <w:rFonts w:cs="Arial"/>
              </w:rPr>
              <w:t xml:space="preserve">raining </w:t>
            </w:r>
            <w:r>
              <w:rPr>
                <w:rFonts w:cs="Arial"/>
              </w:rPr>
              <w:t>o</w:t>
            </w:r>
            <w:r w:rsidRPr="009E400F">
              <w:rPr>
                <w:rFonts w:cs="Arial"/>
              </w:rPr>
              <w:t>rganisations</w:t>
            </w:r>
            <w:r>
              <w:rPr>
                <w:rFonts w:cs="Arial"/>
              </w:rPr>
              <w:t xml:space="preserve"> (RTOs)</w:t>
            </w:r>
            <w:r w:rsidRPr="009E400F">
              <w:rPr>
                <w:rFonts w:cs="Arial"/>
              </w:rPr>
              <w:t>. The Australian Maritime College, the ACMA’s delegate for issuing Certificates of Proficiency, will now accept a Statement of Attainment from a</w:t>
            </w:r>
            <w:r>
              <w:rPr>
                <w:rFonts w:cs="Arial"/>
              </w:rPr>
              <w:t>n RTO</w:t>
            </w:r>
            <w:r w:rsidRPr="009E400F">
              <w:rPr>
                <w:rFonts w:cs="Arial"/>
              </w:rPr>
              <w:t xml:space="preserve"> as evidence of qualifications to issue a Certificate of Proficiency. Through this initiative, the ACMA is contributing to the </w:t>
            </w:r>
            <w:r>
              <w:rPr>
                <w:rFonts w:cs="Arial"/>
              </w:rPr>
              <w:t>g</w:t>
            </w:r>
            <w:r w:rsidRPr="009E400F">
              <w:rPr>
                <w:rFonts w:cs="Arial"/>
              </w:rPr>
              <w:t>overnment’s broader reform program by removing duplication in the training and assessment framework. The ACMA continues to pursue further reform of the qualifications arrangements.</w:t>
            </w:r>
          </w:p>
        </w:tc>
      </w:tr>
      <w:tr w:rsidR="004D0DEA" w:rsidRPr="009546B9" w14:paraId="6290623F" w14:textId="77777777" w:rsidTr="00A101E8">
        <w:tc>
          <w:tcPr>
            <w:cnfStyle w:val="001000000000" w:firstRow="0" w:lastRow="0" w:firstColumn="1" w:lastColumn="0" w:oddVBand="0" w:evenVBand="0" w:oddHBand="0" w:evenHBand="0" w:firstRowFirstColumn="0" w:firstRowLastColumn="0" w:lastRowFirstColumn="0" w:lastRowLastColumn="0"/>
            <w:tcW w:w="1833" w:type="dxa"/>
            <w:shd w:val="clear" w:color="auto" w:fill="F2EFF5"/>
            <w:tcMar>
              <w:top w:w="57" w:type="dxa"/>
              <w:bottom w:w="57" w:type="dxa"/>
            </w:tcMar>
          </w:tcPr>
          <w:p w14:paraId="4F2775D3" w14:textId="77777777" w:rsidR="004D0DEA" w:rsidRPr="009546B9" w:rsidRDefault="004D0DEA" w:rsidP="0039046B">
            <w:pPr>
              <w:spacing w:line="259" w:lineRule="auto"/>
              <w:contextualSpacing/>
              <w:rPr>
                <w:rFonts w:cs="Arial"/>
                <w:b w:val="0"/>
              </w:rPr>
            </w:pPr>
            <w:r w:rsidRPr="001F360B">
              <w:rPr>
                <w:rFonts w:cs="Arial"/>
                <w:color w:val="000000" w:themeColor="text1"/>
              </w:rPr>
              <w:t>Compliance</w:t>
            </w:r>
            <w:r w:rsidRPr="001F360B">
              <w:rPr>
                <w:rFonts w:cs="Arial"/>
              </w:rPr>
              <w:t>—</w:t>
            </w:r>
            <w:r w:rsidRPr="001F360B">
              <w:rPr>
                <w:rFonts w:cs="Arial"/>
                <w:color w:val="000000" w:themeColor="text1"/>
              </w:rPr>
              <w:t>LED globe technical standards</w:t>
            </w:r>
          </w:p>
        </w:tc>
        <w:tc>
          <w:tcPr>
            <w:tcW w:w="7229" w:type="dxa"/>
            <w:shd w:val="clear" w:color="auto" w:fill="F2EFF5"/>
            <w:tcMar>
              <w:top w:w="57" w:type="dxa"/>
              <w:bottom w:w="57" w:type="dxa"/>
            </w:tcMar>
          </w:tcPr>
          <w:p w14:paraId="37DFFA9E" w14:textId="77777777" w:rsidR="004D0DEA" w:rsidRPr="009770C8" w:rsidRDefault="004D0DEA" w:rsidP="0039046B">
            <w:pPr>
              <w:spacing w:after="120" w:line="259" w:lineRule="auto"/>
              <w:cnfStyle w:val="000000000000" w:firstRow="0" w:lastRow="0" w:firstColumn="0" w:lastColumn="0" w:oddVBand="0" w:evenVBand="0" w:oddHBand="0" w:evenHBand="0" w:firstRowFirstColumn="0" w:firstRowLastColumn="0" w:lastRowFirstColumn="0" w:lastRowLastColumn="0"/>
              <w:rPr>
                <w:rFonts w:cs="Arial"/>
                <w:color w:val="000000" w:themeColor="text1"/>
              </w:rPr>
            </w:pPr>
            <w:r w:rsidRPr="009770C8">
              <w:rPr>
                <w:rFonts w:cs="Arial"/>
                <w:color w:val="000000" w:themeColor="text1"/>
              </w:rPr>
              <w:t xml:space="preserve">The ACMA initiated </w:t>
            </w:r>
            <w:r>
              <w:rPr>
                <w:rFonts w:cs="Arial"/>
                <w:color w:val="000000" w:themeColor="text1"/>
              </w:rPr>
              <w:t>a technical standards audit</w:t>
            </w:r>
            <w:r w:rsidRPr="009770C8">
              <w:rPr>
                <w:rFonts w:cs="Arial"/>
                <w:color w:val="000000" w:themeColor="text1"/>
              </w:rPr>
              <w:t xml:space="preserve"> program</w:t>
            </w:r>
            <w:r>
              <w:rPr>
                <w:rFonts w:cs="Arial"/>
                <w:color w:val="000000" w:themeColor="text1"/>
              </w:rPr>
              <w:t xml:space="preserve"> of LED globes</w:t>
            </w:r>
            <w:r w:rsidRPr="009770C8">
              <w:rPr>
                <w:rFonts w:cs="Arial"/>
                <w:color w:val="000000" w:themeColor="text1"/>
              </w:rPr>
              <w:t xml:space="preserve"> in response to the surge in complaints about interference to domestic broadcast television services from LED lighting. </w:t>
            </w:r>
          </w:p>
          <w:p w14:paraId="269E4682" w14:textId="77777777" w:rsidR="004D0DEA" w:rsidRPr="009E400F" w:rsidRDefault="004D0DEA" w:rsidP="0039046B">
            <w:pPr>
              <w:spacing w:after="120" w:line="259" w:lineRule="auto"/>
              <w:cnfStyle w:val="000000000000" w:firstRow="0" w:lastRow="0" w:firstColumn="0" w:lastColumn="0" w:oddVBand="0" w:evenVBand="0" w:oddHBand="0" w:evenHBand="0" w:firstRowFirstColumn="0" w:firstRowLastColumn="0" w:lastRowFirstColumn="0" w:lastRowLastColumn="0"/>
              <w:rPr>
                <w:rFonts w:cs="Arial"/>
                <w:color w:val="000000" w:themeColor="text1"/>
              </w:rPr>
            </w:pPr>
            <w:r w:rsidRPr="009E400F">
              <w:rPr>
                <w:rFonts w:cs="Arial"/>
                <w:color w:val="000000" w:themeColor="text1"/>
              </w:rPr>
              <w:t xml:space="preserve">The program’s objectives were to assess and improve compliance. The ACMA audited over 50 targeted devices supplied by approximately 24 suppliers. Audits were also conducted when LED lighting was the source of interference complaints reported to the ACMA. </w:t>
            </w:r>
          </w:p>
          <w:p w14:paraId="2103AB2A" w14:textId="77777777" w:rsidR="004D0DEA" w:rsidRPr="009E400F" w:rsidRDefault="004D0DEA" w:rsidP="0039046B">
            <w:pPr>
              <w:spacing w:after="120" w:line="259" w:lineRule="auto"/>
              <w:cnfStyle w:val="000000000000" w:firstRow="0" w:lastRow="0" w:firstColumn="0" w:lastColumn="0" w:oddVBand="0" w:evenVBand="0" w:oddHBand="0" w:evenHBand="0" w:firstRowFirstColumn="0" w:firstRowLastColumn="0" w:lastRowFirstColumn="0" w:lastRowLastColumn="0"/>
              <w:rPr>
                <w:rFonts w:cs="Arial"/>
                <w:color w:val="000000" w:themeColor="text1"/>
              </w:rPr>
            </w:pPr>
            <w:r w:rsidRPr="009E400F">
              <w:rPr>
                <w:rFonts w:cs="Arial"/>
                <w:color w:val="000000" w:themeColor="text1"/>
              </w:rPr>
              <w:t>The overall result indicated that there was no systemic non-compliance.</w:t>
            </w:r>
          </w:p>
          <w:p w14:paraId="24CA3E1B" w14:textId="77777777" w:rsidR="004D0DEA" w:rsidRPr="009E400F" w:rsidRDefault="004D0DEA" w:rsidP="0039046B">
            <w:pPr>
              <w:spacing w:after="120" w:line="259" w:lineRule="auto"/>
              <w:cnfStyle w:val="000000000000" w:firstRow="0" w:lastRow="0" w:firstColumn="0" w:lastColumn="0" w:oddVBand="0" w:evenVBand="0" w:oddHBand="0" w:evenHBand="0" w:firstRowFirstColumn="0" w:firstRowLastColumn="0" w:lastRowFirstColumn="0" w:lastRowLastColumn="0"/>
              <w:rPr>
                <w:rFonts w:cs="Arial"/>
                <w:color w:val="000000" w:themeColor="text1"/>
              </w:rPr>
            </w:pPr>
            <w:r w:rsidRPr="009E400F">
              <w:rPr>
                <w:rFonts w:cs="Arial"/>
                <w:color w:val="000000" w:themeColor="text1"/>
              </w:rPr>
              <w:t>A targeted education and awareness campaign was developed to raise awareness amongst suppliers about the most significant risks and their potential consequences</w:t>
            </w:r>
            <w:r>
              <w:rPr>
                <w:rFonts w:cs="Arial"/>
                <w:color w:val="000000" w:themeColor="text1"/>
              </w:rPr>
              <w:t>,</w:t>
            </w:r>
            <w:r w:rsidRPr="009E400F">
              <w:rPr>
                <w:rFonts w:cs="Arial"/>
                <w:color w:val="000000" w:themeColor="text1"/>
              </w:rPr>
              <w:t xml:space="preserve"> as well as the overall compliance regime. Together with the Lighting Council of Australia, a video was made that emphasised the risk of unauthorised design changes to LED globes by off-shore manufacturers. </w:t>
            </w:r>
          </w:p>
          <w:p w14:paraId="7DBD4F19" w14:textId="77777777" w:rsidR="004D0DEA" w:rsidRPr="009E400F" w:rsidRDefault="004D0DEA" w:rsidP="008C4F95">
            <w:pPr>
              <w:spacing w:after="120" w:line="259" w:lineRule="auto"/>
              <w:cnfStyle w:val="000000000000" w:firstRow="0" w:lastRow="0" w:firstColumn="0" w:lastColumn="0" w:oddVBand="0" w:evenVBand="0" w:oddHBand="0" w:evenHBand="0" w:firstRowFirstColumn="0" w:firstRowLastColumn="0" w:lastRowFirstColumn="0" w:lastRowLastColumn="0"/>
              <w:rPr>
                <w:rFonts w:cs="Arial"/>
                <w:color w:val="000000" w:themeColor="text1"/>
              </w:rPr>
            </w:pPr>
            <w:r w:rsidRPr="009E400F">
              <w:rPr>
                <w:rFonts w:cs="Arial"/>
                <w:color w:val="000000" w:themeColor="text1"/>
              </w:rPr>
              <w:t>This resulted in a significant decrease in the number of confirmed LED cases since this compliance activity was initiated—especially following the ACMA’s targeted supplier awareness campaign. Confirmed cases of LEDs causing</w:t>
            </w:r>
            <w:r w:rsidR="008C4F95">
              <w:rPr>
                <w:rFonts w:cs="Arial"/>
                <w:color w:val="000000" w:themeColor="text1"/>
              </w:rPr>
              <w:t xml:space="preserve"> domestic systems interference</w:t>
            </w:r>
            <w:r w:rsidRPr="009E400F">
              <w:rPr>
                <w:rFonts w:cs="Arial"/>
                <w:color w:val="000000" w:themeColor="text1"/>
              </w:rPr>
              <w:t xml:space="preserve"> decreased from a peak of 74 in 2014 to under 10 in the two most recent quarters.</w:t>
            </w:r>
          </w:p>
        </w:tc>
      </w:tr>
      <w:tr w:rsidR="004D0DEA" w:rsidRPr="009546B9" w14:paraId="148B26E1" w14:textId="77777777" w:rsidTr="003904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3" w:type="dxa"/>
            <w:shd w:val="clear" w:color="auto" w:fill="FFFFFF" w:themeFill="background1"/>
            <w:tcMar>
              <w:top w:w="57" w:type="dxa"/>
              <w:bottom w:w="57" w:type="dxa"/>
            </w:tcMar>
          </w:tcPr>
          <w:p w14:paraId="581607F1" w14:textId="77777777" w:rsidR="004D0DEA" w:rsidRPr="001F360B" w:rsidRDefault="004D0DEA" w:rsidP="00375F63">
            <w:pPr>
              <w:rPr>
                <w:rFonts w:cs="Arial"/>
              </w:rPr>
            </w:pPr>
            <w:r w:rsidRPr="001F360B">
              <w:rPr>
                <w:rFonts w:cs="Arial"/>
              </w:rPr>
              <w:t>Compliance—transmitter licensing</w:t>
            </w:r>
          </w:p>
        </w:tc>
        <w:tc>
          <w:tcPr>
            <w:tcW w:w="7229" w:type="dxa"/>
            <w:shd w:val="clear" w:color="auto" w:fill="FFFFFF" w:themeFill="background1"/>
            <w:tcMar>
              <w:top w:w="57" w:type="dxa"/>
              <w:bottom w:w="57" w:type="dxa"/>
            </w:tcMar>
          </w:tcPr>
          <w:p w14:paraId="603B8875" w14:textId="77777777" w:rsidR="004D0DEA" w:rsidRPr="00405498" w:rsidRDefault="004D0DEA" w:rsidP="0039046B">
            <w:pPr>
              <w:spacing w:after="80"/>
              <w:cnfStyle w:val="000000100000" w:firstRow="0" w:lastRow="0" w:firstColumn="0" w:lastColumn="0" w:oddVBand="0" w:evenVBand="0" w:oddHBand="1" w:evenHBand="0" w:firstRowFirstColumn="0" w:firstRowLastColumn="0" w:lastRowFirstColumn="0" w:lastRowLastColumn="0"/>
              <w:rPr>
                <w:rFonts w:cs="Arial"/>
                <w:b/>
              </w:rPr>
            </w:pPr>
            <w:r>
              <w:rPr>
                <w:rFonts w:cs="Arial"/>
              </w:rPr>
              <w:t xml:space="preserve">The </w:t>
            </w:r>
            <w:r w:rsidRPr="005C3D1A">
              <w:rPr>
                <w:rFonts w:cs="Arial"/>
              </w:rPr>
              <w:t xml:space="preserve">ACMA focused its attention on the areas </w:t>
            </w:r>
            <w:r>
              <w:rPr>
                <w:rFonts w:cs="Arial"/>
              </w:rPr>
              <w:t xml:space="preserve">where </w:t>
            </w:r>
            <w:r w:rsidRPr="005C3D1A">
              <w:rPr>
                <w:rFonts w:cs="Arial"/>
              </w:rPr>
              <w:t>systemic compliance issues</w:t>
            </w:r>
            <w:r>
              <w:rPr>
                <w:rFonts w:cs="Arial"/>
              </w:rPr>
              <w:t xml:space="preserve"> had been identified</w:t>
            </w:r>
            <w:r w:rsidRPr="005C3D1A">
              <w:rPr>
                <w:rFonts w:cs="Arial"/>
              </w:rPr>
              <w:t>. These included:</w:t>
            </w:r>
          </w:p>
          <w:p w14:paraId="66EEDD86" w14:textId="77777777" w:rsidR="004D0DEA" w:rsidRDefault="004D0DEA" w:rsidP="004D0DEA">
            <w:pPr>
              <w:pStyle w:val="ListBullet"/>
              <w:numPr>
                <w:ilvl w:val="0"/>
                <w:numId w:val="55"/>
              </w:numPr>
              <w:cnfStyle w:val="000000100000" w:firstRow="0" w:lastRow="0" w:firstColumn="0" w:lastColumn="0" w:oddVBand="0" w:evenVBand="0" w:oddHBand="1" w:evenHBand="0" w:firstRowFirstColumn="0" w:firstRowLastColumn="0" w:lastRowFirstColumn="0" w:lastRowLastColumn="0"/>
              <w:rPr>
                <w:rFonts w:eastAsiaTheme="minorHAnsi" w:cs="Arial"/>
                <w:color w:val="000000" w:themeColor="text1"/>
                <w:lang w:eastAsia="en-US"/>
              </w:rPr>
            </w:pPr>
            <w:r w:rsidRPr="005C3D1A">
              <w:rPr>
                <w:rFonts w:eastAsiaTheme="minorHAnsi" w:cs="Arial"/>
                <w:color w:val="000000" w:themeColor="text1"/>
                <w:lang w:eastAsia="en-US"/>
              </w:rPr>
              <w:t>Australian suppliers importing and selling devices configured for overseas markets</w:t>
            </w:r>
            <w:r>
              <w:rPr>
                <w:rFonts w:eastAsiaTheme="minorHAnsi" w:cs="Arial"/>
                <w:color w:val="000000" w:themeColor="text1"/>
                <w:lang w:eastAsia="en-US"/>
              </w:rPr>
              <w:t xml:space="preserve"> that would need to comply with th</w:t>
            </w:r>
            <w:r w:rsidRPr="005C3D1A">
              <w:rPr>
                <w:rFonts w:eastAsiaTheme="minorHAnsi" w:cs="Arial"/>
                <w:color w:val="000000" w:themeColor="text1"/>
                <w:lang w:eastAsia="en-US"/>
              </w:rPr>
              <w:t xml:space="preserve">e </w:t>
            </w:r>
            <w:r w:rsidRPr="0039046B">
              <w:rPr>
                <w:rFonts w:eastAsiaTheme="minorHAnsi" w:cs="Arial"/>
                <w:color w:val="000000" w:themeColor="text1"/>
                <w:lang w:eastAsia="en-US"/>
              </w:rPr>
              <w:t>Radiocommunications (Low Interference Potential Devices) Class Licence 2015</w:t>
            </w:r>
            <w:r w:rsidRPr="005C3D1A">
              <w:rPr>
                <w:rFonts w:eastAsiaTheme="minorHAnsi" w:cs="Arial"/>
                <w:color w:val="000000" w:themeColor="text1"/>
                <w:lang w:eastAsia="en-US"/>
              </w:rPr>
              <w:t xml:space="preserve"> (the LIPD class licence).</w:t>
            </w:r>
          </w:p>
          <w:p w14:paraId="74B54288" w14:textId="77777777" w:rsidR="004D0DEA" w:rsidRPr="00B5236B" w:rsidRDefault="004D0DEA" w:rsidP="004D0DEA">
            <w:pPr>
              <w:pStyle w:val="ListBullet"/>
              <w:numPr>
                <w:ilvl w:val="0"/>
                <w:numId w:val="55"/>
              </w:numPr>
              <w:cnfStyle w:val="000000100000" w:firstRow="0" w:lastRow="0" w:firstColumn="0" w:lastColumn="0" w:oddVBand="0" w:evenVBand="0" w:oddHBand="1" w:evenHBand="0" w:firstRowFirstColumn="0" w:firstRowLastColumn="0" w:lastRowFirstColumn="0" w:lastRowLastColumn="0"/>
              <w:rPr>
                <w:rFonts w:eastAsiaTheme="minorHAnsi" w:cs="Arial"/>
                <w:color w:val="000000" w:themeColor="text1"/>
                <w:lang w:eastAsia="en-US"/>
              </w:rPr>
            </w:pPr>
            <w:r w:rsidRPr="00B5236B">
              <w:rPr>
                <w:rFonts w:cs="Arial"/>
                <w:color w:val="000000" w:themeColor="text1"/>
              </w:rPr>
              <w:t xml:space="preserve">Radio Frequency Identification Devices (RFIDs) </w:t>
            </w:r>
            <w:r>
              <w:rPr>
                <w:rFonts w:cs="Arial"/>
                <w:color w:val="000000" w:themeColor="text1"/>
              </w:rPr>
              <w:t>were pinpointed as</w:t>
            </w:r>
            <w:r w:rsidRPr="00B5236B">
              <w:rPr>
                <w:rFonts w:cs="Arial"/>
                <w:color w:val="000000" w:themeColor="text1"/>
              </w:rPr>
              <w:t xml:space="preserve"> a significant source of interference to Public Mobile Telephone Networks (PMTS). Operators of non-compliant devices have also been the subject of escalated compliance investigations. </w:t>
            </w:r>
          </w:p>
          <w:p w14:paraId="68C647FA" w14:textId="77777777" w:rsidR="004D0DEA" w:rsidRPr="00B5236B" w:rsidRDefault="004D0DEA" w:rsidP="004D0DEA">
            <w:pPr>
              <w:pStyle w:val="ListBullet"/>
              <w:numPr>
                <w:ilvl w:val="0"/>
                <w:numId w:val="55"/>
              </w:numPr>
              <w:cnfStyle w:val="000000100000" w:firstRow="0" w:lastRow="0" w:firstColumn="0" w:lastColumn="0" w:oddVBand="0" w:evenVBand="0" w:oddHBand="1" w:evenHBand="0" w:firstRowFirstColumn="0" w:firstRowLastColumn="0" w:lastRowFirstColumn="0" w:lastRowLastColumn="0"/>
              <w:rPr>
                <w:rFonts w:eastAsiaTheme="minorHAnsi" w:cs="Arial"/>
                <w:color w:val="000000" w:themeColor="text1"/>
                <w:lang w:eastAsia="en-US"/>
              </w:rPr>
            </w:pPr>
            <w:r w:rsidRPr="00B5236B">
              <w:rPr>
                <w:rFonts w:cs="Arial"/>
                <w:color w:val="000000" w:themeColor="text1"/>
              </w:rPr>
              <w:t>The cases of interference to PMTS networks investigated highlighted a pattern of operators directly importing devices from other jurisdictions</w:t>
            </w:r>
            <w:r>
              <w:rPr>
                <w:rFonts w:cs="Arial"/>
                <w:color w:val="000000" w:themeColor="text1"/>
              </w:rPr>
              <w:t>,</w:t>
            </w:r>
            <w:r w:rsidRPr="00B5236B">
              <w:rPr>
                <w:rFonts w:cs="Arial"/>
                <w:color w:val="000000" w:themeColor="text1"/>
              </w:rPr>
              <w:t xml:space="preserve"> which circumvented regulatory controls, elevating the risk of interference.</w:t>
            </w:r>
          </w:p>
          <w:p w14:paraId="19C4234E" w14:textId="77777777" w:rsidR="004D0DEA" w:rsidRPr="009770C8" w:rsidRDefault="004D0DEA" w:rsidP="0039046B">
            <w:pPr>
              <w:pStyle w:val="ListParagraph"/>
              <w:numPr>
                <w:ilvl w:val="0"/>
                <w:numId w:val="55"/>
              </w:numPr>
              <w:spacing w:after="120" w:line="259" w:lineRule="auto"/>
              <w:cnfStyle w:val="000000100000" w:firstRow="0" w:lastRow="0" w:firstColumn="0" w:lastColumn="0" w:oddVBand="0" w:evenVBand="0" w:oddHBand="1" w:evenHBand="0" w:firstRowFirstColumn="0" w:firstRowLastColumn="0" w:lastRowFirstColumn="0" w:lastRowLastColumn="0"/>
              <w:rPr>
                <w:rFonts w:cs="Arial"/>
                <w:color w:val="000000" w:themeColor="text1"/>
              </w:rPr>
            </w:pPr>
            <w:r>
              <w:t>Land mobile apparatus licensees with the area-wide special licence condition</w:t>
            </w:r>
            <w:r>
              <w:rPr>
                <w:rStyle w:val="FootnoteReference"/>
              </w:rPr>
              <w:footnoteReference w:id="5"/>
            </w:r>
            <w:r>
              <w:t xml:space="preserve"> were targeted because of the number of </w:t>
            </w:r>
            <w:hyperlink r:id="rId51" w:history="1">
              <w:r w:rsidRPr="00D373FC">
                <w:rPr>
                  <w:rStyle w:val="Hyperlink"/>
                </w:rPr>
                <w:t>investigations conducted during 2014</w:t>
              </w:r>
              <w:r>
                <w:rPr>
                  <w:rStyle w:val="Hyperlink"/>
                </w:rPr>
                <w:t>–</w:t>
              </w:r>
              <w:r w:rsidRPr="00D373FC">
                <w:rPr>
                  <w:rStyle w:val="Hyperlink"/>
                </w:rPr>
                <w:t>15</w:t>
              </w:r>
            </w:hyperlink>
            <w:r>
              <w:t>. These licensees had authorised third-party users under their licence, but had not appropriately issued the authorisation on the same terms as their land mobile licence. This resulted in interference to other radiocommunications users.</w:t>
            </w:r>
          </w:p>
        </w:tc>
      </w:tr>
      <w:tr w:rsidR="004D0DEA" w:rsidRPr="009546B9" w14:paraId="494E7F6D" w14:textId="77777777" w:rsidTr="00A101E8">
        <w:tc>
          <w:tcPr>
            <w:cnfStyle w:val="001000000000" w:firstRow="0" w:lastRow="0" w:firstColumn="1" w:lastColumn="0" w:oddVBand="0" w:evenVBand="0" w:oddHBand="0" w:evenHBand="0" w:firstRowFirstColumn="0" w:firstRowLastColumn="0" w:lastRowFirstColumn="0" w:lastRowLastColumn="0"/>
            <w:tcW w:w="1833" w:type="dxa"/>
            <w:shd w:val="clear" w:color="auto" w:fill="F2EFF5"/>
            <w:tcMar>
              <w:top w:w="57" w:type="dxa"/>
              <w:bottom w:w="57" w:type="dxa"/>
            </w:tcMar>
          </w:tcPr>
          <w:p w14:paraId="395F3A6A" w14:textId="77777777" w:rsidR="004D0DEA" w:rsidRPr="008376CA" w:rsidRDefault="004D0DEA" w:rsidP="00375F63">
            <w:pPr>
              <w:rPr>
                <w:rFonts w:cs="Arial"/>
              </w:rPr>
            </w:pPr>
            <w:r w:rsidRPr="008376CA">
              <w:rPr>
                <w:rFonts w:cs="Arial"/>
              </w:rPr>
              <w:t xml:space="preserve">LIPD </w:t>
            </w:r>
            <w:r>
              <w:rPr>
                <w:rFonts w:cs="Arial"/>
              </w:rPr>
              <w:t>c</w:t>
            </w:r>
            <w:r w:rsidRPr="008376CA">
              <w:rPr>
                <w:rFonts w:cs="Arial"/>
              </w:rPr>
              <w:t xml:space="preserve">lass </w:t>
            </w:r>
            <w:r>
              <w:rPr>
                <w:rFonts w:cs="Arial"/>
              </w:rPr>
              <w:t>l</w:t>
            </w:r>
            <w:r w:rsidRPr="008376CA">
              <w:rPr>
                <w:rFonts w:cs="Arial"/>
              </w:rPr>
              <w:t>icence update</w:t>
            </w:r>
          </w:p>
        </w:tc>
        <w:tc>
          <w:tcPr>
            <w:tcW w:w="7229" w:type="dxa"/>
            <w:shd w:val="clear" w:color="auto" w:fill="F2EFF5"/>
            <w:tcMar>
              <w:top w:w="57" w:type="dxa"/>
              <w:bottom w:w="57" w:type="dxa"/>
            </w:tcMar>
          </w:tcPr>
          <w:p w14:paraId="1550C296" w14:textId="77777777" w:rsidR="004B3307" w:rsidRDefault="004D0DEA" w:rsidP="00375F63">
            <w:pPr>
              <w:spacing w:after="80"/>
              <w:cnfStyle w:val="000000000000" w:firstRow="0" w:lastRow="0" w:firstColumn="0" w:lastColumn="0" w:oddVBand="0" w:evenVBand="0" w:oddHBand="0" w:evenHBand="0" w:firstRowFirstColumn="0" w:firstRowLastColumn="0" w:lastRowFirstColumn="0" w:lastRowLastColumn="0"/>
            </w:pPr>
            <w:r w:rsidRPr="00CC1DD7">
              <w:t xml:space="preserve">The </w:t>
            </w:r>
            <w:r>
              <w:t>LIPD</w:t>
            </w:r>
            <w:r w:rsidRPr="00CC1DD7">
              <w:t xml:space="preserve"> class licence was updated in May 2016 to support</w:t>
            </w:r>
            <w:r w:rsidR="004B3307">
              <w:t>:</w:t>
            </w:r>
          </w:p>
          <w:p w14:paraId="5645B24F" w14:textId="77777777" w:rsidR="004B3307" w:rsidRPr="00D07910" w:rsidRDefault="004D0DEA" w:rsidP="00D07910">
            <w:pPr>
              <w:pStyle w:val="ListBullet"/>
              <w:numPr>
                <w:ilvl w:val="0"/>
                <w:numId w:val="55"/>
              </w:numPr>
              <w:cnfStyle w:val="000000000000" w:firstRow="0" w:lastRow="0" w:firstColumn="0" w:lastColumn="0" w:oddVBand="0" w:evenVBand="0" w:oddHBand="0" w:evenHBand="0" w:firstRowFirstColumn="0" w:firstRowLastColumn="0" w:lastRowFirstColumn="0" w:lastRowLastColumn="0"/>
              <w:rPr>
                <w:rFonts w:eastAsiaTheme="minorHAnsi" w:cs="Arial"/>
                <w:color w:val="000000" w:themeColor="text1"/>
                <w:lang w:eastAsia="en-US"/>
              </w:rPr>
            </w:pPr>
            <w:r w:rsidRPr="00D07910">
              <w:rPr>
                <w:rFonts w:eastAsiaTheme="minorHAnsi" w:cs="Arial"/>
                <w:color w:val="000000" w:themeColor="text1"/>
                <w:lang w:eastAsia="en-US"/>
              </w:rPr>
              <w:t>new devices, including building material analysis transmitters (stud, wiring and pipework in wall or floor detection devices), in-ground Ultra-wide band (UWB) devices, and radiodetermination transmitters used to measure the thickness of materials or depths in tanks for automated production systems</w:t>
            </w:r>
          </w:p>
          <w:p w14:paraId="4AD654EB" w14:textId="77777777" w:rsidR="004B3307" w:rsidRPr="00D07910" w:rsidRDefault="004B3307" w:rsidP="00D07910">
            <w:pPr>
              <w:pStyle w:val="ListBullet"/>
              <w:numPr>
                <w:ilvl w:val="0"/>
                <w:numId w:val="55"/>
              </w:numPr>
              <w:cnfStyle w:val="000000000000" w:firstRow="0" w:lastRow="0" w:firstColumn="0" w:lastColumn="0" w:oddVBand="0" w:evenVBand="0" w:oddHBand="0" w:evenHBand="0" w:firstRowFirstColumn="0" w:firstRowLastColumn="0" w:lastRowFirstColumn="0" w:lastRowLastColumn="0"/>
              <w:rPr>
                <w:rFonts w:eastAsiaTheme="minorHAnsi" w:cs="Arial"/>
                <w:color w:val="000000" w:themeColor="text1"/>
                <w:lang w:eastAsia="en-US"/>
              </w:rPr>
            </w:pPr>
            <w:r w:rsidRPr="00D07910">
              <w:rPr>
                <w:rFonts w:eastAsiaTheme="minorHAnsi" w:cs="Arial"/>
                <w:color w:val="000000" w:themeColor="text1"/>
                <w:lang w:eastAsia="en-US"/>
              </w:rPr>
              <w:t xml:space="preserve">the </w:t>
            </w:r>
            <w:r w:rsidR="004D0DEA" w:rsidRPr="00D07910">
              <w:rPr>
                <w:rFonts w:eastAsiaTheme="minorHAnsi" w:cs="Arial"/>
                <w:color w:val="000000" w:themeColor="text1"/>
                <w:lang w:eastAsia="en-US"/>
              </w:rPr>
              <w:t xml:space="preserve">removal of a limitation on the minimum bandwidth of digital modulation transmitters to facilitate the use of low data rate M2M wireless internet interconnections. </w:t>
            </w:r>
          </w:p>
          <w:p w14:paraId="1B849B82" w14:textId="3CEBE873" w:rsidR="004D0DEA" w:rsidRPr="004B3307" w:rsidRDefault="00AA40EB" w:rsidP="00AA40EB">
            <w:pPr>
              <w:spacing w:after="80"/>
              <w:cnfStyle w:val="000000000000" w:firstRow="0" w:lastRow="0" w:firstColumn="0" w:lastColumn="0" w:oddVBand="0" w:evenVBand="0" w:oddHBand="0" w:evenHBand="0" w:firstRowFirstColumn="0" w:firstRowLastColumn="0" w:lastRowFirstColumn="0" w:lastRowLastColumn="0"/>
              <w:rPr>
                <w:rFonts w:cs="Arial"/>
              </w:rPr>
            </w:pPr>
            <w:r>
              <w:t>Access i</w:t>
            </w:r>
            <w:r w:rsidR="00910745">
              <w:t xml:space="preserve">nformation about the </w:t>
            </w:r>
            <w:hyperlink r:id="rId52" w:history="1">
              <w:r w:rsidR="00910745" w:rsidRPr="00AA40EB">
                <w:rPr>
                  <w:rStyle w:val="Hyperlink"/>
                </w:rPr>
                <w:t>consultation on this</w:t>
              </w:r>
              <w:r w:rsidR="003337CF">
                <w:rPr>
                  <w:rStyle w:val="Hyperlink"/>
                </w:rPr>
                <w:t xml:space="preserve"> variation to the LIPD class l</w:t>
              </w:r>
              <w:r w:rsidR="00910745" w:rsidRPr="00AA40EB">
                <w:rPr>
                  <w:rStyle w:val="Hyperlink"/>
                </w:rPr>
                <w:t>icence</w:t>
              </w:r>
            </w:hyperlink>
            <w:r>
              <w:t xml:space="preserve">. </w:t>
            </w:r>
            <w:r w:rsidR="00910745" w:rsidRPr="004B3307">
              <w:t>The next update</w:t>
            </w:r>
            <w:r>
              <w:t xml:space="preserve"> is anticipated in 12–18 months</w:t>
            </w:r>
            <w:r w:rsidR="00910745" w:rsidRPr="004B3307">
              <w:t>.</w:t>
            </w:r>
          </w:p>
        </w:tc>
      </w:tr>
    </w:tbl>
    <w:p w14:paraId="637B5116" w14:textId="77777777" w:rsidR="004D0DEA" w:rsidRDefault="004D0DEA" w:rsidP="004D0DEA"/>
    <w:p w14:paraId="0CE2A6B1" w14:textId="77777777" w:rsidR="004D0DEA" w:rsidRPr="005C3C31" w:rsidRDefault="004D0DEA" w:rsidP="00D07910">
      <w:pPr>
        <w:pStyle w:val="Heading2"/>
        <w:spacing w:before="60" w:after="120"/>
      </w:pPr>
      <w:bookmarkStart w:id="101" w:name="_Toc421196890"/>
      <w:bookmarkStart w:id="102" w:name="_Toc421626756"/>
      <w:bookmarkStart w:id="103" w:name="_Toc422405873"/>
      <w:bookmarkStart w:id="104" w:name="_Toc425954281"/>
      <w:bookmarkStart w:id="105" w:name="_Toc455579187"/>
      <w:bookmarkStart w:id="106" w:name="_Toc456616616"/>
      <w:bookmarkStart w:id="107" w:name="_Toc458084542"/>
      <w:bookmarkStart w:id="108" w:name="_Toc458608680"/>
      <w:bookmarkStart w:id="109" w:name="_Toc461107987"/>
      <w:bookmarkStart w:id="110" w:name="_Toc461194814"/>
      <w:bookmarkStart w:id="111" w:name="_Toc461445465"/>
      <w:bookmarkStart w:id="112" w:name="_Toc463351302"/>
      <w:r>
        <w:t>Significant issues affecting spectrum management in Australia</w:t>
      </w:r>
      <w:bookmarkEnd w:id="101"/>
      <w:bookmarkEnd w:id="102"/>
      <w:bookmarkEnd w:id="103"/>
      <w:bookmarkEnd w:id="104"/>
      <w:bookmarkEnd w:id="105"/>
      <w:bookmarkEnd w:id="106"/>
      <w:bookmarkEnd w:id="107"/>
      <w:bookmarkEnd w:id="108"/>
      <w:bookmarkEnd w:id="109"/>
      <w:bookmarkEnd w:id="110"/>
      <w:bookmarkEnd w:id="111"/>
      <w:bookmarkEnd w:id="112"/>
    </w:p>
    <w:p w14:paraId="6E2184C7" w14:textId="77777777" w:rsidR="004D0DEA" w:rsidRDefault="004D0DEA" w:rsidP="00D07910">
      <w:pPr>
        <w:pStyle w:val="Heading3"/>
      </w:pPr>
      <w:bookmarkStart w:id="113" w:name="_Toc421196891"/>
      <w:bookmarkStart w:id="114" w:name="_Toc421626757"/>
      <w:bookmarkStart w:id="115" w:name="_Toc422405874"/>
      <w:bookmarkStart w:id="116" w:name="_Toc425954282"/>
      <w:bookmarkStart w:id="117" w:name="_Toc455579188"/>
      <w:bookmarkStart w:id="118" w:name="_Toc456616617"/>
      <w:bookmarkStart w:id="119" w:name="_Toc458084543"/>
      <w:bookmarkStart w:id="120" w:name="_Toc458608681"/>
      <w:bookmarkStart w:id="121" w:name="_Toc461107988"/>
      <w:bookmarkStart w:id="122" w:name="_Toc461194815"/>
      <w:bookmarkStart w:id="123" w:name="_Toc461445466"/>
      <w:bookmarkStart w:id="124" w:name="_Toc463351303"/>
      <w:r>
        <w:t>What is the external environment</w:t>
      </w:r>
      <w:bookmarkEnd w:id="113"/>
      <w:r>
        <w:t>?</w:t>
      </w:r>
      <w:bookmarkEnd w:id="114"/>
      <w:bookmarkEnd w:id="115"/>
      <w:bookmarkEnd w:id="116"/>
      <w:bookmarkEnd w:id="117"/>
      <w:bookmarkEnd w:id="118"/>
      <w:bookmarkEnd w:id="119"/>
      <w:bookmarkEnd w:id="120"/>
      <w:bookmarkEnd w:id="121"/>
      <w:bookmarkEnd w:id="122"/>
      <w:bookmarkEnd w:id="123"/>
      <w:bookmarkEnd w:id="124"/>
      <w:r>
        <w:t xml:space="preserve"> </w:t>
      </w:r>
    </w:p>
    <w:p w14:paraId="16EFB424" w14:textId="77777777" w:rsidR="007E1C38" w:rsidRDefault="004D0DEA" w:rsidP="000E200B">
      <w:pPr>
        <w:rPr>
          <w:rFonts w:eastAsiaTheme="minorHAnsi"/>
          <w:lang w:eastAsia="en-US"/>
        </w:rPr>
      </w:pPr>
      <w:r w:rsidRPr="00AD6380">
        <w:rPr>
          <w:rFonts w:eastAsiaTheme="minorHAnsi"/>
          <w:lang w:eastAsia="en-US"/>
        </w:rPr>
        <w:t>The external environment that the ACMA operates within is rapidly changing and evolving. New technologies and services are emerging and demand for access by new services to encumbered spectrum is increasing, along with the complexities associated with implementing appropriate and equitable access arrangements.</w:t>
      </w:r>
      <w:r w:rsidR="007E1C38">
        <w:rPr>
          <w:rFonts w:eastAsiaTheme="minorHAnsi"/>
          <w:lang w:eastAsia="en-US"/>
        </w:rPr>
        <w:t xml:space="preserve"> </w:t>
      </w:r>
    </w:p>
    <w:p w14:paraId="04DE87A6" w14:textId="44A972B3" w:rsidR="00B02FDF" w:rsidRDefault="00B02FDF" w:rsidP="000E200B">
      <w:pPr>
        <w:rPr>
          <w:rFonts w:eastAsiaTheme="minorHAnsi"/>
          <w:lang w:eastAsia="en-US"/>
        </w:rPr>
      </w:pPr>
      <w:r>
        <w:rPr>
          <w:rFonts w:eastAsiaTheme="minorHAnsi"/>
          <w:lang w:eastAsia="en-US"/>
        </w:rPr>
        <w:t>Examples of spectrum-enabled technologies whose impact is potentially global and transformative i</w:t>
      </w:r>
      <w:r w:rsidR="000E200B">
        <w:rPr>
          <w:rFonts w:eastAsiaTheme="minorHAnsi"/>
          <w:lang w:eastAsia="en-US"/>
        </w:rPr>
        <w:t>nclude the Internet of Things (IoT</w:t>
      </w:r>
      <w:r>
        <w:rPr>
          <w:rFonts w:eastAsiaTheme="minorHAnsi"/>
          <w:lang w:eastAsia="en-US"/>
        </w:rPr>
        <w:t xml:space="preserve">) and 5G mobile broadband technology. Both are discussed in more detail later in this Part.  </w:t>
      </w:r>
    </w:p>
    <w:p w14:paraId="5F20662F" w14:textId="3DE42F19" w:rsidR="00B02FDF" w:rsidRPr="000E200B" w:rsidRDefault="000E200B" w:rsidP="000E200B">
      <w:pPr>
        <w:rPr>
          <w:rFonts w:ascii="Times New Roman" w:hAnsi="Times New Roman"/>
          <w:sz w:val="24"/>
        </w:rPr>
      </w:pPr>
      <w:r>
        <w:t>IoT—</w:t>
      </w:r>
      <w:r w:rsidR="00B02FDF" w:rsidRPr="000003AA">
        <w:t>‘</w:t>
      </w:r>
      <w:r w:rsidR="00B02FDF" w:rsidRPr="001637DE">
        <w:rPr>
          <w:iCs/>
        </w:rPr>
        <w:t>a global infrastructure for the information society, enabling advanced services by interconnecting (physical and virtual) things based on, existing and evolving, interoperable information and communication technologies’</w:t>
      </w:r>
      <w:r>
        <w:rPr>
          <w:rStyle w:val="FootnoteReference"/>
          <w:iCs/>
        </w:rPr>
        <w:footnoteReference w:id="6"/>
      </w:r>
      <w:r>
        <w:t>—</w:t>
      </w:r>
      <w:r w:rsidR="00B02FDF">
        <w:t xml:space="preserve">encompasses a wide range of different wireless applications. Current or potential IoT applications have been identified in fields as diverse as transport and logistics, agriculture, health, resource management and public safety. </w:t>
      </w:r>
    </w:p>
    <w:p w14:paraId="78FCF861" w14:textId="77777777" w:rsidR="00B02FDF" w:rsidRDefault="00B02FDF" w:rsidP="000E200B">
      <w:pPr>
        <w:rPr>
          <w:rFonts w:eastAsiaTheme="minorHAnsi"/>
          <w:lang w:eastAsia="en-US"/>
        </w:rPr>
      </w:pPr>
      <w:r>
        <w:rPr>
          <w:rFonts w:eastAsiaTheme="minorHAnsi"/>
          <w:lang w:eastAsia="en-US"/>
        </w:rPr>
        <w:t xml:space="preserve">5G refers to a family of advanced wireless broadband technologies. Distinctive features of 5G will include the capacity to deliver unprecedented data speeds to and from mobile devices with very low ‘latency,’ that is, the time needed to convey information from one device to another. </w:t>
      </w:r>
    </w:p>
    <w:p w14:paraId="1BD1A33E" w14:textId="5116709A" w:rsidR="002918CB" w:rsidRDefault="00B02FDF" w:rsidP="00B02FDF">
      <w:pPr>
        <w:pStyle w:val="ListBullet"/>
        <w:numPr>
          <w:ilvl w:val="0"/>
          <w:numId w:val="0"/>
        </w:numPr>
      </w:pPr>
      <w:r>
        <w:rPr>
          <w:rFonts w:eastAsiaTheme="minorHAnsi" w:cs="Arial"/>
          <w:szCs w:val="20"/>
          <w:lang w:eastAsia="en-US"/>
        </w:rPr>
        <w:t xml:space="preserve">While the full range of eventual uses and the rate of penetration and uptake of these technologies is difficult to predict, they </w:t>
      </w:r>
      <w:r w:rsidR="007E1C38">
        <w:rPr>
          <w:rFonts w:eastAsiaTheme="minorHAnsi" w:cs="Arial"/>
          <w:szCs w:val="20"/>
          <w:lang w:eastAsia="en-US"/>
        </w:rPr>
        <w:t xml:space="preserve">will enable seamless access to a range of new and existing services. </w:t>
      </w:r>
      <w:r w:rsidR="00B95F86">
        <w:rPr>
          <w:rFonts w:eastAsiaTheme="minorHAnsi" w:cs="Arial"/>
          <w:szCs w:val="20"/>
          <w:lang w:eastAsia="en-US"/>
        </w:rPr>
        <w:t xml:space="preserve">For example, the </w:t>
      </w:r>
      <w:r w:rsidR="002918CB">
        <w:rPr>
          <w:rFonts w:eastAsiaTheme="minorHAnsi" w:cs="Arial"/>
          <w:szCs w:val="20"/>
          <w:lang w:eastAsia="en-US"/>
        </w:rPr>
        <w:t xml:space="preserve">flexibility of </w:t>
      </w:r>
      <w:r w:rsidR="002918CB">
        <w:t xml:space="preserve">5G technology lends itself to a wide range of other </w:t>
      </w:r>
      <w:r w:rsidR="00B95F86">
        <w:t>uses and industries, including</w:t>
      </w:r>
      <w:r w:rsidR="002918CB">
        <w:t>:</w:t>
      </w:r>
    </w:p>
    <w:p w14:paraId="54703AB1" w14:textId="64EAABA5" w:rsidR="002918CB" w:rsidRPr="00BD15BC" w:rsidRDefault="002918CB" w:rsidP="00BD15BC">
      <w:pPr>
        <w:pStyle w:val="ListBullet"/>
      </w:pPr>
      <w:r w:rsidRPr="00BD15BC">
        <w:t>cloud storage, cloud gaming, video streaming</w:t>
      </w:r>
    </w:p>
    <w:p w14:paraId="40F69991" w14:textId="77777777" w:rsidR="0049626F" w:rsidRPr="00BD15BC" w:rsidRDefault="0049626F" w:rsidP="00BD15BC">
      <w:pPr>
        <w:pStyle w:val="ListBullet"/>
      </w:pPr>
      <w:r w:rsidRPr="00BD15BC">
        <w:t xml:space="preserve">entertainment applications </w:t>
      </w:r>
      <w:r w:rsidR="00B95F86" w:rsidRPr="00BD15BC">
        <w:t>in</w:t>
      </w:r>
      <w:r w:rsidRPr="00BD15BC">
        <w:t xml:space="preserve"> </w:t>
      </w:r>
      <w:r w:rsidR="00B95F86" w:rsidRPr="00BD15BC">
        <w:t xml:space="preserve">automobiles, trains </w:t>
      </w:r>
      <w:r w:rsidRPr="00BD15BC">
        <w:t>and aeroplanes</w:t>
      </w:r>
    </w:p>
    <w:p w14:paraId="4F6E1416" w14:textId="77777777" w:rsidR="0049626F" w:rsidRPr="00BD15BC" w:rsidRDefault="0049626F" w:rsidP="00BD15BC">
      <w:pPr>
        <w:pStyle w:val="ListBullet"/>
      </w:pPr>
      <w:r w:rsidRPr="00BD15BC">
        <w:t xml:space="preserve">dense wireless sensor networks for smart cities, homes and energy grids </w:t>
      </w:r>
    </w:p>
    <w:p w14:paraId="4D05639D" w14:textId="77777777" w:rsidR="0049626F" w:rsidRDefault="0049626F" w:rsidP="00BD15BC">
      <w:pPr>
        <w:pStyle w:val="ListBullet"/>
      </w:pPr>
      <w:r w:rsidRPr="00BD15BC">
        <w:t>wireless</w:t>
      </w:r>
      <w:r>
        <w:t xml:space="preserve"> links (instead of cable) for industrial applications </w:t>
      </w:r>
    </w:p>
    <w:p w14:paraId="62CB4CC8" w14:textId="77777777" w:rsidR="0049626F" w:rsidRPr="00BD15BC" w:rsidRDefault="0049626F" w:rsidP="00BD15BC">
      <w:pPr>
        <w:pStyle w:val="ListBulletLast"/>
      </w:pPr>
      <w:r>
        <w:t>freight management information systems.</w:t>
      </w:r>
    </w:p>
    <w:p w14:paraId="2C4D9130" w14:textId="3E5B9D73" w:rsidR="00B02FDF" w:rsidRDefault="00B02FDF" w:rsidP="000E200B">
      <w:r>
        <w:t xml:space="preserve">Looking further ahead, the very high wireless data rates and low latency of 5G may suit it to still-maturing applications, such as driverless vehicles—incidentally, another manifestation of the </w:t>
      </w:r>
      <w:r w:rsidR="000E200B">
        <w:t>IoT</w:t>
      </w:r>
      <w:r>
        <w:t xml:space="preserve">. </w:t>
      </w:r>
    </w:p>
    <w:p w14:paraId="36C7B3EE" w14:textId="77777777" w:rsidR="004D0DEA" w:rsidRDefault="004D0DEA" w:rsidP="0039046B">
      <w:pPr>
        <w:spacing w:after="80"/>
        <w:rPr>
          <w:rFonts w:cs="Arial"/>
        </w:rPr>
      </w:pPr>
      <w:r>
        <w:rPr>
          <w:rFonts w:cs="Arial"/>
        </w:rPr>
        <w:t>The ACMA and stakeholders will need to build capabilities to respond to a number of significant challenges, including:</w:t>
      </w:r>
    </w:p>
    <w:p w14:paraId="264E94F8" w14:textId="77777777" w:rsidR="004D0DEA" w:rsidRDefault="00EF789B" w:rsidP="0039046B">
      <w:pPr>
        <w:pStyle w:val="ListBullet"/>
      </w:pPr>
      <w:r>
        <w:t>d</w:t>
      </w:r>
      <w:r w:rsidR="004D0DEA">
        <w:t>emand for mobile broadband capacity, including the rollout and development of 5G technologies, will lead to continuing demand for additional spe</w:t>
      </w:r>
      <w:r>
        <w:t>ctrum</w:t>
      </w:r>
      <w:r w:rsidR="00BE1DCB">
        <w:t xml:space="preserve"> </w:t>
      </w:r>
    </w:p>
    <w:p w14:paraId="2FB5A9F6" w14:textId="77777777" w:rsidR="004D0DEA" w:rsidRDefault="00EF789B" w:rsidP="0039046B">
      <w:pPr>
        <w:pStyle w:val="ListBullet"/>
      </w:pPr>
      <w:r>
        <w:t>c</w:t>
      </w:r>
      <w:r w:rsidR="004D0DEA">
        <w:t>ertain developments in technology, such as DSA, will require spectrum but at the same time potentially provide solutions to</w:t>
      </w:r>
      <w:r w:rsidR="00DC6C03">
        <w:t xml:space="preserve"> more efficient use of spectrum for services such </w:t>
      </w:r>
      <w:r>
        <w:t>as broadcasting and land mobile</w:t>
      </w:r>
    </w:p>
    <w:p w14:paraId="67462139" w14:textId="77777777" w:rsidR="004D0DEA" w:rsidRPr="0016564A" w:rsidRDefault="00EF789B" w:rsidP="0039046B">
      <w:pPr>
        <w:pStyle w:val="ListBulletLast"/>
      </w:pPr>
      <w:r>
        <w:t>e</w:t>
      </w:r>
      <w:r w:rsidR="004D0DEA">
        <w:t xml:space="preserve">xisting services, including broadcasting, satellite, fixed and science services, will require ongoing access to spectrum. </w:t>
      </w:r>
    </w:p>
    <w:p w14:paraId="08758644" w14:textId="77777777" w:rsidR="004D0DEA" w:rsidRPr="0016564A" w:rsidRDefault="004D0DEA" w:rsidP="0039046B">
      <w:pPr>
        <w:rPr>
          <w:rFonts w:cs="Arial"/>
        </w:rPr>
      </w:pPr>
      <w:r>
        <w:t xml:space="preserve">Part 2 of this document provides further discussion on the ACMA’s consideration of these issues. </w:t>
      </w:r>
    </w:p>
    <w:p w14:paraId="1FAC8A2A" w14:textId="77777777" w:rsidR="004D0DEA" w:rsidRDefault="004D0DEA" w:rsidP="004D0DEA">
      <w:r>
        <w:rPr>
          <w:rFonts w:cs="Arial"/>
        </w:rPr>
        <w:t>C</w:t>
      </w:r>
      <w:r w:rsidRPr="005C3C31">
        <w:rPr>
          <w:rFonts w:cs="Arial"/>
        </w:rPr>
        <w:t xml:space="preserve">ompeting demands for spectrum bands (especially in the lower frequencies) will require the regulator (in consultation with stakeholders) to </w:t>
      </w:r>
      <w:r>
        <w:rPr>
          <w:rFonts w:cs="Arial"/>
        </w:rPr>
        <w:t>carefully weigh</w:t>
      </w:r>
      <w:r w:rsidRPr="005C3C31">
        <w:rPr>
          <w:rFonts w:cs="Arial"/>
        </w:rPr>
        <w:t xml:space="preserve"> decisions </w:t>
      </w:r>
      <w:r>
        <w:rPr>
          <w:rFonts w:cs="Arial"/>
        </w:rPr>
        <w:t>about the allocation</w:t>
      </w:r>
      <w:r w:rsidRPr="005C3C31">
        <w:rPr>
          <w:rFonts w:cs="Arial"/>
        </w:rPr>
        <w:t xml:space="preserve"> of spectrum. This will </w:t>
      </w:r>
      <w:r>
        <w:rPr>
          <w:rFonts w:cs="Arial"/>
        </w:rPr>
        <w:t xml:space="preserve">include consideration of </w:t>
      </w:r>
      <w:r w:rsidRPr="005C3C31">
        <w:rPr>
          <w:rFonts w:cs="Arial"/>
        </w:rPr>
        <w:t>the needs of incumbent services</w:t>
      </w:r>
      <w:r>
        <w:rPr>
          <w:rFonts w:cs="Arial"/>
        </w:rPr>
        <w:t>,</w:t>
      </w:r>
      <w:r w:rsidRPr="005C3C31">
        <w:rPr>
          <w:rFonts w:cs="Arial"/>
        </w:rPr>
        <w:t xml:space="preserve"> together with national safety and security obligations</w:t>
      </w:r>
      <w:r>
        <w:rPr>
          <w:rFonts w:cs="Arial"/>
        </w:rPr>
        <w:t>,</w:t>
      </w:r>
      <w:r w:rsidRPr="005C3C31">
        <w:rPr>
          <w:rFonts w:cs="Arial"/>
        </w:rPr>
        <w:t xml:space="preserve"> and passive and sensing uses of spectrum</w:t>
      </w:r>
      <w:r w:rsidRPr="00C46D67">
        <w:t>.</w:t>
      </w:r>
      <w:r>
        <w:t xml:space="preserve"> </w:t>
      </w:r>
    </w:p>
    <w:p w14:paraId="393D2E39" w14:textId="77777777" w:rsidR="004D0DEA" w:rsidRPr="00D52CC9" w:rsidRDefault="004D0DEA" w:rsidP="004D0DEA">
      <w:r>
        <w:t>The ACMA’s</w:t>
      </w:r>
      <w:r w:rsidRPr="00CF7DB9">
        <w:t xml:space="preserve"> </w:t>
      </w:r>
      <w:r>
        <w:t xml:space="preserve">analysis of the communications environment, coupled with our </w:t>
      </w:r>
      <w:r w:rsidRPr="00CF7DB9">
        <w:t>research program</w:t>
      </w:r>
      <w:r>
        <w:t>,</w:t>
      </w:r>
      <w:r w:rsidRPr="00CF7DB9">
        <w:t xml:space="preserve"> </w:t>
      </w:r>
      <w:r>
        <w:t>will continue to be</w:t>
      </w:r>
      <w:r w:rsidRPr="00CF7DB9">
        <w:t xml:space="preserve"> important in ensuring our understanding of the external environment remains current and allows our priorities to change as we respond dynamically to changing pressures. </w:t>
      </w:r>
    </w:p>
    <w:p w14:paraId="7B2306B0" w14:textId="77777777" w:rsidR="004D0DEA" w:rsidRDefault="004D0DEA" w:rsidP="00D07910">
      <w:pPr>
        <w:pStyle w:val="Heading3"/>
      </w:pPr>
      <w:bookmarkStart w:id="125" w:name="_Toc429567487"/>
      <w:bookmarkStart w:id="126" w:name="_Toc455579189"/>
      <w:bookmarkStart w:id="127" w:name="_Toc456616618"/>
      <w:bookmarkStart w:id="128" w:name="_Toc458084544"/>
      <w:bookmarkStart w:id="129" w:name="_Toc458608682"/>
      <w:bookmarkStart w:id="130" w:name="_Toc461107989"/>
      <w:bookmarkStart w:id="131" w:name="_Toc461194816"/>
      <w:bookmarkStart w:id="132" w:name="_Toc461445467"/>
      <w:bookmarkStart w:id="133" w:name="_Toc463351304"/>
      <w:bookmarkStart w:id="134" w:name="_Toc421196892"/>
      <w:bookmarkStart w:id="135" w:name="_Toc421626758"/>
      <w:bookmarkStart w:id="136" w:name="_Toc422405875"/>
      <w:bookmarkStart w:id="137" w:name="_Toc425954283"/>
      <w:r>
        <w:t>International developments/trends—World Radiocommunication Conference</w:t>
      </w:r>
      <w:bookmarkEnd w:id="125"/>
      <w:bookmarkEnd w:id="126"/>
      <w:bookmarkEnd w:id="127"/>
      <w:bookmarkEnd w:id="128"/>
      <w:bookmarkEnd w:id="129"/>
      <w:bookmarkEnd w:id="130"/>
      <w:bookmarkEnd w:id="131"/>
      <w:bookmarkEnd w:id="132"/>
      <w:r>
        <w:t xml:space="preserve"> (WRC)</w:t>
      </w:r>
      <w:bookmarkEnd w:id="133"/>
    </w:p>
    <w:p w14:paraId="09C480CE" w14:textId="77777777" w:rsidR="004D0DEA" w:rsidRPr="005C3C31" w:rsidRDefault="004D0DEA" w:rsidP="004D0DEA">
      <w:pPr>
        <w:rPr>
          <w:rFonts w:cs="Arial"/>
        </w:rPr>
      </w:pPr>
      <w:r w:rsidRPr="005C3C31">
        <w:rPr>
          <w:rFonts w:cs="Arial"/>
        </w:rPr>
        <w:t xml:space="preserve">A key </w:t>
      </w:r>
      <w:r>
        <w:rPr>
          <w:rFonts w:cs="Arial"/>
        </w:rPr>
        <w:t>component of spectrum planning in Australia</w:t>
      </w:r>
      <w:r w:rsidRPr="005C3C31">
        <w:rPr>
          <w:rFonts w:cs="Arial"/>
        </w:rPr>
        <w:t xml:space="preserve"> is participation in the </w:t>
      </w:r>
      <w:r>
        <w:rPr>
          <w:rFonts w:cs="Arial"/>
        </w:rPr>
        <w:t xml:space="preserve">spectrum planning activities of the </w:t>
      </w:r>
      <w:r w:rsidRPr="005C3C31">
        <w:rPr>
          <w:rFonts w:cs="Arial"/>
        </w:rPr>
        <w:t xml:space="preserve">International Telecommunication Union (ITU). </w:t>
      </w:r>
      <w:r w:rsidRPr="008F0403">
        <w:rPr>
          <w:rFonts w:cs="Arial"/>
        </w:rPr>
        <w:t xml:space="preserve">The ITU is the </w:t>
      </w:r>
      <w:r w:rsidRPr="00033382">
        <w:rPr>
          <w:rFonts w:cs="Arial"/>
        </w:rPr>
        <w:t>United Nations</w:t>
      </w:r>
      <w:r w:rsidRPr="008F0403">
        <w:rPr>
          <w:rFonts w:cs="Arial"/>
        </w:rPr>
        <w:t xml:space="preserve"> </w:t>
      </w:r>
      <w:r>
        <w:rPr>
          <w:rFonts w:cs="Arial"/>
        </w:rPr>
        <w:t xml:space="preserve">specialised agency </w:t>
      </w:r>
      <w:r w:rsidRPr="008F0403">
        <w:rPr>
          <w:rFonts w:cs="Arial"/>
        </w:rPr>
        <w:t>responsible</w:t>
      </w:r>
      <w:r>
        <w:rPr>
          <w:rFonts w:cs="Arial"/>
        </w:rPr>
        <w:t xml:space="preserve"> </w:t>
      </w:r>
      <w:r w:rsidRPr="005C3C31">
        <w:rPr>
          <w:rFonts w:cs="Arial"/>
        </w:rPr>
        <w:t>for information and communications technology issues</w:t>
      </w:r>
      <w:r>
        <w:rPr>
          <w:rFonts w:cs="Arial"/>
        </w:rPr>
        <w:t>;</w:t>
      </w:r>
      <w:r w:rsidRPr="005C3C31">
        <w:rPr>
          <w:rFonts w:cs="Arial"/>
        </w:rPr>
        <w:t xml:space="preserve"> providing a forum for governments and </w:t>
      </w:r>
      <w:r>
        <w:rPr>
          <w:rFonts w:cs="Arial"/>
        </w:rPr>
        <w:t xml:space="preserve">industry </w:t>
      </w:r>
      <w:r w:rsidRPr="005C3C31">
        <w:rPr>
          <w:rFonts w:cs="Arial"/>
        </w:rPr>
        <w:t xml:space="preserve">to </w:t>
      </w:r>
      <w:r>
        <w:rPr>
          <w:rFonts w:cs="Arial"/>
        </w:rPr>
        <w:t xml:space="preserve">coordinate </w:t>
      </w:r>
      <w:r w:rsidRPr="005C3C31">
        <w:rPr>
          <w:rFonts w:cs="Arial"/>
        </w:rPr>
        <w:t xml:space="preserve">global development and regulation of radiocommunication services and satellite </w:t>
      </w:r>
      <w:r>
        <w:rPr>
          <w:rFonts w:cs="Arial"/>
        </w:rPr>
        <w:t>services, amongst other things</w:t>
      </w:r>
      <w:r w:rsidRPr="005C3C31">
        <w:rPr>
          <w:rFonts w:cs="Arial"/>
        </w:rPr>
        <w:t>.</w:t>
      </w:r>
    </w:p>
    <w:p w14:paraId="528E23D8" w14:textId="77777777" w:rsidR="004D0DEA" w:rsidRPr="005C3C31" w:rsidRDefault="004D0DEA" w:rsidP="004D0DEA">
      <w:pPr>
        <w:rPr>
          <w:rFonts w:cs="Arial"/>
        </w:rPr>
      </w:pPr>
      <w:r w:rsidRPr="005C3C31">
        <w:rPr>
          <w:rFonts w:cs="Arial"/>
        </w:rPr>
        <w:t xml:space="preserve">The ITU Radiocommunication Sector (ITU-R) plays a </w:t>
      </w:r>
      <w:r>
        <w:rPr>
          <w:rFonts w:cs="Arial"/>
        </w:rPr>
        <w:t xml:space="preserve">key </w:t>
      </w:r>
      <w:r w:rsidRPr="005C3C31">
        <w:rPr>
          <w:rFonts w:cs="Arial"/>
        </w:rPr>
        <w:t>role in the global management of the radiofrequency spectrum. The ITU-R assists in ensuring the rational, equitable, efficient and economical use of the radiofrequency spectrum by all radiocommunications services through carrying out studies and approving recommendations on radiocommunications matters. Where appropriate, decisions made by the ITU-R may flow through into updated Australian spectrum arrangements.</w:t>
      </w:r>
    </w:p>
    <w:p w14:paraId="3201FA79" w14:textId="77777777" w:rsidR="004D0DEA" w:rsidRPr="005C3C31" w:rsidRDefault="004D0DEA" w:rsidP="004D0DEA">
      <w:pPr>
        <w:rPr>
          <w:rFonts w:cs="Arial"/>
        </w:rPr>
      </w:pPr>
      <w:r w:rsidRPr="005C3C31">
        <w:rPr>
          <w:rFonts w:cs="Arial"/>
        </w:rPr>
        <w:t>At a regional level, other organisations seek to achieve harmonised views on spectrum planning and radiocommunications issues. From an Australian perspective</w:t>
      </w:r>
      <w:r>
        <w:rPr>
          <w:rFonts w:cs="Arial"/>
        </w:rPr>
        <w:t>,</w:t>
      </w:r>
      <w:r w:rsidRPr="005C3C31">
        <w:rPr>
          <w:rFonts w:cs="Arial"/>
        </w:rPr>
        <w:t xml:space="preserve"> the most important of these is the Asia</w:t>
      </w:r>
      <w:r>
        <w:rPr>
          <w:rFonts w:cs="Arial"/>
        </w:rPr>
        <w:t>–</w:t>
      </w:r>
      <w:r w:rsidRPr="005C3C31">
        <w:rPr>
          <w:rFonts w:cs="Arial"/>
        </w:rPr>
        <w:t>Pacific Telecommunity (</w:t>
      </w:r>
      <w:hyperlink r:id="rId53" w:history="1">
        <w:r w:rsidRPr="005C3C31">
          <w:rPr>
            <w:rFonts w:cs="Arial"/>
          </w:rPr>
          <w:t>APT</w:t>
        </w:r>
      </w:hyperlink>
      <w:r w:rsidRPr="005C3C31">
        <w:rPr>
          <w:rFonts w:cs="Arial"/>
        </w:rPr>
        <w:t>), the Asia</w:t>
      </w:r>
      <w:r>
        <w:rPr>
          <w:rFonts w:cs="Arial"/>
        </w:rPr>
        <w:t>–</w:t>
      </w:r>
      <w:r w:rsidRPr="005C3C31">
        <w:rPr>
          <w:rFonts w:cs="Arial"/>
        </w:rPr>
        <w:t>Pacific region representative body in the ITU. Others include the Inter-American Telecommunication Commission (</w:t>
      </w:r>
      <w:hyperlink r:id="rId54" w:history="1">
        <w:r w:rsidRPr="005C3C31">
          <w:rPr>
            <w:rFonts w:cs="Arial"/>
          </w:rPr>
          <w:t>CITEL</w:t>
        </w:r>
      </w:hyperlink>
      <w:r w:rsidRPr="005C3C31">
        <w:rPr>
          <w:rFonts w:cs="Arial"/>
        </w:rPr>
        <w:t>), the European Conference of Postal and Telecommunications Administrations (</w:t>
      </w:r>
      <w:hyperlink r:id="rId55" w:history="1">
        <w:r w:rsidRPr="005C3C31">
          <w:rPr>
            <w:rFonts w:cs="Arial"/>
          </w:rPr>
          <w:t>CEPT</w:t>
        </w:r>
      </w:hyperlink>
      <w:r w:rsidRPr="005C3C31">
        <w:rPr>
          <w:rFonts w:cs="Arial"/>
        </w:rPr>
        <w:t xml:space="preserve">), </w:t>
      </w:r>
      <w:r>
        <w:rPr>
          <w:rFonts w:cs="Arial"/>
        </w:rPr>
        <w:t xml:space="preserve">the </w:t>
      </w:r>
      <w:r w:rsidRPr="002C0FD6">
        <w:t xml:space="preserve">Arab Spectrum Management Group </w:t>
      </w:r>
      <w:r w:rsidRPr="005C3C31">
        <w:rPr>
          <w:rFonts w:cs="Arial"/>
        </w:rPr>
        <w:t xml:space="preserve">(ASMG) and the </w:t>
      </w:r>
      <w:r w:rsidRPr="002C0FD6">
        <w:t>African Telecommunications Union (ATU)</w:t>
      </w:r>
      <w:r w:rsidRPr="005C3C31">
        <w:rPr>
          <w:rFonts w:cs="Arial"/>
        </w:rPr>
        <w:t>.</w:t>
      </w:r>
    </w:p>
    <w:p w14:paraId="10F2C81B" w14:textId="77777777" w:rsidR="004D0DEA" w:rsidRPr="005C3C31" w:rsidRDefault="004D0DEA" w:rsidP="004D0DEA">
      <w:pPr>
        <w:rPr>
          <w:rFonts w:cs="Arial"/>
        </w:rPr>
      </w:pPr>
      <w:r w:rsidRPr="005C3C31">
        <w:rPr>
          <w:rFonts w:cs="Arial"/>
        </w:rPr>
        <w:t xml:space="preserve">The ACMA and Australian industry participate in international radiocommunications </w:t>
      </w:r>
      <w:r>
        <w:rPr>
          <w:rFonts w:cs="Arial"/>
        </w:rPr>
        <w:t>forums</w:t>
      </w:r>
      <w:r w:rsidRPr="005C3C31">
        <w:rPr>
          <w:rFonts w:cs="Arial"/>
        </w:rPr>
        <w:t xml:space="preserve"> to promote Australia’s views and expertise—and to protect Australian interests—in spectrum management, facilitating the competitive provision of services and the efficient use of the radiofrequency spectrum. </w:t>
      </w:r>
    </w:p>
    <w:p w14:paraId="4CF3669C" w14:textId="653A1A8B" w:rsidR="004D0DEA" w:rsidRDefault="004D0DEA" w:rsidP="004D0DEA">
      <w:pPr>
        <w:rPr>
          <w:rFonts w:cs="Arial"/>
        </w:rPr>
      </w:pPr>
      <w:r w:rsidRPr="005C3C31">
        <w:rPr>
          <w:rFonts w:cs="Arial"/>
        </w:rPr>
        <w:t>Central to these issues is the ITU WRC, held every three or four years. The WRC reviews</w:t>
      </w:r>
      <w:r>
        <w:rPr>
          <w:rFonts w:cs="Arial"/>
        </w:rPr>
        <w:t xml:space="preserve"> and revises</w:t>
      </w:r>
      <w:r w:rsidRPr="005C3C31">
        <w:rPr>
          <w:rFonts w:cs="Arial"/>
        </w:rPr>
        <w:t xml:space="preserve"> the </w:t>
      </w:r>
      <w:hyperlink r:id="rId56" w:history="1">
        <w:r w:rsidRPr="00C225F3">
          <w:rPr>
            <w:rStyle w:val="Hyperlink"/>
            <w:rFonts w:cs="Arial"/>
          </w:rPr>
          <w:t>Radio Regulations</w:t>
        </w:r>
      </w:hyperlink>
      <w:r>
        <w:rPr>
          <w:rFonts w:cs="Arial"/>
        </w:rPr>
        <w:t xml:space="preserve"> that </w:t>
      </w:r>
      <w:r w:rsidRPr="005C3C31">
        <w:rPr>
          <w:rFonts w:cs="Arial"/>
        </w:rPr>
        <w:t>govern</w:t>
      </w:r>
      <w:r>
        <w:rPr>
          <w:rFonts w:cs="Arial"/>
        </w:rPr>
        <w:t xml:space="preserve"> the international use of the radiofrequency spectrum and the geostationary-satellite and non-geostationary satellite orbits</w:t>
      </w:r>
      <w:r w:rsidRPr="005C3C31">
        <w:rPr>
          <w:rFonts w:cs="Arial"/>
        </w:rPr>
        <w:t xml:space="preserve">. </w:t>
      </w:r>
    </w:p>
    <w:p w14:paraId="30B44E5B" w14:textId="7B9568A3" w:rsidR="004D0DEA" w:rsidRPr="00691906" w:rsidRDefault="004D0DEA" w:rsidP="004D0DEA">
      <w:pPr>
        <w:rPr>
          <w:rFonts w:cs="Arial"/>
        </w:rPr>
      </w:pPr>
      <w:r>
        <w:rPr>
          <w:rFonts w:cs="Arial"/>
        </w:rPr>
        <w:t>The last WRC was held from 2</w:t>
      </w:r>
      <w:r w:rsidR="00EF789B">
        <w:rPr>
          <w:rFonts w:cs="Arial"/>
        </w:rPr>
        <w:t>–</w:t>
      </w:r>
      <w:r>
        <w:rPr>
          <w:rFonts w:cs="Arial"/>
        </w:rPr>
        <w:t xml:space="preserve">27 November 2015. </w:t>
      </w:r>
      <w:r w:rsidR="00D7674C">
        <w:rPr>
          <w:rFonts w:cs="Arial"/>
        </w:rPr>
        <w:t>Taking account</w:t>
      </w:r>
      <w:r>
        <w:rPr>
          <w:rFonts w:cs="Arial"/>
        </w:rPr>
        <w:t xml:space="preserve"> of the outcomes of WRC-15, t</w:t>
      </w:r>
      <w:r w:rsidRPr="00691906">
        <w:rPr>
          <w:rFonts w:cs="Arial"/>
        </w:rPr>
        <w:t xml:space="preserve">he ACMA will update the Australian Radiofrequency Spectrum </w:t>
      </w:r>
      <w:r>
        <w:rPr>
          <w:rFonts w:cs="Arial"/>
        </w:rPr>
        <w:t>P</w:t>
      </w:r>
      <w:r w:rsidRPr="00691906">
        <w:rPr>
          <w:rFonts w:cs="Arial"/>
        </w:rPr>
        <w:t>lan</w:t>
      </w:r>
      <w:r>
        <w:rPr>
          <w:rFonts w:cs="Arial"/>
        </w:rPr>
        <w:t xml:space="preserve"> (Spectrum Plan)</w:t>
      </w:r>
      <w:r w:rsidRPr="00691906">
        <w:rPr>
          <w:rFonts w:cs="Arial"/>
        </w:rPr>
        <w:t xml:space="preserve"> </w:t>
      </w:r>
      <w:r w:rsidR="00B22451">
        <w:rPr>
          <w:rFonts w:cs="Arial"/>
        </w:rPr>
        <w:t>at the end</w:t>
      </w:r>
      <w:r w:rsidRPr="00691906">
        <w:rPr>
          <w:rFonts w:cs="Arial"/>
        </w:rPr>
        <w:t xml:space="preserve"> of 2016. Updates will include the implementation of changes made to the ITU-R Radio Regulations at WRC-15</w:t>
      </w:r>
      <w:r>
        <w:rPr>
          <w:rFonts w:cs="Arial"/>
        </w:rPr>
        <w:t xml:space="preserve">, </w:t>
      </w:r>
      <w:r w:rsidRPr="00691906">
        <w:rPr>
          <w:rFonts w:cs="Arial"/>
        </w:rPr>
        <w:t>where appropriate. Implementation of the outcomes of WRC-15</w:t>
      </w:r>
      <w:r>
        <w:rPr>
          <w:rFonts w:cs="Arial"/>
        </w:rPr>
        <w:t>,</w:t>
      </w:r>
      <w:r w:rsidRPr="00691906">
        <w:rPr>
          <w:rFonts w:cs="Arial"/>
        </w:rPr>
        <w:t xml:space="preserve"> in addition to these change</w:t>
      </w:r>
      <w:r>
        <w:rPr>
          <w:rFonts w:cs="Arial"/>
        </w:rPr>
        <w:t>s,</w:t>
      </w:r>
      <w:r w:rsidRPr="00691906">
        <w:rPr>
          <w:rFonts w:cs="Arial"/>
        </w:rPr>
        <w:t xml:space="preserve"> will be considered and addressed as necessary.</w:t>
      </w:r>
    </w:p>
    <w:p w14:paraId="102ED12D" w14:textId="77777777" w:rsidR="004D0DEA" w:rsidRPr="005C3C31" w:rsidRDefault="004D0DEA" w:rsidP="004D0DEA">
      <w:pPr>
        <w:rPr>
          <w:rFonts w:cs="Arial"/>
        </w:rPr>
      </w:pPr>
      <w:r w:rsidRPr="005C3C31">
        <w:rPr>
          <w:rFonts w:cs="Arial"/>
        </w:rPr>
        <w:t xml:space="preserve">The next WRC is scheduled for </w:t>
      </w:r>
      <w:r>
        <w:rPr>
          <w:rFonts w:cs="Arial"/>
        </w:rPr>
        <w:t>late</w:t>
      </w:r>
      <w:r w:rsidRPr="005C3C31">
        <w:rPr>
          <w:rFonts w:cs="Arial"/>
        </w:rPr>
        <w:t xml:space="preserve"> 201</w:t>
      </w:r>
      <w:r>
        <w:rPr>
          <w:rFonts w:cs="Arial"/>
        </w:rPr>
        <w:t>9</w:t>
      </w:r>
      <w:r w:rsidRPr="005C3C31">
        <w:rPr>
          <w:rFonts w:cs="Arial"/>
        </w:rPr>
        <w:t xml:space="preserve"> (WRC-1</w:t>
      </w:r>
      <w:r>
        <w:rPr>
          <w:rFonts w:cs="Arial"/>
        </w:rPr>
        <w:t>9</w:t>
      </w:r>
      <w:r w:rsidRPr="005C3C31">
        <w:rPr>
          <w:rFonts w:cs="Arial"/>
        </w:rPr>
        <w:t xml:space="preserve">). The ACMA oversees extensive industry and stakeholder consultation in preparation for this and other important international </w:t>
      </w:r>
      <w:r w:rsidR="00D7674C">
        <w:rPr>
          <w:rFonts w:cs="Arial"/>
        </w:rPr>
        <w:t xml:space="preserve">radiocommunications </w:t>
      </w:r>
      <w:r w:rsidRPr="005C3C31">
        <w:rPr>
          <w:rFonts w:cs="Arial"/>
        </w:rPr>
        <w:t>meetings. Australian industry and stakeholder involvement is essential in ensuring that the decisions and future development of international radiocommunications regulations serve Australia’s interest</w:t>
      </w:r>
      <w:r>
        <w:rPr>
          <w:rFonts w:cs="Arial"/>
        </w:rPr>
        <w:t>.</w:t>
      </w:r>
      <w:r w:rsidRPr="005C3C31">
        <w:rPr>
          <w:rFonts w:cs="Arial"/>
        </w:rPr>
        <w:t xml:space="preserve"> This </w:t>
      </w:r>
      <w:r>
        <w:rPr>
          <w:rFonts w:cs="Arial"/>
        </w:rPr>
        <w:t xml:space="preserve">work </w:t>
      </w:r>
      <w:r w:rsidRPr="005C3C31">
        <w:rPr>
          <w:rFonts w:cs="Arial"/>
        </w:rPr>
        <w:t>is led by the ACMA’s Preparatory Group for WRC-1</w:t>
      </w:r>
      <w:r>
        <w:rPr>
          <w:rFonts w:cs="Arial"/>
        </w:rPr>
        <w:t>9</w:t>
      </w:r>
      <w:r w:rsidRPr="005C3C31">
        <w:rPr>
          <w:rFonts w:cs="Arial"/>
        </w:rPr>
        <w:t xml:space="preserve"> (PG WRC-1</w:t>
      </w:r>
      <w:r>
        <w:rPr>
          <w:rFonts w:cs="Arial"/>
        </w:rPr>
        <w:t>9</w:t>
      </w:r>
      <w:r w:rsidRPr="005C3C31">
        <w:rPr>
          <w:rFonts w:cs="Arial"/>
        </w:rPr>
        <w:t>) and the Australian Radiocommunications Study Groups (</w:t>
      </w:r>
      <w:hyperlink r:id="rId57" w:history="1">
        <w:r w:rsidRPr="005C3C31">
          <w:rPr>
            <w:rFonts w:cs="Arial"/>
          </w:rPr>
          <w:t>ARSGs</w:t>
        </w:r>
      </w:hyperlink>
      <w:r w:rsidRPr="005C3C31">
        <w:rPr>
          <w:rFonts w:cs="Arial"/>
        </w:rPr>
        <w:t>), which mirror the work of the ITU-R Study Groups. The ACMA chairs the PG WRC-1</w:t>
      </w:r>
      <w:r>
        <w:rPr>
          <w:rFonts w:cs="Arial"/>
        </w:rPr>
        <w:t>9 and</w:t>
      </w:r>
      <w:r w:rsidRPr="005C3C31">
        <w:rPr>
          <w:rFonts w:cs="Arial"/>
        </w:rPr>
        <w:t xml:space="preserve"> membership includes representatives of both government and industry. The six ARSGs are chaired by a mix of government and industry representatives, coordinated by the ACMA. </w:t>
      </w:r>
    </w:p>
    <w:p w14:paraId="6F1B7633" w14:textId="77777777" w:rsidR="004D0DEA" w:rsidRPr="005C3C31" w:rsidRDefault="004D0DEA" w:rsidP="004D0DEA">
      <w:pPr>
        <w:rPr>
          <w:rFonts w:cs="Arial"/>
        </w:rPr>
      </w:pPr>
      <w:r>
        <w:rPr>
          <w:rFonts w:cs="Arial"/>
        </w:rPr>
        <w:t xml:space="preserve">The </w:t>
      </w:r>
      <w:hyperlink r:id="rId58" w:history="1">
        <w:r w:rsidRPr="0016564A">
          <w:rPr>
            <w:rStyle w:val="Hyperlink"/>
            <w:rFonts w:cs="Arial"/>
          </w:rPr>
          <w:t>WRC-19 Agenda items and responsible ARSG</w:t>
        </w:r>
      </w:hyperlink>
      <w:r>
        <w:rPr>
          <w:rFonts w:cs="Arial"/>
        </w:rPr>
        <w:t xml:space="preserve"> are available on the ACMA website.</w:t>
      </w:r>
      <w:r>
        <w:rPr>
          <w:rStyle w:val="FootnoteReference"/>
          <w:rFonts w:cs="Arial"/>
        </w:rPr>
        <w:footnoteReference w:id="7"/>
      </w:r>
    </w:p>
    <w:p w14:paraId="0B926DFA" w14:textId="77777777" w:rsidR="004D0DEA" w:rsidRPr="008B0DD8" w:rsidRDefault="004D0DEA" w:rsidP="004D0DEA">
      <w:pPr>
        <w:rPr>
          <w:rFonts w:cs="Arial"/>
        </w:rPr>
      </w:pPr>
      <w:r w:rsidRPr="005C3C31">
        <w:rPr>
          <w:rFonts w:cs="Arial"/>
        </w:rPr>
        <w:t>An important part in the WRC preparatory process involves the ACMA working closely with APT to achieve a coordinated approach to radiocommunications issues in the Asia</w:t>
      </w:r>
      <w:r>
        <w:rPr>
          <w:rFonts w:cs="Arial"/>
        </w:rPr>
        <w:t>–</w:t>
      </w:r>
      <w:r w:rsidRPr="005C3C31">
        <w:rPr>
          <w:rFonts w:cs="Arial"/>
        </w:rPr>
        <w:t xml:space="preserve">Pacific region. Cooperation within the APT results in Australia’s positions and proposals to a WRC being harmonised with those of other countries in the region, </w:t>
      </w:r>
      <w:r w:rsidRPr="008B0DD8">
        <w:rPr>
          <w:rFonts w:cs="Arial"/>
        </w:rPr>
        <w:t>increasing the likelihood of these being considered favourably at the WRC.</w:t>
      </w:r>
    </w:p>
    <w:p w14:paraId="0B91D595" w14:textId="77777777" w:rsidR="004D0DEA" w:rsidRPr="008B0DD8" w:rsidRDefault="004D0DEA" w:rsidP="004D0DEA">
      <w:pPr>
        <w:rPr>
          <w:rFonts w:cs="Arial"/>
        </w:rPr>
      </w:pPr>
      <w:r w:rsidRPr="008B0DD8">
        <w:rPr>
          <w:rFonts w:cs="Arial"/>
        </w:rPr>
        <w:t>Figure 3 below provides an illustration of the WRC cycle. Note the cycle is at the APG-2 stage of planning for WRC-19.</w:t>
      </w:r>
    </w:p>
    <w:p w14:paraId="74BB6CB9" w14:textId="77777777" w:rsidR="004D0DEA" w:rsidRPr="008B0DD8" w:rsidRDefault="004D0DEA" w:rsidP="00DF0BA7">
      <w:pPr>
        <w:pStyle w:val="ACMAFigureHeader"/>
        <w:keepNext/>
        <w:tabs>
          <w:tab w:val="clear" w:pos="3574"/>
          <w:tab w:val="num" w:pos="993"/>
        </w:tabs>
        <w:ind w:left="993"/>
      </w:pPr>
      <w:r w:rsidRPr="008B0DD8">
        <w:t>WRC cycle</w:t>
      </w:r>
      <w:bookmarkEnd w:id="134"/>
      <w:bookmarkEnd w:id="135"/>
      <w:bookmarkEnd w:id="136"/>
      <w:bookmarkEnd w:id="137"/>
    </w:p>
    <w:p w14:paraId="5546ECDE" w14:textId="4944E1A9" w:rsidR="004D0DEA" w:rsidRDefault="000E200B" w:rsidP="00451524">
      <w:pPr>
        <w:keepNext/>
        <w:keepLines/>
        <w:spacing w:after="0"/>
      </w:pPr>
      <w:r>
        <w:rPr>
          <w:noProof/>
        </w:rPr>
        <w:drawing>
          <wp:inline distT="0" distB="0" distL="0" distR="0" wp14:anchorId="7291E25D" wp14:editId="501DD541">
            <wp:extent cx="4871085" cy="2435225"/>
            <wp:effectExtent l="0" t="0" r="5715" b="3175"/>
            <wp:docPr id="2" name="Picture 2" descr="Diagram showing thwe 3 to 4 year cycle of the WRC." title="WRC cy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ew diagram for FYSO_WRC cycle.jpg"/>
                    <pic:cNvPicPr/>
                  </pic:nvPicPr>
                  <pic:blipFill>
                    <a:blip r:embed="rId59">
                      <a:extLst>
                        <a:ext uri="{28A0092B-C50C-407E-A947-70E740481C1C}">
                          <a14:useLocalDpi xmlns:a14="http://schemas.microsoft.com/office/drawing/2010/main" val="0"/>
                        </a:ext>
                      </a:extLst>
                    </a:blip>
                    <a:stretch>
                      <a:fillRect/>
                    </a:stretch>
                  </pic:blipFill>
                  <pic:spPr>
                    <a:xfrm>
                      <a:off x="0" y="0"/>
                      <a:ext cx="4871085" cy="2435225"/>
                    </a:xfrm>
                    <a:prstGeom prst="rect">
                      <a:avLst/>
                    </a:prstGeom>
                  </pic:spPr>
                </pic:pic>
              </a:graphicData>
            </a:graphic>
          </wp:inline>
        </w:drawing>
      </w:r>
    </w:p>
    <w:p w14:paraId="1CF9DDA3" w14:textId="77777777" w:rsidR="004D0DEA" w:rsidRPr="00451524" w:rsidRDefault="004D0DEA" w:rsidP="00451524">
      <w:pPr>
        <w:pStyle w:val="ACMASpaceaftertable"/>
        <w:keepNext/>
        <w:keepLines/>
      </w:pPr>
    </w:p>
    <w:p w14:paraId="38B879A7" w14:textId="77777777" w:rsidR="004D0DEA" w:rsidRDefault="004D0DEA" w:rsidP="00A101E8">
      <w:pPr>
        <w:pStyle w:val="Heading3"/>
        <w:spacing w:before="0"/>
      </w:pPr>
      <w:bookmarkStart w:id="138" w:name="_Toc421196893"/>
      <w:bookmarkStart w:id="139" w:name="_Toc421626759"/>
      <w:bookmarkStart w:id="140" w:name="_Toc422405876"/>
      <w:bookmarkStart w:id="141" w:name="_Toc425954284"/>
      <w:bookmarkStart w:id="142" w:name="_Toc455579190"/>
      <w:bookmarkStart w:id="143" w:name="_Toc456616619"/>
      <w:bookmarkStart w:id="144" w:name="_Toc458084545"/>
      <w:bookmarkStart w:id="145" w:name="_Toc458608683"/>
      <w:bookmarkStart w:id="146" w:name="_Toc461107990"/>
      <w:bookmarkStart w:id="147" w:name="_Toc461194817"/>
      <w:bookmarkStart w:id="148" w:name="_Toc461445468"/>
      <w:bookmarkStart w:id="149" w:name="_Toc463351305"/>
      <w:r>
        <w:t>Regulatory reform and the S</w:t>
      </w:r>
      <w:r w:rsidRPr="00D827B1">
        <w:t xml:space="preserve">pectrum </w:t>
      </w:r>
      <w:r>
        <w:t>R</w:t>
      </w:r>
      <w:r w:rsidRPr="00D827B1">
        <w:t>eview</w:t>
      </w:r>
      <w:bookmarkEnd w:id="138"/>
      <w:bookmarkEnd w:id="139"/>
      <w:bookmarkEnd w:id="140"/>
      <w:bookmarkEnd w:id="141"/>
      <w:bookmarkEnd w:id="142"/>
      <w:bookmarkEnd w:id="143"/>
      <w:bookmarkEnd w:id="144"/>
      <w:bookmarkEnd w:id="145"/>
      <w:bookmarkEnd w:id="146"/>
      <w:bookmarkEnd w:id="147"/>
      <w:bookmarkEnd w:id="148"/>
      <w:bookmarkEnd w:id="149"/>
    </w:p>
    <w:p w14:paraId="181FC16E" w14:textId="77777777" w:rsidR="004D0DEA" w:rsidRDefault="004D0DEA" w:rsidP="004D0DEA">
      <w:pPr>
        <w:spacing w:after="80"/>
      </w:pPr>
      <w:r w:rsidRPr="001B7006">
        <w:t xml:space="preserve">On 25 August 2015, the </w:t>
      </w:r>
      <w:r>
        <w:t>g</w:t>
      </w:r>
      <w:r w:rsidRPr="001B7006">
        <w:t xml:space="preserve">overnment agreed to </w:t>
      </w:r>
      <w:r>
        <w:t xml:space="preserve">implement </w:t>
      </w:r>
      <w:r w:rsidRPr="001B7006">
        <w:t xml:space="preserve">the recommendations of the </w:t>
      </w:r>
      <w:r>
        <w:t>S</w:t>
      </w:r>
      <w:r w:rsidRPr="001B7006">
        <w:t xml:space="preserve">pectrum </w:t>
      </w:r>
      <w:r>
        <w:t>R</w:t>
      </w:r>
      <w:r w:rsidRPr="001B7006">
        <w:t>eview</w:t>
      </w:r>
      <w:r>
        <w:t xml:space="preserve"> undertaken by the Department of Communications and the Arts </w:t>
      </w:r>
      <w:r w:rsidRPr="001B7006">
        <w:t>(</w:t>
      </w:r>
      <w:r>
        <w:t>DoCA</w:t>
      </w:r>
      <w:r w:rsidRPr="001B7006">
        <w:t xml:space="preserve">). </w:t>
      </w:r>
      <w:r>
        <w:t xml:space="preserve">The main </w:t>
      </w:r>
      <w:r w:rsidRPr="001B7006">
        <w:t>reforms include</w:t>
      </w:r>
      <w:r>
        <w:t>:</w:t>
      </w:r>
    </w:p>
    <w:p w14:paraId="154C5090" w14:textId="77777777" w:rsidR="004D0DEA" w:rsidRPr="00ED519C" w:rsidRDefault="00EF789B" w:rsidP="00543D25">
      <w:pPr>
        <w:pStyle w:val="ListNumber"/>
        <w:numPr>
          <w:ilvl w:val="0"/>
          <w:numId w:val="76"/>
        </w:numPr>
        <w:rPr>
          <w:lang w:val="en"/>
        </w:rPr>
      </w:pPr>
      <w:r>
        <w:rPr>
          <w:lang w:val="en"/>
        </w:rPr>
        <w:t>r</w:t>
      </w:r>
      <w:r w:rsidR="004D0DEA">
        <w:rPr>
          <w:lang w:val="en"/>
        </w:rPr>
        <w:t>eplacing</w:t>
      </w:r>
      <w:r w:rsidR="004D0DEA" w:rsidRPr="00ED519C">
        <w:rPr>
          <w:lang w:val="en"/>
        </w:rPr>
        <w:t xml:space="preserve"> the current legislative arrangements with new legislation that removes prescriptive process and streamlines licensing, for a simp</w:t>
      </w:r>
      <w:r>
        <w:rPr>
          <w:lang w:val="en"/>
        </w:rPr>
        <w:t>ler and more flexible framework</w:t>
      </w:r>
    </w:p>
    <w:p w14:paraId="2BBB4F3F" w14:textId="77777777" w:rsidR="004D0DEA" w:rsidRPr="00ED519C" w:rsidRDefault="00EF789B" w:rsidP="00543D25">
      <w:pPr>
        <w:pStyle w:val="ListNumber"/>
        <w:numPr>
          <w:ilvl w:val="0"/>
          <w:numId w:val="76"/>
        </w:numPr>
        <w:rPr>
          <w:lang w:val="en"/>
        </w:rPr>
      </w:pPr>
      <w:r>
        <w:rPr>
          <w:lang w:val="en"/>
        </w:rPr>
        <w:t>b</w:t>
      </w:r>
      <w:r w:rsidR="004D0DEA">
        <w:rPr>
          <w:lang w:val="en"/>
        </w:rPr>
        <w:t>etter integrating</w:t>
      </w:r>
      <w:r w:rsidR="004D0DEA" w:rsidRPr="00ED519C">
        <w:rPr>
          <w:lang w:val="en"/>
        </w:rPr>
        <w:t xml:space="preserve"> the management of public sector and broadcasting spectrum to improve the consistency</w:t>
      </w:r>
      <w:r>
        <w:rPr>
          <w:lang w:val="en"/>
        </w:rPr>
        <w:t xml:space="preserve"> and integrity of the framework</w:t>
      </w:r>
    </w:p>
    <w:p w14:paraId="4BDC00CC" w14:textId="77777777" w:rsidR="004D0DEA" w:rsidRPr="00ED519C" w:rsidRDefault="00EF789B" w:rsidP="00543D25">
      <w:pPr>
        <w:pStyle w:val="ListNumber"/>
        <w:numPr>
          <w:ilvl w:val="0"/>
          <w:numId w:val="76"/>
        </w:numPr>
        <w:spacing w:after="240"/>
        <w:rPr>
          <w:lang w:val="en"/>
        </w:rPr>
      </w:pPr>
      <w:r>
        <w:rPr>
          <w:lang w:val="en"/>
        </w:rPr>
        <w:t>r</w:t>
      </w:r>
      <w:r w:rsidR="004D0DEA" w:rsidRPr="00ED519C">
        <w:rPr>
          <w:lang w:val="en"/>
        </w:rPr>
        <w:t>eview</w:t>
      </w:r>
      <w:r w:rsidR="004D0DEA">
        <w:rPr>
          <w:lang w:val="en"/>
        </w:rPr>
        <w:t>ing</w:t>
      </w:r>
      <w:r w:rsidR="004D0DEA" w:rsidRPr="00ED519C">
        <w:rPr>
          <w:lang w:val="en"/>
        </w:rPr>
        <w:t xml:space="preserve"> spectrum pricing to ensure consistent and transparent arrangements to support the efficient use of spectrum and secondary markets.</w:t>
      </w:r>
    </w:p>
    <w:p w14:paraId="521774F0" w14:textId="77777777" w:rsidR="004D0DEA" w:rsidRPr="009D1140" w:rsidRDefault="004D0DEA" w:rsidP="004D0DEA">
      <w:pPr>
        <w:rPr>
          <w:rFonts w:cs="Arial"/>
        </w:rPr>
      </w:pPr>
      <w:r>
        <w:t>DoCA</w:t>
      </w:r>
      <w:r w:rsidRPr="006D1B7E">
        <w:t xml:space="preserve"> </w:t>
      </w:r>
      <w:r>
        <w:t xml:space="preserve">has commenced </w:t>
      </w:r>
      <w:r w:rsidRPr="006D1B7E">
        <w:t>implementing these</w:t>
      </w:r>
      <w:r>
        <w:t xml:space="preserve"> reforms with t</w:t>
      </w:r>
      <w:r w:rsidRPr="006D1B7E">
        <w:t>he</w:t>
      </w:r>
      <w:r>
        <w:t xml:space="preserve"> support of the</w:t>
      </w:r>
      <w:r w:rsidRPr="006D1B7E">
        <w:t xml:space="preserve"> ACMA.</w:t>
      </w:r>
      <w:r>
        <w:t xml:space="preserve"> </w:t>
      </w:r>
      <w:r w:rsidRPr="001B7006">
        <w:rPr>
          <w:rFonts w:cs="Arial"/>
        </w:rPr>
        <w:t xml:space="preserve">On 10 March 2016, the </w:t>
      </w:r>
      <w:r>
        <w:rPr>
          <w:rFonts w:cs="Arial"/>
        </w:rPr>
        <w:t>g</w:t>
      </w:r>
      <w:r w:rsidRPr="001B7006">
        <w:rPr>
          <w:rFonts w:cs="Arial"/>
        </w:rPr>
        <w:t>overnment released a Legislative Proposals Consultation Paper</w:t>
      </w:r>
      <w:r>
        <w:rPr>
          <w:rFonts w:cs="Arial"/>
        </w:rPr>
        <w:t>,</w:t>
      </w:r>
      <w:r w:rsidRPr="001B7006">
        <w:rPr>
          <w:rFonts w:cs="Arial"/>
        </w:rPr>
        <w:t xml:space="preserve"> which discussed </w:t>
      </w:r>
      <w:r>
        <w:rPr>
          <w:rFonts w:cs="Arial"/>
        </w:rPr>
        <w:t>development of</w:t>
      </w:r>
      <w:r w:rsidRPr="001B7006">
        <w:rPr>
          <w:rFonts w:cs="Arial"/>
        </w:rPr>
        <w:t xml:space="preserve"> a new Radiocommunications Act. The proposals seek to make the spectrum management framework simpler, more efficient and flexible so that it better supports innovation in spectrum use and allows </w:t>
      </w:r>
      <w:r>
        <w:rPr>
          <w:rFonts w:cs="Arial"/>
        </w:rPr>
        <w:t>further</w:t>
      </w:r>
      <w:r w:rsidRPr="001B7006">
        <w:rPr>
          <w:rFonts w:cs="Arial"/>
        </w:rPr>
        <w:t xml:space="preserve"> streamlining of administrative processes.</w:t>
      </w:r>
      <w:r w:rsidRPr="001B7006">
        <w:t xml:space="preserve"> </w:t>
      </w:r>
      <w:r>
        <w:t>DoCA</w:t>
      </w:r>
      <w:r w:rsidRPr="001B7006">
        <w:t xml:space="preserve"> has also announced plans to conduct supplementary reviews into spectrum pricing </w:t>
      </w:r>
      <w:r>
        <w:t xml:space="preserve">and Commonwealth Government spectrum holdings. </w:t>
      </w:r>
      <w:r w:rsidRPr="009D1140">
        <w:rPr>
          <w:rFonts w:cs="Arial"/>
        </w:rPr>
        <w:t xml:space="preserve">The ACMA expects to continue to provide advice and feedback to </w:t>
      </w:r>
      <w:r>
        <w:rPr>
          <w:rFonts w:cs="Arial"/>
        </w:rPr>
        <w:t>DoCA</w:t>
      </w:r>
      <w:r w:rsidRPr="009D1140">
        <w:rPr>
          <w:rFonts w:cs="Arial"/>
        </w:rPr>
        <w:t xml:space="preserve"> in relation to this work during the year ahead.</w:t>
      </w:r>
    </w:p>
    <w:p w14:paraId="68EE0B6E" w14:textId="77777777" w:rsidR="004D0DEA" w:rsidRPr="009D1140" w:rsidRDefault="004D0DEA" w:rsidP="004D0DEA">
      <w:r w:rsidRPr="009D1140">
        <w:t>The outcomes of the</w:t>
      </w:r>
      <w:r>
        <w:t>se</w:t>
      </w:r>
      <w:r w:rsidRPr="009D1140">
        <w:t xml:space="preserve"> processes will provide the legislative and policy basis for the ACMA to </w:t>
      </w:r>
      <w:r>
        <w:t>progress spectrum reforms</w:t>
      </w:r>
      <w:r w:rsidRPr="009D1140">
        <w:t xml:space="preserve">. For example, the new legislative framework is expected to give the </w:t>
      </w:r>
      <w:r>
        <w:t>m</w:t>
      </w:r>
      <w:r w:rsidRPr="009D1140">
        <w:t xml:space="preserve">inister the opportunity to communicate strategic priorities to the ACMA in the form of </w:t>
      </w:r>
      <w:r>
        <w:t>m</w:t>
      </w:r>
      <w:r w:rsidRPr="009D1140">
        <w:t xml:space="preserve">inisterial </w:t>
      </w:r>
      <w:r>
        <w:t xml:space="preserve">policy </w:t>
      </w:r>
      <w:r w:rsidRPr="009D1140">
        <w:t>statements. Th</w:t>
      </w:r>
      <w:r>
        <w:t xml:space="preserve">ese statements are likely to </w:t>
      </w:r>
      <w:r w:rsidRPr="009D1140">
        <w:t>provide important guidance for the ACMA in</w:t>
      </w:r>
      <w:r>
        <w:t xml:space="preserve"> relation to a range of spectrum management functions.</w:t>
      </w:r>
    </w:p>
    <w:p w14:paraId="0F39588D" w14:textId="77777777" w:rsidR="004D0DEA" w:rsidRPr="002A20D4" w:rsidRDefault="004D0DEA" w:rsidP="004D0DEA">
      <w:pPr>
        <w:rPr>
          <w:rFonts w:cs="Arial"/>
        </w:rPr>
      </w:pPr>
      <w:r>
        <w:rPr>
          <w:rFonts w:cs="Arial"/>
        </w:rPr>
        <w:t>The A</w:t>
      </w:r>
      <w:r w:rsidRPr="009D1140">
        <w:rPr>
          <w:rFonts w:cs="Arial"/>
        </w:rPr>
        <w:t>CMA</w:t>
      </w:r>
      <w:r>
        <w:rPr>
          <w:rFonts w:cs="Arial"/>
        </w:rPr>
        <w:t xml:space="preserve"> anticipates undertaking</w:t>
      </w:r>
      <w:r w:rsidRPr="009D1140">
        <w:rPr>
          <w:rFonts w:cs="Arial"/>
        </w:rPr>
        <w:t xml:space="preserve"> </w:t>
      </w:r>
      <w:r>
        <w:rPr>
          <w:rFonts w:cs="Arial"/>
        </w:rPr>
        <w:t>extensive</w:t>
      </w:r>
      <w:r w:rsidRPr="001B7006">
        <w:rPr>
          <w:rFonts w:cs="Arial"/>
        </w:rPr>
        <w:t xml:space="preserve"> stakeholder engagement </w:t>
      </w:r>
      <w:r>
        <w:rPr>
          <w:rFonts w:cs="Arial"/>
        </w:rPr>
        <w:t>on</w:t>
      </w:r>
      <w:r w:rsidRPr="001B7006">
        <w:rPr>
          <w:rFonts w:cs="Arial"/>
        </w:rPr>
        <w:t xml:space="preserve"> </w:t>
      </w:r>
      <w:r>
        <w:rPr>
          <w:rFonts w:cs="Arial"/>
        </w:rPr>
        <w:t>improving spectrum management</w:t>
      </w:r>
      <w:r w:rsidRPr="001B7006">
        <w:rPr>
          <w:rFonts w:cs="Arial"/>
        </w:rPr>
        <w:t xml:space="preserve"> </w:t>
      </w:r>
      <w:r>
        <w:rPr>
          <w:rFonts w:cs="Arial"/>
        </w:rPr>
        <w:t xml:space="preserve">under the new framework. </w:t>
      </w:r>
      <w:r w:rsidRPr="001B7006">
        <w:t>The ACMA looks forward to the opportunities a new spectrum management framework will provide to more effectively and efficiently manage spectrum for the benefit</w:t>
      </w:r>
      <w:r>
        <w:t xml:space="preserve"> of</w:t>
      </w:r>
      <w:r w:rsidRPr="001B7006">
        <w:t xml:space="preserve"> </w:t>
      </w:r>
      <w:r>
        <w:t xml:space="preserve">all spectrum </w:t>
      </w:r>
      <w:r w:rsidRPr="001B7006">
        <w:t xml:space="preserve">users </w:t>
      </w:r>
      <w:r>
        <w:t>in Australia</w:t>
      </w:r>
      <w:r w:rsidRPr="001B7006">
        <w:t>.</w:t>
      </w:r>
    </w:p>
    <w:p w14:paraId="2606C7AE" w14:textId="77777777" w:rsidR="004D0DEA" w:rsidRPr="003C4269" w:rsidRDefault="004D0DEA" w:rsidP="00D07910">
      <w:pPr>
        <w:pStyle w:val="Heading3"/>
      </w:pPr>
      <w:bookmarkStart w:id="150" w:name="_Toc422405878"/>
      <w:bookmarkStart w:id="151" w:name="_Toc425954286"/>
      <w:bookmarkStart w:id="152" w:name="_Toc455579192"/>
      <w:bookmarkStart w:id="153" w:name="_Toc456616621"/>
      <w:bookmarkStart w:id="154" w:name="_Toc458084547"/>
      <w:bookmarkStart w:id="155" w:name="_Toc458608685"/>
      <w:bookmarkStart w:id="156" w:name="_Toc461107991"/>
      <w:bookmarkStart w:id="157" w:name="_Toc461194818"/>
      <w:bookmarkStart w:id="158" w:name="_Toc461445469"/>
      <w:bookmarkStart w:id="159" w:name="_Toc463351306"/>
      <w:r>
        <w:t>Review of the ACMA</w:t>
      </w:r>
      <w:bookmarkEnd w:id="150"/>
      <w:bookmarkEnd w:id="151"/>
      <w:bookmarkEnd w:id="152"/>
      <w:bookmarkEnd w:id="153"/>
      <w:bookmarkEnd w:id="154"/>
      <w:bookmarkEnd w:id="155"/>
      <w:bookmarkEnd w:id="156"/>
      <w:bookmarkEnd w:id="157"/>
      <w:bookmarkEnd w:id="158"/>
      <w:bookmarkEnd w:id="159"/>
    </w:p>
    <w:p w14:paraId="6D27295D" w14:textId="77777777" w:rsidR="004D0DEA" w:rsidRDefault="004D0DEA" w:rsidP="004D0DEA">
      <w:r>
        <w:t xml:space="preserve">On 12 June 2015, the Minister for Communications announcement a review of the ACMA. The review is examining the ACMA’s objectives and functions, structure and governance, performance and resourcing to ensure that it remains fit-for-purpose both for </w:t>
      </w:r>
      <w:r w:rsidRPr="00430E61">
        <w:t>the contemporary and future communications regulatory environment</w:t>
      </w:r>
      <w:r>
        <w:t>. DoCA released an issues paper in July 2015 and a draft report for consultation on 6 May 2016. The ACMA made submissions to the issues paper and draft report. Consultation on the draft report is under review by DoCA.</w:t>
      </w:r>
    </w:p>
    <w:p w14:paraId="126AB5BF" w14:textId="77777777" w:rsidR="004D0DEA" w:rsidRDefault="004D0DEA" w:rsidP="004D0DEA">
      <w:pPr>
        <w:rPr>
          <w:rFonts w:cs="Arial"/>
        </w:rPr>
      </w:pPr>
      <w:r>
        <w:rPr>
          <w:rFonts w:cs="Arial"/>
        </w:rPr>
        <w:t xml:space="preserve">Further information about the </w:t>
      </w:r>
      <w:hyperlink r:id="rId60" w:history="1">
        <w:r w:rsidRPr="00D76CB2">
          <w:rPr>
            <w:rStyle w:val="Hyperlink"/>
            <w:rFonts w:cs="Arial"/>
          </w:rPr>
          <w:t>review of the ACMA</w:t>
        </w:r>
      </w:hyperlink>
      <w:r>
        <w:rPr>
          <w:rFonts w:cs="Arial"/>
        </w:rPr>
        <w:t xml:space="preserve"> is available on DoCA’s website. </w:t>
      </w:r>
    </w:p>
    <w:p w14:paraId="22CB15AA" w14:textId="5E934D8B" w:rsidR="004D0DEA" w:rsidRPr="0097744A" w:rsidRDefault="004D0DEA" w:rsidP="00D07910">
      <w:pPr>
        <w:pStyle w:val="Heading2"/>
        <w:spacing w:before="60" w:after="120"/>
      </w:pPr>
      <w:bookmarkStart w:id="160" w:name="_Toc455579193"/>
      <w:bookmarkStart w:id="161" w:name="_Toc456616622"/>
      <w:bookmarkStart w:id="162" w:name="_Toc458084548"/>
      <w:bookmarkStart w:id="163" w:name="_Toc458608686"/>
      <w:bookmarkStart w:id="164" w:name="_Toc461107992"/>
      <w:bookmarkStart w:id="165" w:name="_Toc461194819"/>
      <w:bookmarkStart w:id="166" w:name="_Toc461445470"/>
      <w:bookmarkStart w:id="167" w:name="_Toc463351307"/>
      <w:r>
        <w:t xml:space="preserve">ACMA’s response to </w:t>
      </w:r>
      <w:bookmarkEnd w:id="160"/>
      <w:bookmarkEnd w:id="161"/>
      <w:bookmarkEnd w:id="162"/>
      <w:bookmarkEnd w:id="163"/>
      <w:bookmarkEnd w:id="164"/>
      <w:bookmarkEnd w:id="165"/>
      <w:bookmarkEnd w:id="166"/>
      <w:r w:rsidR="00D7674C">
        <w:t>demand and new technologies</w:t>
      </w:r>
      <w:bookmarkEnd w:id="167"/>
    </w:p>
    <w:p w14:paraId="640AD3DA" w14:textId="77777777" w:rsidR="004D0DEA" w:rsidRPr="0097744A" w:rsidRDefault="004D0DEA" w:rsidP="00D07910">
      <w:pPr>
        <w:pStyle w:val="Heading3"/>
      </w:pPr>
      <w:bookmarkStart w:id="168" w:name="_Toc421196896"/>
      <w:bookmarkStart w:id="169" w:name="_Toc421626762"/>
      <w:bookmarkStart w:id="170" w:name="_Toc422405880"/>
      <w:bookmarkStart w:id="171" w:name="_Toc425954288"/>
      <w:bookmarkStart w:id="172" w:name="_Toc455579194"/>
      <w:bookmarkStart w:id="173" w:name="_Toc456616623"/>
      <w:bookmarkStart w:id="174" w:name="_Toc458084549"/>
      <w:bookmarkStart w:id="175" w:name="_Toc458608687"/>
      <w:bookmarkStart w:id="176" w:name="_Toc461107993"/>
      <w:bookmarkStart w:id="177" w:name="_Toc461194820"/>
      <w:bookmarkStart w:id="178" w:name="_Toc461445471"/>
      <w:bookmarkStart w:id="179" w:name="_Toc463351308"/>
      <w:r w:rsidRPr="0097744A">
        <w:t>Addressing current and future demand</w:t>
      </w:r>
      <w:bookmarkEnd w:id="168"/>
      <w:bookmarkEnd w:id="169"/>
      <w:bookmarkEnd w:id="170"/>
      <w:bookmarkEnd w:id="171"/>
      <w:bookmarkEnd w:id="172"/>
      <w:bookmarkEnd w:id="173"/>
      <w:bookmarkEnd w:id="174"/>
      <w:bookmarkEnd w:id="175"/>
      <w:bookmarkEnd w:id="176"/>
      <w:bookmarkEnd w:id="177"/>
      <w:bookmarkEnd w:id="178"/>
      <w:bookmarkEnd w:id="179"/>
    </w:p>
    <w:p w14:paraId="0E6E3BC6" w14:textId="77777777" w:rsidR="004D0DEA" w:rsidRPr="007040FA" w:rsidRDefault="004D0DEA" w:rsidP="004D0DEA">
      <w:r w:rsidRPr="005E3BBD">
        <w:t>The ACMA continues to critically evaluate the demand and need for spectrum across all sectors to better understand the complex and dynamic interaction of social, economic and technical factors that will drive spectrum requirements.</w:t>
      </w:r>
    </w:p>
    <w:p w14:paraId="35F7CBC9" w14:textId="77777777" w:rsidR="004D0DEA" w:rsidRDefault="004D0DEA" w:rsidP="004D0DEA">
      <w:r>
        <w:t xml:space="preserve">Part of the ACMA’s role is to gain an understanding of the critical drivers of future spectrum demand, and the likely impact of these drivers may have on the economy. These drivers are both varied and connected, and can materialise domestically and internationally. The ACMA uses research and analysis to pull these many inputs together to help make informed policy choices. </w:t>
      </w:r>
    </w:p>
    <w:p w14:paraId="7E51A1FA" w14:textId="77777777" w:rsidR="004D0DEA" w:rsidRDefault="004D0DEA" w:rsidP="004D0DEA">
      <w:r>
        <w:t xml:space="preserve">There is widespread recognition that mobile broadband services are an economic enabler and that the provision of these services, technologies and applications in the wider community is in the public interest. The expectation of end-users for access to services exhibiting increased speed and data allowance puts pressure on network operators to meet demand and leads to requests from operators for access to greater amounts of spectrum. </w:t>
      </w:r>
    </w:p>
    <w:p w14:paraId="1CBFEA5C" w14:textId="77777777" w:rsidR="004D0DEA" w:rsidRPr="005629EA" w:rsidRDefault="004D0DEA" w:rsidP="004D0DEA">
      <w:r w:rsidRPr="005629EA">
        <w:t xml:space="preserve">While this </w:t>
      </w:r>
      <w:r>
        <w:t>document</w:t>
      </w:r>
      <w:r w:rsidRPr="005629EA">
        <w:t xml:space="preserve"> considers and encourages discussion on a range of spectrum related topics, </w:t>
      </w:r>
      <w:r>
        <w:t xml:space="preserve">it acknowledges that </w:t>
      </w:r>
      <w:r w:rsidRPr="005629EA">
        <w:t xml:space="preserve">a key focus is the ACMA’s analysis of current and future demand </w:t>
      </w:r>
      <w:r w:rsidR="00EF3D84">
        <w:t>for</w:t>
      </w:r>
      <w:r w:rsidRPr="005629EA">
        <w:t xml:space="preserve"> a particular use—mobile broadband</w:t>
      </w:r>
      <w:r>
        <w:t xml:space="preserve">. This is </w:t>
      </w:r>
      <w:r w:rsidRPr="005629EA">
        <w:t>because demand for spectrum for this use has been the major driver for changes in highest</w:t>
      </w:r>
      <w:r>
        <w:t>-</w:t>
      </w:r>
      <w:r w:rsidRPr="005629EA">
        <w:t>value use across a wide range of bands for many years now, with many national administrations</w:t>
      </w:r>
      <w:r>
        <w:t xml:space="preserve"> around the world</w:t>
      </w:r>
      <w:r w:rsidRPr="005629EA">
        <w:t xml:space="preserve"> planning on the basis that this is likely to continue. It is anticipated that further spectrum will be needed to accommodate growing demand for various broadband applications and mobile data. WRC-19 will be considering options for new frequency allocations suitable for mobile broadband (</w:t>
      </w:r>
      <w:r>
        <w:t>such as</w:t>
      </w:r>
      <w:r w:rsidRPr="005629EA">
        <w:t xml:space="preserve"> Wi-Fi), including identification of spectrum suitable for 5G mobile broadband services. </w:t>
      </w:r>
    </w:p>
    <w:p w14:paraId="098E8CB0" w14:textId="77777777" w:rsidR="004D0DEA" w:rsidRPr="00960ED3" w:rsidRDefault="004D0DEA" w:rsidP="004D0DEA">
      <w:r>
        <w:t xml:space="preserve">Over the next few years, further pressure will be placed on the ACMA’s existing capability to respond flexibly to new spectrum management challenges. The ACMA will continue to </w:t>
      </w:r>
      <w:r w:rsidRPr="00960ED3">
        <w:t xml:space="preserve">investigate and explore options to reform its regulatory toolkit to meet these challenges. </w:t>
      </w:r>
    </w:p>
    <w:p w14:paraId="3CB7F76E" w14:textId="77777777" w:rsidR="004D0DEA" w:rsidRDefault="004D0DEA" w:rsidP="00D07910">
      <w:pPr>
        <w:pStyle w:val="Heading3"/>
      </w:pPr>
      <w:bookmarkStart w:id="180" w:name="_Toc455579195"/>
      <w:bookmarkStart w:id="181" w:name="_Toc456616624"/>
      <w:bookmarkStart w:id="182" w:name="_Toc458084550"/>
      <w:bookmarkStart w:id="183" w:name="_Toc458608688"/>
      <w:bookmarkStart w:id="184" w:name="_Toc461107994"/>
      <w:bookmarkStart w:id="185" w:name="_Toc461194821"/>
      <w:bookmarkStart w:id="186" w:name="_Toc461445472"/>
      <w:bookmarkStart w:id="187" w:name="_Toc463351309"/>
      <w:r>
        <w:t>Mobile broadband strategy</w:t>
      </w:r>
      <w:bookmarkEnd w:id="180"/>
      <w:bookmarkEnd w:id="181"/>
      <w:r>
        <w:t xml:space="preserve"> and work program</w:t>
      </w:r>
      <w:bookmarkEnd w:id="182"/>
      <w:bookmarkEnd w:id="183"/>
      <w:bookmarkEnd w:id="184"/>
      <w:bookmarkEnd w:id="185"/>
      <w:bookmarkEnd w:id="186"/>
      <w:bookmarkEnd w:id="187"/>
    </w:p>
    <w:p w14:paraId="789C1957" w14:textId="77777777" w:rsidR="004D0DEA" w:rsidRDefault="004D0DEA" w:rsidP="004D0DEA">
      <w:pPr>
        <w:rPr>
          <w:rFonts w:cs="Arial"/>
          <w:color w:val="404040" w:themeColor="text1" w:themeTint="BF"/>
        </w:rPr>
      </w:pPr>
      <w:r w:rsidRPr="000B2D7D">
        <w:t xml:space="preserve">The spectrum management implications of the growth in demand for mobile broadband capacity continue to be critical issues for the ACMA. </w:t>
      </w:r>
      <w:r>
        <w:t xml:space="preserve">Mobile broadband spectrum management is one area </w:t>
      </w:r>
      <w:r w:rsidR="00CD5686">
        <w:t xml:space="preserve">the ACMA has, </w:t>
      </w:r>
      <w:r>
        <w:t>for a number of years, provided detailed public guidance on its associated strategy and work program.</w:t>
      </w:r>
    </w:p>
    <w:p w14:paraId="17850B67" w14:textId="77777777" w:rsidR="004D0DEA" w:rsidRPr="00D766BF" w:rsidRDefault="004D0DEA" w:rsidP="00451524">
      <w:pPr>
        <w:keepNext/>
        <w:spacing w:after="80"/>
        <w:rPr>
          <w:rFonts w:cstheme="minorHAnsi"/>
        </w:rPr>
      </w:pPr>
      <w:r w:rsidRPr="00D766BF">
        <w:rPr>
          <w:rFonts w:cstheme="minorHAnsi"/>
        </w:rPr>
        <w:t>In understanding and addressing mobile broadband growth, it is important to note that increases in mobile broadband capacity are enabled by three main factors:</w:t>
      </w:r>
    </w:p>
    <w:p w14:paraId="66133E5D" w14:textId="77777777" w:rsidR="004D0DEA" w:rsidRPr="007C5749" w:rsidRDefault="004D0DEA" w:rsidP="00451524">
      <w:pPr>
        <w:pStyle w:val="ListBullet"/>
        <w:keepNext/>
      </w:pPr>
      <w:r w:rsidRPr="007C5749">
        <w:t xml:space="preserve">access to additional spectrum or improved use of existing spectrum </w:t>
      </w:r>
    </w:p>
    <w:p w14:paraId="0B4C6EB9" w14:textId="77777777" w:rsidR="004D0DEA" w:rsidRPr="00D17AF1" w:rsidRDefault="004D0DEA" w:rsidP="0039046B">
      <w:pPr>
        <w:pStyle w:val="ListBullet"/>
      </w:pPr>
      <w:r w:rsidRPr="007C5749">
        <w:t>use of increasingly</w:t>
      </w:r>
      <w:r w:rsidRPr="00D17AF1">
        <w:t xml:space="preserve"> efficient technologies</w:t>
      </w:r>
    </w:p>
    <w:p w14:paraId="0E406921" w14:textId="77777777" w:rsidR="004D0DEA" w:rsidRPr="00D17AF1" w:rsidRDefault="004D0DEA" w:rsidP="0039046B">
      <w:pPr>
        <w:pStyle w:val="ListBulletLast"/>
      </w:pPr>
      <w:r w:rsidRPr="00D17AF1">
        <w:t>deployment of appropriate network infrastruc</w:t>
      </w:r>
      <w:r w:rsidR="00EF789B">
        <w:t>ture and topologies.</w:t>
      </w:r>
    </w:p>
    <w:p w14:paraId="580DDA1F" w14:textId="77777777" w:rsidR="004D0DEA" w:rsidRPr="000B2D7D" w:rsidRDefault="004D0DEA" w:rsidP="004D0DEA">
      <w:pPr>
        <w:rPr>
          <w:rFonts w:cs="Arial"/>
        </w:rPr>
      </w:pPr>
      <w:r>
        <w:t xml:space="preserve">The evidence suggests </w:t>
      </w:r>
      <w:r w:rsidRPr="00737F05">
        <w:t xml:space="preserve">Australia </w:t>
      </w:r>
      <w:r>
        <w:t>currently has sufficient spectrum available for mobile broadband services in the short to medium term.</w:t>
      </w:r>
      <w:r>
        <w:rPr>
          <w:rFonts w:cs="Arial"/>
        </w:rPr>
        <w:t xml:space="preserve"> However, </w:t>
      </w:r>
      <w:r>
        <w:t xml:space="preserve">long lead-times for making additional spectrum available, and the importance of </w:t>
      </w:r>
      <w:r w:rsidRPr="00196FA4">
        <w:t>international harmonisation</w:t>
      </w:r>
      <w:r>
        <w:t>,</w:t>
      </w:r>
      <w:r w:rsidRPr="00196FA4">
        <w:t xml:space="preserve"> mean </w:t>
      </w:r>
      <w:r w:rsidRPr="00027ED9">
        <w:t xml:space="preserve">that the ACMA will press ahead with work in this area. To that end, </w:t>
      </w:r>
      <w:r>
        <w:t>t</w:t>
      </w:r>
      <w:r w:rsidRPr="00D26C78">
        <w:rPr>
          <w:rFonts w:cs="Arial"/>
        </w:rPr>
        <w:t>he</w:t>
      </w:r>
      <w:r>
        <w:rPr>
          <w:rFonts w:cs="Arial"/>
        </w:rPr>
        <w:t xml:space="preserve"> ACMA released the discussion paper</w:t>
      </w:r>
      <w:r>
        <w:rPr>
          <w:rFonts w:cs="Arial"/>
          <w:szCs w:val="20"/>
          <w:lang w:val="en"/>
        </w:rPr>
        <w:t xml:space="preserve"> </w:t>
      </w:r>
      <w:hyperlink r:id="rId61" w:history="1">
        <w:r w:rsidRPr="00D26C78">
          <w:rPr>
            <w:rStyle w:val="Hyperlink"/>
            <w:rFonts w:cs="Arial"/>
            <w:i/>
            <w:iCs/>
            <w:szCs w:val="20"/>
            <w:lang w:val="en"/>
          </w:rPr>
          <w:t>Beyond 2020</w:t>
        </w:r>
        <w:r>
          <w:rPr>
            <w:rStyle w:val="Hyperlink"/>
            <w:rFonts w:cs="Arial"/>
            <w:i/>
            <w:iCs/>
            <w:szCs w:val="20"/>
            <w:lang w:val="en"/>
          </w:rPr>
          <w:t>—</w:t>
        </w:r>
        <w:r w:rsidRPr="00D26C78">
          <w:rPr>
            <w:rStyle w:val="Hyperlink"/>
            <w:rFonts w:cs="Arial"/>
            <w:i/>
            <w:iCs/>
            <w:szCs w:val="20"/>
            <w:lang w:val="en"/>
          </w:rPr>
          <w:t>A spectrum management strategy to address the growth in mobile broadband capacity</w:t>
        </w:r>
      </w:hyperlink>
      <w:r w:rsidRPr="00D26C78">
        <w:rPr>
          <w:rFonts w:cs="Arial"/>
          <w:i/>
          <w:iCs/>
          <w:szCs w:val="20"/>
          <w:lang w:val="en"/>
        </w:rPr>
        <w:t xml:space="preserve"> </w:t>
      </w:r>
      <w:r>
        <w:rPr>
          <w:rFonts w:cs="Arial"/>
          <w:szCs w:val="20"/>
          <w:lang w:val="en"/>
        </w:rPr>
        <w:t>(</w:t>
      </w:r>
      <w:r w:rsidRPr="0039046B">
        <w:rPr>
          <w:rFonts w:cs="Arial"/>
          <w:szCs w:val="20"/>
          <w:lang w:val="en"/>
        </w:rPr>
        <w:t>Beyond 2020</w:t>
      </w:r>
      <w:r>
        <w:rPr>
          <w:rFonts w:cs="Arial"/>
          <w:szCs w:val="20"/>
          <w:lang w:val="en"/>
        </w:rPr>
        <w:t xml:space="preserve">) on 10 September 2015. </w:t>
      </w:r>
      <w:r w:rsidRPr="00D26C78">
        <w:rPr>
          <w:rFonts w:cs="Arial"/>
          <w:szCs w:val="20"/>
          <w:lang w:val="en"/>
        </w:rPr>
        <w:t xml:space="preserve">The paper </w:t>
      </w:r>
      <w:r>
        <w:rPr>
          <w:rFonts w:cs="Arial"/>
          <w:szCs w:val="20"/>
          <w:lang w:val="en"/>
        </w:rPr>
        <w:t>sought</w:t>
      </w:r>
      <w:r w:rsidRPr="00D26C78">
        <w:rPr>
          <w:rFonts w:cs="Arial"/>
          <w:szCs w:val="20"/>
          <w:lang w:val="en"/>
        </w:rPr>
        <w:t xml:space="preserve"> industry feedback on the ACMA’s medium</w:t>
      </w:r>
      <w:r>
        <w:rPr>
          <w:rFonts w:cs="Arial"/>
          <w:szCs w:val="20"/>
          <w:lang w:val="en"/>
        </w:rPr>
        <w:t>-</w:t>
      </w:r>
      <w:r w:rsidRPr="00D26C78">
        <w:rPr>
          <w:rFonts w:cs="Arial"/>
          <w:szCs w:val="20"/>
          <w:lang w:val="en"/>
        </w:rPr>
        <w:t xml:space="preserve"> and longer</w:t>
      </w:r>
      <w:r>
        <w:rPr>
          <w:rFonts w:cs="Arial"/>
          <w:szCs w:val="20"/>
          <w:lang w:val="en"/>
        </w:rPr>
        <w:t>-</w:t>
      </w:r>
      <w:r w:rsidRPr="00D26C78">
        <w:rPr>
          <w:rFonts w:cs="Arial"/>
          <w:szCs w:val="20"/>
          <w:lang w:val="en"/>
        </w:rPr>
        <w:t>term planning approaches to address rising demand for mobile broadband services.</w:t>
      </w:r>
    </w:p>
    <w:p w14:paraId="2675CDE0" w14:textId="77777777" w:rsidR="004D0DEA" w:rsidRPr="00C87E11" w:rsidRDefault="004D0DEA" w:rsidP="004D0DEA">
      <w:pPr>
        <w:rPr>
          <w:rFonts w:cs="Arial"/>
        </w:rPr>
      </w:pPr>
      <w:r>
        <w:rPr>
          <w:rFonts w:cs="Arial"/>
        </w:rPr>
        <w:t xml:space="preserve">On 24 February 2016, the ACMA released its </w:t>
      </w:r>
      <w:hyperlink r:id="rId62" w:history="1">
        <w:r w:rsidRPr="00DD42A4">
          <w:rPr>
            <w:rStyle w:val="Hyperlink"/>
            <w:rFonts w:cs="Arial"/>
            <w:i/>
            <w:szCs w:val="20"/>
          </w:rPr>
          <w:t>Mobile broadband strategy—The ACMA’s spectrum management strategy to address the growth in mobile broadband capacity</w:t>
        </w:r>
      </w:hyperlink>
      <w:r w:rsidRPr="0039046B">
        <w:rPr>
          <w:rStyle w:val="Hyperlink"/>
          <w:rFonts w:cs="Arial"/>
          <w:szCs w:val="20"/>
          <w:u w:val="none"/>
        </w:rPr>
        <w:t>.</w:t>
      </w:r>
      <w:r>
        <w:rPr>
          <w:rFonts w:cs="Arial"/>
        </w:rPr>
        <w:t xml:space="preserve"> This was accompanied by an </w:t>
      </w:r>
      <w:r w:rsidRPr="00DD42A4">
        <w:rPr>
          <w:rFonts w:cs="Arial"/>
          <w:szCs w:val="20"/>
        </w:rPr>
        <w:t xml:space="preserve">associated </w:t>
      </w:r>
      <w:hyperlink r:id="rId63" w:history="1">
        <w:r w:rsidRPr="0039046B">
          <w:rPr>
            <w:rStyle w:val="Hyperlink"/>
            <w:rFonts w:cs="Arial"/>
            <w:i/>
            <w:szCs w:val="20"/>
          </w:rPr>
          <w:t>Mobile broadband work program—February 2016 update</w:t>
        </w:r>
      </w:hyperlink>
      <w:r>
        <w:rPr>
          <w:rStyle w:val="Hyperlink"/>
          <w:rFonts w:cs="Arial"/>
          <w:szCs w:val="20"/>
        </w:rPr>
        <w:t xml:space="preserve"> </w:t>
      </w:r>
      <w:r w:rsidRPr="0039046B">
        <w:t xml:space="preserve">and a </w:t>
      </w:r>
      <w:hyperlink r:id="rId64" w:history="1">
        <w:r w:rsidRPr="00140499">
          <w:rPr>
            <w:rStyle w:val="Hyperlink"/>
            <w:rFonts w:cs="Arial"/>
          </w:rPr>
          <w:t>summary</w:t>
        </w:r>
        <w:r>
          <w:rPr>
            <w:rStyle w:val="Hyperlink"/>
            <w:rFonts w:cs="Arial"/>
          </w:rPr>
          <w:t xml:space="preserve"> of</w:t>
        </w:r>
        <w:r w:rsidRPr="00140499">
          <w:rPr>
            <w:rStyle w:val="Hyperlink"/>
            <w:rFonts w:cs="Arial"/>
          </w:rPr>
          <w:t xml:space="preserve"> and response to submissions received to Beyond 2020</w:t>
        </w:r>
      </w:hyperlink>
      <w:r w:rsidRPr="00D76CB2">
        <w:rPr>
          <w:rStyle w:val="Hyperlink"/>
          <w:rFonts w:cs="Arial"/>
          <w:u w:val="none"/>
        </w:rPr>
        <w:t>.</w:t>
      </w:r>
      <w:r>
        <w:rPr>
          <w:rStyle w:val="Hyperlink"/>
          <w:rFonts w:cs="Arial"/>
        </w:rPr>
        <w:t xml:space="preserve"> </w:t>
      </w:r>
    </w:p>
    <w:p w14:paraId="1067D276" w14:textId="77777777" w:rsidR="004D0DEA" w:rsidRPr="00CA6797" w:rsidRDefault="004D0DEA" w:rsidP="004D0DEA">
      <w:r w:rsidRPr="00CA6797">
        <w:t>The ACMA has a number of mobile broadband planning projects at various stages of consideration for access to additional spectrum. Part 2 of this document contains a project update on the aspects of the ACMA’s mobile broadband work program that will be implemented over the next 12 months.</w:t>
      </w:r>
    </w:p>
    <w:p w14:paraId="7A01A24D" w14:textId="77777777" w:rsidR="004D0DEA" w:rsidRDefault="004D0DEA" w:rsidP="004D0DEA">
      <w:pPr>
        <w:rPr>
          <w:rFonts w:eastAsiaTheme="minorEastAsia"/>
        </w:rPr>
      </w:pPr>
      <w:r w:rsidRPr="00CA6797">
        <w:t xml:space="preserve">As part of its mobile broadband strategy, the ACMA committed to providing annual updates to the mobile broadband work program. </w:t>
      </w:r>
      <w:r w:rsidRPr="00CA6797">
        <w:rPr>
          <w:rFonts w:eastAsiaTheme="minorEastAsia"/>
        </w:rPr>
        <w:t xml:space="preserve">In fulfilment of this commitment, the October 2016 update of the </w:t>
      </w:r>
      <w:r>
        <w:rPr>
          <w:rFonts w:eastAsiaTheme="minorEastAsia"/>
        </w:rPr>
        <w:t>m</w:t>
      </w:r>
      <w:r w:rsidRPr="00CA6797">
        <w:rPr>
          <w:rFonts w:eastAsiaTheme="minorEastAsia"/>
        </w:rPr>
        <w:t xml:space="preserve">obile </w:t>
      </w:r>
      <w:r>
        <w:rPr>
          <w:rFonts w:eastAsiaTheme="minorEastAsia"/>
        </w:rPr>
        <w:t>b</w:t>
      </w:r>
      <w:r w:rsidRPr="00CA6797">
        <w:rPr>
          <w:rFonts w:eastAsiaTheme="minorEastAsia"/>
        </w:rPr>
        <w:t xml:space="preserve">roadband </w:t>
      </w:r>
      <w:r>
        <w:rPr>
          <w:rFonts w:eastAsiaTheme="minorEastAsia"/>
        </w:rPr>
        <w:t>w</w:t>
      </w:r>
      <w:r w:rsidRPr="00CA6797">
        <w:rPr>
          <w:rFonts w:eastAsiaTheme="minorEastAsia"/>
        </w:rPr>
        <w:t xml:space="preserve">ork </w:t>
      </w:r>
      <w:r>
        <w:rPr>
          <w:rFonts w:eastAsiaTheme="minorEastAsia"/>
        </w:rPr>
        <w:t>p</w:t>
      </w:r>
      <w:r w:rsidRPr="00CA6797">
        <w:rPr>
          <w:rFonts w:eastAsiaTheme="minorEastAsia"/>
        </w:rPr>
        <w:t>rogram is at Part</w:t>
      </w:r>
      <w:r w:rsidRPr="00C94EA4">
        <w:rPr>
          <w:rFonts w:eastAsiaTheme="minorEastAsia"/>
        </w:rPr>
        <w:t xml:space="preserve"> 3 of this document</w:t>
      </w:r>
      <w:r>
        <w:rPr>
          <w:rFonts w:eastAsiaTheme="minorEastAsia"/>
        </w:rPr>
        <w:t>.</w:t>
      </w:r>
    </w:p>
    <w:p w14:paraId="2BBC4EF9" w14:textId="77777777" w:rsidR="004D0DEA" w:rsidRDefault="004D0DEA" w:rsidP="004D0DEA">
      <w:pPr>
        <w:rPr>
          <w:rFonts w:cs="Arial"/>
        </w:rPr>
      </w:pPr>
      <w:bookmarkStart w:id="188" w:name="_Toc458084551"/>
      <w:bookmarkStart w:id="189" w:name="_Toc458608689"/>
      <w:r>
        <w:rPr>
          <w:rFonts w:cs="Arial"/>
        </w:rPr>
        <w:t xml:space="preserve">While demand for mobile broadband services has been the greatest driver </w:t>
      </w:r>
      <w:r w:rsidR="003B7080">
        <w:rPr>
          <w:rFonts w:cs="Arial"/>
        </w:rPr>
        <w:t>of</w:t>
      </w:r>
      <w:r>
        <w:rPr>
          <w:rFonts w:cs="Arial"/>
        </w:rPr>
        <w:t xml:space="preserve"> change of highest value use of spectrum in recent decades, other services continue to require access to spectrum, some at increasing and some at decreasing levels. New technologies including 5G, IoT and DSA are expected to have an effect on the demand for spectrum for various services. </w:t>
      </w:r>
    </w:p>
    <w:p w14:paraId="722E689E" w14:textId="77777777" w:rsidR="004D0DEA" w:rsidRDefault="004D0DEA" w:rsidP="004D0DEA">
      <w:pPr>
        <w:rPr>
          <w:rFonts w:cs="Arial"/>
        </w:rPr>
      </w:pPr>
      <w:r>
        <w:rPr>
          <w:rFonts w:cs="Arial"/>
        </w:rPr>
        <w:t>The ACMA has commenced a program of preparatory work to facilitate access to s</w:t>
      </w:r>
      <w:r w:rsidR="00EF789B">
        <w:rPr>
          <w:rFonts w:cs="Arial"/>
        </w:rPr>
        <w:t xml:space="preserve">pectrum for these technologies, which </w:t>
      </w:r>
      <w:r>
        <w:rPr>
          <w:rFonts w:cs="Arial"/>
        </w:rPr>
        <w:t>is discussed in the sections below. In addition to providing context and observations, the ACMA also poses specific questions on each of these areas of focus. Feedback on these matters will assist the ACMA’s considerat</w:t>
      </w:r>
      <w:r w:rsidR="00EF789B">
        <w:rPr>
          <w:rFonts w:cs="Arial"/>
        </w:rPr>
        <w:t>ion and inform its next steps.</w:t>
      </w:r>
    </w:p>
    <w:p w14:paraId="79705E25" w14:textId="77777777" w:rsidR="004D0DEA" w:rsidRDefault="004D0DEA" w:rsidP="00D07910">
      <w:pPr>
        <w:pStyle w:val="Heading3"/>
      </w:pPr>
      <w:bookmarkStart w:id="190" w:name="_Toc461107995"/>
      <w:bookmarkStart w:id="191" w:name="_Toc461194822"/>
      <w:bookmarkStart w:id="192" w:name="_Toc461445473"/>
      <w:bookmarkStart w:id="193" w:name="_Toc463351310"/>
      <w:r w:rsidRPr="007C5749">
        <w:t>5G</w:t>
      </w:r>
      <w:bookmarkEnd w:id="190"/>
      <w:bookmarkEnd w:id="191"/>
      <w:bookmarkEnd w:id="192"/>
      <w:bookmarkEnd w:id="193"/>
    </w:p>
    <w:p w14:paraId="66D8AF3E" w14:textId="77777777" w:rsidR="004D0DEA" w:rsidRDefault="004D0DEA" w:rsidP="004D0DEA">
      <w:pPr>
        <w:rPr>
          <w:rFonts w:cs="Arial"/>
          <w:lang w:val="en"/>
        </w:rPr>
      </w:pPr>
      <w:r w:rsidRPr="00B60673">
        <w:rPr>
          <w:rFonts w:cs="Arial"/>
          <w:lang w:val="en"/>
        </w:rPr>
        <w:t>With the successful establishment and relatively high take-up of 4G technologies, industry stakeholders are now looking towards the development of 5G services in the next progression of wirele</w:t>
      </w:r>
      <w:r w:rsidRPr="007C5749">
        <w:t>s</w:t>
      </w:r>
      <w:r w:rsidRPr="00B60673">
        <w:rPr>
          <w:rFonts w:cs="Arial"/>
          <w:lang w:val="en"/>
        </w:rPr>
        <w:t>s technologies.</w:t>
      </w:r>
      <w:r>
        <w:rPr>
          <w:rFonts w:cs="Arial"/>
          <w:lang w:val="en"/>
        </w:rPr>
        <w:t xml:space="preserve"> </w:t>
      </w:r>
    </w:p>
    <w:p w14:paraId="21C7DCD4" w14:textId="77777777" w:rsidR="004D0DEA" w:rsidRPr="00795641" w:rsidRDefault="004D0DEA" w:rsidP="004D0DEA">
      <w:pPr>
        <w:rPr>
          <w:lang w:val="en"/>
        </w:rPr>
      </w:pPr>
      <w:r>
        <w:rPr>
          <w:lang w:val="en"/>
        </w:rPr>
        <w:t>In February 2016, the ACMA released the o</w:t>
      </w:r>
      <w:r w:rsidRPr="00065ADA">
        <w:rPr>
          <w:lang w:val="en"/>
        </w:rPr>
        <w:t xml:space="preserve">ccasional paper </w:t>
      </w:r>
      <w:hyperlink r:id="rId65" w:history="1">
        <w:r w:rsidRPr="00C95B75">
          <w:rPr>
            <w:rStyle w:val="Hyperlink"/>
            <w:rFonts w:cs="Arial"/>
            <w:i/>
          </w:rPr>
          <w:t>5G and mobile network developments—Emerging issues</w:t>
        </w:r>
      </w:hyperlink>
      <w:r>
        <w:rPr>
          <w:lang w:val="en"/>
        </w:rPr>
        <w:t>. The paper examines</w:t>
      </w:r>
      <w:r w:rsidRPr="00065ADA">
        <w:rPr>
          <w:lang w:val="en"/>
        </w:rPr>
        <w:t xml:space="preserve"> 5G mobile developments and the opportunities that this evolution in mobile technology offers to the Australian community through increased use of mobile broadband and </w:t>
      </w:r>
      <w:r>
        <w:rPr>
          <w:lang w:val="en"/>
        </w:rPr>
        <w:t>M2M</w:t>
      </w:r>
      <w:r w:rsidRPr="00065ADA">
        <w:rPr>
          <w:lang w:val="en"/>
        </w:rPr>
        <w:t xml:space="preserve"> communication.</w:t>
      </w:r>
      <w:r>
        <w:rPr>
          <w:lang w:val="en"/>
        </w:rPr>
        <w:t xml:space="preserve"> In the paper,</w:t>
      </w:r>
      <w:r w:rsidRPr="00795641">
        <w:rPr>
          <w:lang w:val="en"/>
        </w:rPr>
        <w:t xml:space="preserve"> it was identified that enabling the next phase of mobile network development is likely to require the ACMA’s attention in a number of areas, including supporting the international harmoni</w:t>
      </w:r>
      <w:r>
        <w:rPr>
          <w:lang w:val="en"/>
        </w:rPr>
        <w:t>s</w:t>
      </w:r>
      <w:r w:rsidRPr="00795641">
        <w:rPr>
          <w:lang w:val="en"/>
        </w:rPr>
        <w:t>ation of spectrum arrangements to provide economies of scale for manufacturers and provide flow</w:t>
      </w:r>
      <w:r>
        <w:rPr>
          <w:lang w:val="en"/>
        </w:rPr>
        <w:t>-</w:t>
      </w:r>
      <w:r w:rsidRPr="00795641">
        <w:rPr>
          <w:lang w:val="en"/>
        </w:rPr>
        <w:t>through benefits to Australian consumers arising from lower device costs.</w:t>
      </w:r>
      <w:r>
        <w:rPr>
          <w:lang w:val="en"/>
        </w:rPr>
        <w:t xml:space="preserve"> These activities have been factored into the ACMA’s mobile broadband strategy and work </w:t>
      </w:r>
      <w:r w:rsidRPr="008B0DD8">
        <w:rPr>
          <w:lang w:val="en"/>
        </w:rPr>
        <w:t>program</w:t>
      </w:r>
      <w:r>
        <w:rPr>
          <w:lang w:val="en"/>
        </w:rPr>
        <w:t xml:space="preserve">. </w:t>
      </w:r>
    </w:p>
    <w:p w14:paraId="0B6F7BCC" w14:textId="77777777" w:rsidR="004D0DEA" w:rsidRPr="003F5BF2" w:rsidRDefault="004D0DEA" w:rsidP="004D0DEA">
      <w:pPr>
        <w:rPr>
          <w:color w:val="000000"/>
        </w:rPr>
      </w:pPr>
      <w:r>
        <w:t xml:space="preserve">The 5G ecosystem is developing and definitions are still fluid. </w:t>
      </w:r>
      <w:r w:rsidRPr="003F5BF2">
        <w:rPr>
          <w:color w:val="000000"/>
        </w:rPr>
        <w:t xml:space="preserve">However, there appear to be a number of defining objectives for 5G that </w:t>
      </w:r>
      <w:r>
        <w:rPr>
          <w:color w:val="000000"/>
        </w:rPr>
        <w:t>distinguish</w:t>
      </w:r>
      <w:r w:rsidRPr="003F5BF2">
        <w:rPr>
          <w:color w:val="000000"/>
        </w:rPr>
        <w:t xml:space="preserve"> it from previous developments</w:t>
      </w:r>
      <w:r>
        <w:rPr>
          <w:color w:val="000000"/>
        </w:rPr>
        <w:t>;</w:t>
      </w:r>
      <w:r w:rsidRPr="003F5BF2">
        <w:rPr>
          <w:color w:val="000000"/>
        </w:rPr>
        <w:t xml:space="preserve"> </w:t>
      </w:r>
      <w:r>
        <w:rPr>
          <w:color w:val="000000"/>
        </w:rPr>
        <w:t>including</w:t>
      </w:r>
      <w:r w:rsidRPr="003F5BF2">
        <w:rPr>
          <w:color w:val="000000"/>
        </w:rPr>
        <w:t xml:space="preserve"> </w:t>
      </w:r>
      <w:r>
        <w:rPr>
          <w:color w:val="000000"/>
        </w:rPr>
        <w:t>very low</w:t>
      </w:r>
      <w:r w:rsidRPr="003F5BF2">
        <w:rPr>
          <w:color w:val="000000"/>
        </w:rPr>
        <w:t xml:space="preserve"> latency and data rates of 1–10 Gbps.</w:t>
      </w:r>
      <w:r w:rsidRPr="00C644DD">
        <w:rPr>
          <w:rStyle w:val="FootnoteReference"/>
        </w:rPr>
        <w:footnoteReference w:id="8"/>
      </w:r>
      <w:r>
        <w:t xml:space="preserve"> In addition, integral to 5G is expected to be an ‘anytime, anywhere, anyone and anything’ capability, which is expected to play a role in supporting multiple device M2M communications and a wider deployment of the IoT in Australia.</w:t>
      </w:r>
      <w:r>
        <w:rPr>
          <w:rStyle w:val="FootnoteReference"/>
        </w:rPr>
        <w:footnoteReference w:id="9"/>
      </w:r>
      <w:r>
        <w:t xml:space="preserve"> </w:t>
      </w:r>
      <w:r w:rsidRPr="003F5BF2">
        <w:rPr>
          <w:color w:val="000000"/>
        </w:rPr>
        <w:t>From a spectrum perspective</w:t>
      </w:r>
      <w:r>
        <w:rPr>
          <w:color w:val="000000"/>
        </w:rPr>
        <w:t>,</w:t>
      </w:r>
      <w:r w:rsidRPr="003F5BF2">
        <w:rPr>
          <w:color w:val="000000"/>
        </w:rPr>
        <w:t xml:space="preserve"> 5G appears certain to u</w:t>
      </w:r>
      <w:r>
        <w:rPr>
          <w:color w:val="000000"/>
        </w:rPr>
        <w:t>se</w:t>
      </w:r>
      <w:r w:rsidRPr="003F5BF2">
        <w:rPr>
          <w:color w:val="000000"/>
        </w:rPr>
        <w:t xml:space="preserve"> (though not exclusively) large contiguous bandwidths (</w:t>
      </w:r>
      <w:r>
        <w:rPr>
          <w:color w:val="000000"/>
        </w:rPr>
        <w:t>hundreds</w:t>
      </w:r>
      <w:r w:rsidRPr="003F5BF2">
        <w:rPr>
          <w:color w:val="000000"/>
        </w:rPr>
        <w:t xml:space="preserve"> of MHz or more) in </w:t>
      </w:r>
      <w:r>
        <w:rPr>
          <w:color w:val="000000"/>
        </w:rPr>
        <w:t>millimetre wave</w:t>
      </w:r>
      <w:r w:rsidRPr="003F5BF2">
        <w:rPr>
          <w:color w:val="000000"/>
        </w:rPr>
        <w:t xml:space="preserve"> </w:t>
      </w:r>
      <w:r>
        <w:rPr>
          <w:color w:val="000000"/>
        </w:rPr>
        <w:t>(</w:t>
      </w:r>
      <w:r>
        <w:t>mmW)</w:t>
      </w:r>
      <w:r w:rsidRPr="003F5BF2">
        <w:rPr>
          <w:color w:val="000000"/>
        </w:rPr>
        <w:t xml:space="preserve"> bands.</w:t>
      </w:r>
      <w:r>
        <w:rPr>
          <w:rStyle w:val="FootnoteReference"/>
          <w:color w:val="000000"/>
        </w:rPr>
        <w:footnoteReference w:id="10"/>
      </w:r>
    </w:p>
    <w:p w14:paraId="4EECFF39" w14:textId="77777777" w:rsidR="004D0DEA" w:rsidRDefault="004D0DEA" w:rsidP="004D0DEA">
      <w:r w:rsidRPr="003F5BF2">
        <w:t xml:space="preserve">International spectrum harmonisation and technology standardisation, </w:t>
      </w:r>
      <w:r>
        <w:t>as well as</w:t>
      </w:r>
      <w:r w:rsidRPr="003F5BF2">
        <w:t xml:space="preserve"> corresponding international deployments</w:t>
      </w:r>
      <w:r w:rsidR="003B7080">
        <w:t>,</w:t>
      </w:r>
      <w:r w:rsidRPr="003F5BF2">
        <w:t xml:space="preserve"> are at an early stage. International spectrum harmonisation via the IMT framework </w:t>
      </w:r>
      <w:r>
        <w:t xml:space="preserve">within the ITU-R </w:t>
      </w:r>
      <w:r w:rsidRPr="003F5BF2">
        <w:t xml:space="preserve">and technology standardisation within </w:t>
      </w:r>
      <w:r>
        <w:t xml:space="preserve">the </w:t>
      </w:r>
      <w:r w:rsidRPr="003F5BF2">
        <w:t>3GPP are underway</w:t>
      </w:r>
      <w:r>
        <w:t xml:space="preserve">. However, these are </w:t>
      </w:r>
      <w:r w:rsidRPr="003F5BF2">
        <w:t xml:space="preserve">not expected to conclude for some time (late 2019 for IMT work at WRC-19 and mid 2018 for </w:t>
      </w:r>
      <w:r>
        <w:t xml:space="preserve">finalisation of </w:t>
      </w:r>
      <w:r w:rsidRPr="003F5BF2">
        <w:t>3GPP Release 15).</w:t>
      </w:r>
      <w:r w:rsidRPr="00995EBC">
        <w:rPr>
          <w:vertAlign w:val="superscript"/>
        </w:rPr>
        <w:footnoteReference w:id="11"/>
      </w:r>
      <w:r>
        <w:rPr>
          <w:vertAlign w:val="superscript"/>
        </w:rPr>
        <w:t xml:space="preserve"> </w:t>
      </w:r>
      <w:r w:rsidRPr="003F5BF2">
        <w:t>3GPP is envisioning deployment of phase 1 standardised 5G (Release 15) in mid-2020.</w:t>
      </w:r>
      <w:r>
        <w:rPr>
          <w:vertAlign w:val="superscript"/>
        </w:rPr>
        <w:t>2</w:t>
      </w:r>
      <w:r>
        <w:t xml:space="preserve"> However, p</w:t>
      </w:r>
      <w:r w:rsidRPr="003F5BF2">
        <w:t xml:space="preserve">rior to formal standardisation and deployment, there are a number of trials planned around the world in the short and medium term, including in the United States, Korea, China, Russia and Sweden. </w:t>
      </w:r>
      <w:r>
        <w:t>Telstra</w:t>
      </w:r>
      <w:r w:rsidRPr="00AA741B">
        <w:t xml:space="preserve"> </w:t>
      </w:r>
      <w:r>
        <w:t>has</w:t>
      </w:r>
      <w:r w:rsidRPr="00AA741B">
        <w:t xml:space="preserve"> indicated plans to conduct trials in Australi</w:t>
      </w:r>
      <w:r>
        <w:t>a during the 2018 Commonwealth G</w:t>
      </w:r>
      <w:r w:rsidRPr="00AA741B">
        <w:t>ames</w:t>
      </w:r>
      <w:r>
        <w:t>.</w:t>
      </w:r>
      <w:r>
        <w:rPr>
          <w:rStyle w:val="FootnoteReference"/>
          <w:color w:val="000000"/>
        </w:rPr>
        <w:footnoteReference w:id="12"/>
      </w:r>
    </w:p>
    <w:p w14:paraId="75081DCC" w14:textId="77777777" w:rsidR="002B1B45" w:rsidRDefault="004D0DEA" w:rsidP="00BD15BC">
      <w:pPr>
        <w:spacing w:after="120"/>
      </w:pPr>
      <w:r w:rsidRPr="003F5BF2">
        <w:t xml:space="preserve">Beyond trials, there is also </w:t>
      </w:r>
      <w:r>
        <w:t>consideration in some administrations</w:t>
      </w:r>
      <w:r w:rsidRPr="003F5BF2">
        <w:t xml:space="preserve"> of </w:t>
      </w:r>
      <w:r>
        <w:t xml:space="preserve">early </w:t>
      </w:r>
      <w:r w:rsidRPr="003F5BF2">
        <w:t xml:space="preserve">spectrum decisions on 5G, including possible full scale deployments. This includes </w:t>
      </w:r>
      <w:r>
        <w:t xml:space="preserve">the </w:t>
      </w:r>
      <w:r w:rsidRPr="003F5BF2">
        <w:t>FCC</w:t>
      </w:r>
      <w:r>
        <w:t xml:space="preserve">’s early identification of the </w:t>
      </w:r>
      <w:r w:rsidRPr="003F5BF2">
        <w:t>27.5</w:t>
      </w:r>
      <w:r>
        <w:t>–</w:t>
      </w:r>
      <w:r w:rsidRPr="003F5BF2">
        <w:t>28.35 GHz, 37</w:t>
      </w:r>
      <w:r>
        <w:t>–</w:t>
      </w:r>
      <w:r w:rsidRPr="003F5BF2">
        <w:t>40 GHz and 64</w:t>
      </w:r>
      <w:r>
        <w:t>–</w:t>
      </w:r>
      <w:r w:rsidRPr="003F5BF2">
        <w:t>71 GHz bands</w:t>
      </w:r>
      <w:r>
        <w:t xml:space="preserve"> for 5G</w:t>
      </w:r>
      <w:r w:rsidRPr="003F5BF2">
        <w:t xml:space="preserve">. In addition, </w:t>
      </w:r>
      <w:r w:rsidR="002B1B45">
        <w:t xml:space="preserve">the </w:t>
      </w:r>
      <w:r w:rsidRPr="003F5BF2">
        <w:t>Europe</w:t>
      </w:r>
      <w:r w:rsidR="002B1B45">
        <w:t>an Commissi</w:t>
      </w:r>
      <w:r w:rsidR="003B7080">
        <w:t>o</w:t>
      </w:r>
      <w:r w:rsidR="002B1B45">
        <w:t xml:space="preserve">n released its </w:t>
      </w:r>
      <w:hyperlink r:id="rId66" w:history="1">
        <w:r w:rsidR="002B1B45" w:rsidRPr="002B1B45">
          <w:rPr>
            <w:rStyle w:val="Hyperlink"/>
          </w:rPr>
          <w:t>5G Action Plan</w:t>
        </w:r>
      </w:hyperlink>
      <w:r w:rsidR="002B1B45">
        <w:t>, in whi</w:t>
      </w:r>
      <w:r w:rsidR="003B7080">
        <w:t>c</w:t>
      </w:r>
      <w:r w:rsidR="002B1B45">
        <w:t>h they state:</w:t>
      </w:r>
    </w:p>
    <w:p w14:paraId="536C111F" w14:textId="77777777" w:rsidR="002B1B45" w:rsidRPr="00BD15BC" w:rsidRDefault="002B1B45" w:rsidP="00BD15BC">
      <w:pPr>
        <w:ind w:left="426" w:right="725"/>
        <w:rPr>
          <w:sz w:val="18"/>
          <w:szCs w:val="18"/>
        </w:rPr>
      </w:pPr>
      <w:r w:rsidRPr="00BD15BC">
        <w:rPr>
          <w:sz w:val="18"/>
          <w:szCs w:val="18"/>
        </w:rPr>
        <w:t>The Commission will work with Member States and industry stakeholders towards the voluntary establishment of a common timetable for the launch of early 5G networks by the end of 2018, followed by the launch of fully commercial 5G services in Europe by the end of 2020.</w:t>
      </w:r>
    </w:p>
    <w:p w14:paraId="73D9AF65" w14:textId="77777777" w:rsidR="004D0DEA" w:rsidRDefault="002B1B45" w:rsidP="004D0DEA">
      <w:pPr>
        <w:rPr>
          <w:b/>
        </w:rPr>
      </w:pPr>
      <w:r>
        <w:t>The EC</w:t>
      </w:r>
      <w:r w:rsidR="004D0DEA" w:rsidRPr="003F5BF2">
        <w:t xml:space="preserve"> has </w:t>
      </w:r>
      <w:r>
        <w:t xml:space="preserve">also </w:t>
      </w:r>
      <w:r w:rsidR="004D0DEA" w:rsidRPr="003F5BF2">
        <w:t xml:space="preserve">flagged </w:t>
      </w:r>
      <w:r w:rsidR="004D0DEA">
        <w:t xml:space="preserve">the </w:t>
      </w:r>
      <w:r w:rsidR="004D0DEA" w:rsidRPr="003F5BF2">
        <w:t>3.4</w:t>
      </w:r>
      <w:r w:rsidR="004D0DEA">
        <w:t>–</w:t>
      </w:r>
      <w:r w:rsidR="004D0DEA" w:rsidRPr="003F5BF2">
        <w:t>3.8</w:t>
      </w:r>
      <w:r w:rsidR="004D0DEA">
        <w:t> </w:t>
      </w:r>
      <w:r w:rsidR="004D0DEA" w:rsidRPr="003F5BF2">
        <w:t>GHz</w:t>
      </w:r>
      <w:r w:rsidR="004D0DEA">
        <w:t xml:space="preserve"> band</w:t>
      </w:r>
      <w:r w:rsidR="004D0DEA" w:rsidRPr="003F5BF2">
        <w:t xml:space="preserve"> </w:t>
      </w:r>
      <w:r w:rsidR="004D0DEA">
        <w:t>as</w:t>
      </w:r>
      <w:r w:rsidR="004D0DEA" w:rsidRPr="003F5BF2">
        <w:t xml:space="preserve"> a good candidate for early 5G </w:t>
      </w:r>
      <w:r w:rsidR="004D0DEA">
        <w:t>and is also investigating early moves on mmW</w:t>
      </w:r>
      <w:r w:rsidR="004D0DEA" w:rsidDel="00AE144F">
        <w:t xml:space="preserve"> </w:t>
      </w:r>
      <w:r w:rsidR="004D0DEA">
        <w:t>spectrum options in 24.25–27.5 GHz, 31.8–33.4 GHz and 40.5–43.5 GHz.</w:t>
      </w:r>
      <w:r w:rsidR="004D0DEA">
        <w:rPr>
          <w:rStyle w:val="FootnoteReference"/>
          <w:color w:val="000000"/>
        </w:rPr>
        <w:footnoteReference w:id="13"/>
      </w:r>
    </w:p>
    <w:p w14:paraId="012AAD6E" w14:textId="77777777" w:rsidR="004D0DEA" w:rsidRDefault="004D0DEA" w:rsidP="004D0DEA">
      <w:r>
        <w:t>While there is a focus on dedicated high frequency mmW</w:t>
      </w:r>
      <w:r w:rsidDel="00AE144F">
        <w:t xml:space="preserve"> </w:t>
      </w:r>
      <w:r>
        <w:t>spectrum bands for 5G, there has been some interest in the use of lower frequency bands, including the 2.3</w:t>
      </w:r>
      <w:r w:rsidR="00EF789B">
        <w:t> </w:t>
      </w:r>
      <w:r>
        <w:t>GHz</w:t>
      </w:r>
      <w:r>
        <w:rPr>
          <w:rStyle w:val="FootnoteReference"/>
          <w:rFonts w:cs="Arial"/>
        </w:rPr>
        <w:footnoteReference w:id="14"/>
      </w:r>
      <w:r>
        <w:t>, 2.5 GHz</w:t>
      </w:r>
      <w:r>
        <w:rPr>
          <w:rStyle w:val="FootnoteReference"/>
          <w:rFonts w:cs="Arial"/>
        </w:rPr>
        <w:footnoteReference w:id="15"/>
      </w:r>
      <w:r>
        <w:t>, 3.5 GHz and 3.6 GHz bands. The 2.3 GHz, 2.5 GHz and 3.5</w:t>
      </w:r>
      <w:r w:rsidR="00EF789B">
        <w:t> </w:t>
      </w:r>
      <w:r>
        <w:t xml:space="preserve">GHz bands are already available for use for mobile broadband services in Australia and could feasibly be used for early deployment of 5G or pre-standard 5G in Australia. The 3.6 GHz band is included in the initial investigation stage of ACMA’s </w:t>
      </w:r>
      <w:r>
        <w:rPr>
          <w:szCs w:val="20"/>
        </w:rPr>
        <w:t>mobile broadband work program.</w:t>
      </w:r>
    </w:p>
    <w:p w14:paraId="5D4C12A0" w14:textId="77777777" w:rsidR="004D0DEA" w:rsidRDefault="004D0DEA" w:rsidP="004D0DEA">
      <w:pPr>
        <w:rPr>
          <w:rFonts w:cs="Arial"/>
          <w:szCs w:val="20"/>
        </w:rPr>
      </w:pPr>
      <w:r>
        <w:t>As a general proposition, the ACMA avoids establishing spectrum management arrangements that are limited to a specific technology type. In other words, the ACMA aims to be technologically flexible.</w:t>
      </w:r>
      <w:r w:rsidRPr="001B5B98">
        <w:rPr>
          <w:rFonts w:cs="Arial"/>
          <w:szCs w:val="20"/>
        </w:rPr>
        <w:t xml:space="preserve"> </w:t>
      </w:r>
      <w:r>
        <w:rPr>
          <w:rFonts w:cs="Arial"/>
          <w:szCs w:val="20"/>
        </w:rPr>
        <w:t>This technological flexibility not only provides scope for the use of a broad range of technologies, but also, ideally, the opportunity for spectrum users to migrate to newer technologies without regulatory intervention. However, it is noted that some view 5G as ‘revolutionary rather than evolutionary’ and that it will therefore require access to spectrum not currently used for mobile broadband services.</w:t>
      </w:r>
    </w:p>
    <w:p w14:paraId="4A7370C6" w14:textId="77777777" w:rsidR="004D0DEA" w:rsidRDefault="004D0DEA" w:rsidP="004D0DEA">
      <w:pPr>
        <w:rPr>
          <w:rFonts w:cs="Arial"/>
          <w:szCs w:val="20"/>
        </w:rPr>
      </w:pPr>
      <w:r>
        <w:rPr>
          <w:rFonts w:cs="Arial"/>
          <w:szCs w:val="20"/>
        </w:rPr>
        <w:t xml:space="preserve">To that end, the ACMA’s mobile broadband work program will continue to be updated to account for developments surrounding spectrum for 5G. </w:t>
      </w:r>
      <w:r w:rsidRPr="006C2467">
        <w:rPr>
          <w:color w:val="000000"/>
        </w:rPr>
        <w:t xml:space="preserve">The current </w:t>
      </w:r>
      <w:r>
        <w:rPr>
          <w:color w:val="000000"/>
        </w:rPr>
        <w:t>early</w:t>
      </w:r>
      <w:r w:rsidRPr="006C2467">
        <w:rPr>
          <w:color w:val="000000"/>
        </w:rPr>
        <w:t xml:space="preserve"> state of 5G means that there is little hard information available to inform </w:t>
      </w:r>
      <w:r w:rsidR="00EE4256">
        <w:rPr>
          <w:color w:val="000000"/>
        </w:rPr>
        <w:t xml:space="preserve">the </w:t>
      </w:r>
      <w:r w:rsidRPr="006C2467">
        <w:rPr>
          <w:color w:val="000000"/>
        </w:rPr>
        <w:t>ACMA</w:t>
      </w:r>
      <w:r w:rsidR="00EE4256">
        <w:rPr>
          <w:color w:val="000000"/>
        </w:rPr>
        <w:t>’s</w:t>
      </w:r>
      <w:r w:rsidRPr="006C2467">
        <w:rPr>
          <w:color w:val="000000"/>
        </w:rPr>
        <w:t xml:space="preserve"> thinking on spectrum management decisions. Accordingly, 5G </w:t>
      </w:r>
      <w:r>
        <w:t>mmW</w:t>
      </w:r>
      <w:r w:rsidR="00D07910">
        <w:t xml:space="preserve"> </w:t>
      </w:r>
      <w:r w:rsidRPr="006C2467">
        <w:rPr>
          <w:color w:val="000000"/>
        </w:rPr>
        <w:t xml:space="preserve">bands are at the ‘monitoring’ stage of the ACMA’s mobile broadband work program. </w:t>
      </w:r>
      <w:r>
        <w:rPr>
          <w:color w:val="000000"/>
        </w:rPr>
        <w:t xml:space="preserve">Specifically, this includes </w:t>
      </w:r>
      <w:r>
        <w:rPr>
          <w:rFonts w:cs="Arial"/>
          <w:szCs w:val="20"/>
        </w:rPr>
        <w:t xml:space="preserve">bands being studied under WRC-19 agenda item 1.13 and other bands being considered that are outside of the WRC agenda item in the United States and Korea (it is noted that the bands being contemplated in Europe are a subset of those listed under agenda item 1.13). </w:t>
      </w:r>
    </w:p>
    <w:p w14:paraId="49BA2968" w14:textId="77777777" w:rsidR="004D0DEA" w:rsidRPr="000B43B1" w:rsidRDefault="004D0DEA" w:rsidP="00BD15BC">
      <w:pPr>
        <w:pStyle w:val="BodySubHeader"/>
        <w:keepNext/>
      </w:pPr>
      <w:r w:rsidRPr="000B43B1">
        <w:t>What’s next?</w:t>
      </w:r>
    </w:p>
    <w:p w14:paraId="05D34D95" w14:textId="77777777" w:rsidR="004D0DEA" w:rsidRDefault="004D0DEA" w:rsidP="004D0DEA">
      <w:r>
        <w:t xml:space="preserve">The ACMA will continue to support industry in the development of 5G, including facilitating trials consistent with the ACMA’s </w:t>
      </w:r>
      <w:hyperlink r:id="rId67" w:history="1">
        <w:r w:rsidRPr="00DD2E8F">
          <w:rPr>
            <w:rStyle w:val="Hyperlink"/>
          </w:rPr>
          <w:t>guidelines on the trial of new radiocommunications technologies</w:t>
        </w:r>
      </w:hyperlink>
      <w:r>
        <w:t>. The ACMA notes that some of the mmW</w:t>
      </w:r>
      <w:r w:rsidDel="00AE144F">
        <w:t xml:space="preserve"> </w:t>
      </w:r>
      <w:r>
        <w:t xml:space="preserve">bands being considered for 5G have relatively low incumbency and potentially manageable co-existence challenges. It may, therefore, be relatively simple to facilitate industry trials in appropriately chosen bands and locations. </w:t>
      </w:r>
    </w:p>
    <w:p w14:paraId="1653F598" w14:textId="77777777" w:rsidR="004D0DEA" w:rsidRDefault="004D0DEA" w:rsidP="004D0DEA">
      <w:pPr>
        <w:spacing w:line="240" w:lineRule="auto"/>
        <w:rPr>
          <w:rFonts w:cs="Arial"/>
        </w:rPr>
      </w:pPr>
      <w:r>
        <w:t xml:space="preserve">The ACMA will continue to </w:t>
      </w:r>
      <w:r w:rsidRPr="00465146">
        <w:t xml:space="preserve">engage with stakeholders via the </w:t>
      </w:r>
      <w:r>
        <w:t xml:space="preserve">established </w:t>
      </w:r>
      <w:r w:rsidRPr="00465146">
        <w:t xml:space="preserve">international preparatory process to </w:t>
      </w:r>
      <w:r>
        <w:t xml:space="preserve">develop </w:t>
      </w:r>
      <w:r w:rsidRPr="00465146">
        <w:t>Australian positions</w:t>
      </w:r>
      <w:r>
        <w:t>, and where appropriate, contributions on WRC-19 agenda item 1.13 regarding spectrum harmonisation for IMT/5G</w:t>
      </w:r>
      <w:r>
        <w:rPr>
          <w:rFonts w:cs="Arial"/>
        </w:rPr>
        <w:t xml:space="preserve">. </w:t>
      </w:r>
    </w:p>
    <w:p w14:paraId="2E017EFE" w14:textId="77777777" w:rsidR="004D0DEA" w:rsidRDefault="004D0DEA" w:rsidP="004D0DEA">
      <w:pPr>
        <w:rPr>
          <w:color w:val="000000"/>
        </w:rPr>
      </w:pPr>
      <w:r>
        <w:rPr>
          <w:rFonts w:cs="Arial"/>
        </w:rPr>
        <w:t xml:space="preserve">More broadly, via the ACMA’s contingency planning model </w:t>
      </w:r>
      <w:r>
        <w:t xml:space="preserve">for consideration of additional spectrum for mobile broadband services, </w:t>
      </w:r>
      <w:r>
        <w:rPr>
          <w:rFonts w:cs="Arial"/>
        </w:rPr>
        <w:t xml:space="preserve">Australia </w:t>
      </w:r>
      <w:r>
        <w:t>is well positioned to monitor and respond to early 5G developments outside of ITU harmonisation work. The ACMA recognises t</w:t>
      </w:r>
      <w:r w:rsidRPr="006C2467">
        <w:rPr>
          <w:color w:val="000000"/>
        </w:rPr>
        <w:t xml:space="preserve">here are a number of factors that mean </w:t>
      </w:r>
      <w:r>
        <w:rPr>
          <w:rFonts w:cs="Arial"/>
        </w:rPr>
        <w:t xml:space="preserve">it may be appropriate for some 5G </w:t>
      </w:r>
      <w:r w:rsidRPr="00AE144F">
        <w:t>mmW</w:t>
      </w:r>
      <w:r w:rsidRPr="0039046B" w:rsidDel="00AE144F">
        <w:rPr>
          <w:rFonts w:cs="Arial"/>
        </w:rPr>
        <w:t xml:space="preserve"> </w:t>
      </w:r>
      <w:r w:rsidRPr="00AE144F">
        <w:rPr>
          <w:rFonts w:cs="Arial"/>
        </w:rPr>
        <w:t>bands</w:t>
      </w:r>
      <w:r>
        <w:rPr>
          <w:rFonts w:cs="Arial"/>
        </w:rPr>
        <w:t xml:space="preserve"> to rapidly progress beyond the formal monitoring stage in the ACMA’s mobile broadband work program.</w:t>
      </w:r>
      <w:r>
        <w:rPr>
          <w:color w:val="000000"/>
        </w:rPr>
        <w:t xml:space="preserve"> For example, recent FCC announcements have provided the first </w:t>
      </w:r>
      <w:r w:rsidRPr="006C2467">
        <w:rPr>
          <w:color w:val="000000"/>
        </w:rPr>
        <w:t>firm 5G regulatory decisions</w:t>
      </w:r>
      <w:r>
        <w:rPr>
          <w:color w:val="000000"/>
        </w:rPr>
        <w:t xml:space="preserve"> in a major market that may trigger a viable ecosystem development</w:t>
      </w:r>
      <w:r w:rsidRPr="006C2467">
        <w:rPr>
          <w:color w:val="000000"/>
        </w:rPr>
        <w:t>. This will be a turning point in the 5G spectrum debate</w:t>
      </w:r>
      <w:r>
        <w:rPr>
          <w:color w:val="000000"/>
        </w:rPr>
        <w:t>,</w:t>
      </w:r>
      <w:r w:rsidRPr="006C2467">
        <w:rPr>
          <w:color w:val="000000"/>
        </w:rPr>
        <w:t xml:space="preserve"> </w:t>
      </w:r>
      <w:r>
        <w:rPr>
          <w:color w:val="000000"/>
        </w:rPr>
        <w:t>providing the first</w:t>
      </w:r>
      <w:r w:rsidRPr="006C2467">
        <w:rPr>
          <w:color w:val="000000"/>
        </w:rPr>
        <w:t xml:space="preserve"> concrete outcomes that create the possibility for detailed</w:t>
      </w:r>
      <w:r>
        <w:rPr>
          <w:color w:val="000000"/>
        </w:rPr>
        <w:t xml:space="preserve">, informed </w:t>
      </w:r>
      <w:r w:rsidRPr="006C2467">
        <w:rPr>
          <w:color w:val="000000"/>
        </w:rPr>
        <w:t>consideration</w:t>
      </w:r>
      <w:r>
        <w:rPr>
          <w:color w:val="000000"/>
        </w:rPr>
        <w:t xml:space="preserve"> of bands in Australia</w:t>
      </w:r>
      <w:r w:rsidRPr="006C2467">
        <w:rPr>
          <w:color w:val="000000"/>
        </w:rPr>
        <w:t>.</w:t>
      </w:r>
    </w:p>
    <w:p w14:paraId="0A71A7A6" w14:textId="77777777" w:rsidR="004D0DEA" w:rsidRDefault="004D0DEA" w:rsidP="004D0DEA">
      <w:r>
        <w:t>Recognising that these developments may occur rapidly, the</w:t>
      </w:r>
      <w:r w:rsidR="00001D11">
        <w:t xml:space="preserve"> ACMA will</w:t>
      </w:r>
      <w:r>
        <w:t xml:space="preserve"> engage with industry prior to the next annual update of the ACMA mobile broadband work program to discuss possible progression of 5G mmW</w:t>
      </w:r>
      <w:r w:rsidDel="00AE144F">
        <w:t xml:space="preserve"> </w:t>
      </w:r>
      <w:r>
        <w:t xml:space="preserve">bands beyond the monitoring stage. The appropriateness and timing of any such actions will depend heavily on the availability of adequate information for the ACMA and industry to develop informed opinions on the matter. In addition, careful consideration </w:t>
      </w:r>
      <w:r w:rsidR="008B0DD8">
        <w:t xml:space="preserve">of other spectrum management activities, including those within the mobile broadband space, </w:t>
      </w:r>
      <w:r>
        <w:t>will need to be given to the priority of this issue.</w:t>
      </w:r>
    </w:p>
    <w:p w14:paraId="453948D2" w14:textId="77777777" w:rsidR="004D0DEA" w:rsidRDefault="004D0DEA" w:rsidP="004D0DEA">
      <w:r>
        <w:t>An important consideration in any such discussion would be: what is the most appropriate approach for Australia and the ACMA to adopt in the development of 5G spectrum arrangements in the mmW</w:t>
      </w:r>
      <w:r w:rsidDel="00AE144F">
        <w:t xml:space="preserve"> </w:t>
      </w:r>
      <w:r>
        <w:t xml:space="preserve">bands? For example, is a conventional or traditional approach appropriate, whereby Australia would wait until there were clear signs of a harmonised, widespread ecosystem developing in a band before it was seriously considered domestically? Or should a more proactive approach be adopted that would potentially make available bands very early in a more speculative manner? There are clearly benefits and risks associated with each approach and these would depend strongly on the band being considered. </w:t>
      </w:r>
    </w:p>
    <w:p w14:paraId="41AB7F00" w14:textId="1AE19388" w:rsidR="004D0DEA" w:rsidRDefault="001C1022" w:rsidP="004D0DEA">
      <w:pPr>
        <w:spacing w:after="80"/>
      </w:pPr>
      <w:r>
        <w:t xml:space="preserve">Complementary to this discussion on 5G in the </w:t>
      </w:r>
      <w:r w:rsidR="005F67F9" w:rsidRPr="005F67F9">
        <w:rPr>
          <w:iCs/>
        </w:rPr>
        <w:t>mmW bands, and as outline</w:t>
      </w:r>
      <w:r w:rsidR="00BD15BC">
        <w:rPr>
          <w:iCs/>
        </w:rPr>
        <w:t xml:space="preserve">d in the </w:t>
      </w:r>
      <w:hyperlink w:anchor="MBB" w:history="1">
        <w:r w:rsidR="00BD15BC" w:rsidRPr="00BD15BC">
          <w:rPr>
            <w:rStyle w:val="Hyperlink"/>
            <w:iCs/>
          </w:rPr>
          <w:t>mobile broadband work p</w:t>
        </w:r>
        <w:r w:rsidR="005F67F9" w:rsidRPr="00BD15BC">
          <w:rPr>
            <w:rStyle w:val="Hyperlink"/>
            <w:iCs/>
          </w:rPr>
          <w:t>rogram</w:t>
        </w:r>
      </w:hyperlink>
      <w:r w:rsidR="005F67F9" w:rsidRPr="005F67F9">
        <w:rPr>
          <w:iCs/>
        </w:rPr>
        <w:t xml:space="preserve"> section of the FYSO, the ACMA will be releasing a paper on the 3.6 GHz band that will investigate the pos</w:t>
      </w:r>
      <w:r w:rsidR="00EE4256">
        <w:rPr>
          <w:iCs/>
        </w:rPr>
        <w:t>sibility of using the band for m</w:t>
      </w:r>
      <w:r w:rsidR="005F67F9" w:rsidRPr="005F67F9">
        <w:rPr>
          <w:iCs/>
        </w:rPr>
        <w:t>obile broadband purposes.  Given the increasing worldwide interest in this band for</w:t>
      </w:r>
      <w:r w:rsidR="00EE4256">
        <w:rPr>
          <w:iCs/>
        </w:rPr>
        <w:t xml:space="preserve"> early 5G deployment, this near-</w:t>
      </w:r>
      <w:r w:rsidR="005F67F9" w:rsidRPr="005F67F9">
        <w:rPr>
          <w:iCs/>
        </w:rPr>
        <w:t xml:space="preserve">term ACMA action supports early consideration of spectrum for 5G in Australia. </w:t>
      </w:r>
      <w:r w:rsidR="004D0DEA" w:rsidRPr="0039046B">
        <w:t>To assist the ACMA in its considerations on this issue in the context of its broader mobile broadband work program (see Part 3), comment (along with supporting evidence) is requested on the following questions:</w:t>
      </w:r>
    </w:p>
    <w:p w14:paraId="6B33ED40" w14:textId="77777777" w:rsidR="004D0DEA" w:rsidRDefault="004D0DEA" w:rsidP="004D0DEA">
      <w:pPr>
        <w:pStyle w:val="ListNumber"/>
        <w:numPr>
          <w:ilvl w:val="0"/>
          <w:numId w:val="70"/>
        </w:numPr>
      </w:pPr>
      <w:r>
        <w:t>When, or under what circumstances, would it be appropriate for potential 5G mmW</w:t>
      </w:r>
      <w:r w:rsidDel="00AE144F">
        <w:t xml:space="preserve"> </w:t>
      </w:r>
      <w:r>
        <w:t xml:space="preserve">bands to progress beyond ‘monitoring’ in the ACMA’s </w:t>
      </w:r>
      <w:r w:rsidR="00D07910">
        <w:t xml:space="preserve">mobile broadband work program? </w:t>
      </w:r>
    </w:p>
    <w:p w14:paraId="4221B0AD" w14:textId="77777777" w:rsidR="004D0DEA" w:rsidRDefault="004D0DEA" w:rsidP="004D0DEA">
      <w:pPr>
        <w:pStyle w:val="ListNumber"/>
        <w:numPr>
          <w:ilvl w:val="0"/>
          <w:numId w:val="70"/>
        </w:numPr>
      </w:pPr>
      <w:r>
        <w:t xml:space="preserve">What is the relative priority of investigation of </w:t>
      </w:r>
      <w:r w:rsidRPr="00AE144F">
        <w:t>mmW bands</w:t>
      </w:r>
      <w:r>
        <w:t xml:space="preserve"> versus other potential mobile broadband bands below 6 GHz?</w:t>
      </w:r>
    </w:p>
    <w:p w14:paraId="2183C394" w14:textId="77777777" w:rsidR="004D0DEA" w:rsidRDefault="004D0DEA" w:rsidP="004D0DEA">
      <w:pPr>
        <w:pStyle w:val="ListNumber"/>
        <w:numPr>
          <w:ilvl w:val="0"/>
          <w:numId w:val="70"/>
        </w:numPr>
      </w:pPr>
      <w:r>
        <w:t>What disposition should the ACMA adopt in progressing possible 5G mmW bands? Specifically, is a traditional approach appropriate, where Australia would wait until there were clear signs of a harmonised, widespread ecosystem developing in a band before it was seriously considered domestically? Or should a more proactive approach be adopted that would potentially make available bands very early in a more speculative manner? What are the benefits and risks to each approach?</w:t>
      </w:r>
    </w:p>
    <w:p w14:paraId="56F2B95D" w14:textId="77777777" w:rsidR="004D0DEA" w:rsidRDefault="004D0DEA" w:rsidP="004D0DEA">
      <w:pPr>
        <w:pStyle w:val="ListNumber"/>
        <w:numPr>
          <w:ilvl w:val="0"/>
          <w:numId w:val="70"/>
        </w:numPr>
      </w:pPr>
      <w:r>
        <w:t>What bands are the most mature in terms of possible early moves on 5G mmW</w:t>
      </w:r>
      <w:r w:rsidDel="00AE144F">
        <w:t xml:space="preserve"> </w:t>
      </w:r>
      <w:r>
        <w:t xml:space="preserve">bands? </w:t>
      </w:r>
    </w:p>
    <w:p w14:paraId="38BE1242" w14:textId="77777777" w:rsidR="004D0DEA" w:rsidRDefault="004D0DEA" w:rsidP="004D0DEA">
      <w:pPr>
        <w:pStyle w:val="ListNumber"/>
        <w:numPr>
          <w:ilvl w:val="0"/>
          <w:numId w:val="70"/>
        </w:numPr>
      </w:pPr>
      <w:r>
        <w:t>What technical considerations are relevant to possible early moves on 5G mmW</w:t>
      </w:r>
      <w:r w:rsidDel="00AE144F">
        <w:t xml:space="preserve"> </w:t>
      </w:r>
      <w:r>
        <w:t>bands? For example, what is the minimum contiguous bandwidth considered suitable for individual licences and the industry as a whole? Are some of these considerations flexible in order to support an early move?</w:t>
      </w:r>
    </w:p>
    <w:p w14:paraId="6ECF2FE9" w14:textId="77777777" w:rsidR="004D0DEA" w:rsidRPr="0017281B" w:rsidRDefault="004D0DEA" w:rsidP="004D0DEA">
      <w:pPr>
        <w:pStyle w:val="ListNumber"/>
        <w:numPr>
          <w:ilvl w:val="0"/>
          <w:numId w:val="70"/>
        </w:numPr>
      </w:pPr>
      <w:r>
        <w:t>What spectrum sharing and incumbency considerations will be most relevant to 5G mmW</w:t>
      </w:r>
      <w:r w:rsidDel="00AE144F">
        <w:t xml:space="preserve"> </w:t>
      </w:r>
      <w:r>
        <w:t>bands (a</w:t>
      </w:r>
      <w:r w:rsidRPr="0017281B">
        <w:t>cknowledging that the answer will depend on the specific band under consideration</w:t>
      </w:r>
      <w:r>
        <w:t>)?</w:t>
      </w:r>
    </w:p>
    <w:p w14:paraId="1D6DF7DB" w14:textId="77777777" w:rsidR="004D0DEA" w:rsidRPr="004743B7" w:rsidRDefault="004D0DEA" w:rsidP="004D0DEA">
      <w:pPr>
        <w:pStyle w:val="ListNumber"/>
        <w:numPr>
          <w:ilvl w:val="0"/>
          <w:numId w:val="70"/>
        </w:numPr>
        <w:spacing w:after="240"/>
      </w:pPr>
      <w:r>
        <w:t>Do the mmW bands offer opportunities for new spectrum sharing and/or licensing approaches? If so, what opportu</w:t>
      </w:r>
      <w:r w:rsidR="00EE4256">
        <w:t>nities should be investigated?</w:t>
      </w:r>
    </w:p>
    <w:p w14:paraId="1ECA49ED" w14:textId="77777777" w:rsidR="004D0DEA" w:rsidRDefault="004D0DEA" w:rsidP="00BD15BC">
      <w:pPr>
        <w:pStyle w:val="Heading3"/>
      </w:pPr>
      <w:bookmarkStart w:id="194" w:name="_Toc461107996"/>
      <w:bookmarkStart w:id="195" w:name="_Toc461194823"/>
      <w:bookmarkStart w:id="196" w:name="_Toc461445474"/>
      <w:bookmarkStart w:id="197" w:name="_Toc463351311"/>
      <w:r>
        <w:t>Internet of things</w:t>
      </w:r>
      <w:bookmarkEnd w:id="194"/>
      <w:bookmarkEnd w:id="195"/>
      <w:bookmarkEnd w:id="196"/>
      <w:r w:rsidR="009F4621">
        <w:t xml:space="preserve"> (IoT)</w:t>
      </w:r>
      <w:bookmarkEnd w:id="197"/>
    </w:p>
    <w:p w14:paraId="5182D9DF" w14:textId="77777777" w:rsidR="004D0DEA" w:rsidRDefault="004D0DEA" w:rsidP="004D0DEA">
      <w:r>
        <w:t xml:space="preserve">The </w:t>
      </w:r>
      <w:r w:rsidRPr="00D9417B">
        <w:t xml:space="preserve">IoT is one of a number of developing wireless </w:t>
      </w:r>
      <w:r>
        <w:t>applications</w:t>
      </w:r>
      <w:r w:rsidRPr="00D9417B">
        <w:t xml:space="preserve"> that require access </w:t>
      </w:r>
      <w:r>
        <w:t xml:space="preserve">to </w:t>
      </w:r>
      <w:r w:rsidRPr="00D9417B">
        <w:t>radiofrequency spectrum for operation.</w:t>
      </w:r>
      <w:r>
        <w:t xml:space="preserve"> </w:t>
      </w:r>
      <w:r w:rsidRPr="00E94B2A">
        <w:t xml:space="preserve">In November 2015, the ACMA released </w:t>
      </w:r>
      <w:r>
        <w:t>an</w:t>
      </w:r>
      <w:r w:rsidRPr="00E94B2A">
        <w:t xml:space="preserve"> </w:t>
      </w:r>
      <w:r>
        <w:t>o</w:t>
      </w:r>
      <w:r w:rsidRPr="00E94B2A">
        <w:t>ccasional paper</w:t>
      </w:r>
      <w:r>
        <w:t>,</w:t>
      </w:r>
      <w:r w:rsidRPr="00E94B2A">
        <w:t xml:space="preserve"> </w:t>
      </w:r>
      <w:hyperlink r:id="rId68" w:history="1">
        <w:r w:rsidRPr="00E94B2A">
          <w:rPr>
            <w:rStyle w:val="Hyperlink"/>
            <w:rFonts w:cs="Arial"/>
            <w:i/>
          </w:rPr>
          <w:t>The Internet of Things and the ACMA’s areas of focus</w:t>
        </w:r>
      </w:hyperlink>
      <w:r w:rsidRPr="0039046B">
        <w:rPr>
          <w:rStyle w:val="Hyperlink"/>
          <w:rFonts w:cs="Arial"/>
          <w:u w:val="none"/>
        </w:rPr>
        <w:t>,</w:t>
      </w:r>
      <w:r w:rsidRPr="00E94B2A">
        <w:t xml:space="preserve"> which explored Australia’s state of readiness for IoT and areas where the ACMA can further facilitate IoT developments.</w:t>
      </w:r>
      <w:r>
        <w:t xml:space="preserve"> The</w:t>
      </w:r>
      <w:r w:rsidRPr="00E94B2A">
        <w:t xml:space="preserve"> paper identified </w:t>
      </w:r>
      <w:r>
        <w:t xml:space="preserve">spectrum </w:t>
      </w:r>
      <w:r w:rsidRPr="00E94B2A">
        <w:t xml:space="preserve">as an infrastructure and device enabler for IoT. </w:t>
      </w:r>
    </w:p>
    <w:p w14:paraId="23ED1283" w14:textId="77777777" w:rsidR="004D0DEA" w:rsidRDefault="004D0DEA" w:rsidP="004D0DEA">
      <w:r w:rsidRPr="00522B6B">
        <w:t xml:space="preserve">Given the diverse range of uses and users of IoT, </w:t>
      </w:r>
      <w:r>
        <w:t>these applications are being deployed across a broad range of radiofrequency bands under a mixture of spectrum authorisation protocols.</w:t>
      </w:r>
      <w:r w:rsidRPr="00E94B2A">
        <w:t xml:space="preserve"> </w:t>
      </w:r>
      <w:r>
        <w:t>This is illustrated i</w:t>
      </w:r>
      <w:r w:rsidRPr="009F4621">
        <w:t xml:space="preserve">n Figure </w:t>
      </w:r>
      <w:r w:rsidR="009F4621" w:rsidRPr="0039046B">
        <w:t>4</w:t>
      </w:r>
      <w:r w:rsidRPr="009F4621">
        <w:t>.</w:t>
      </w:r>
    </w:p>
    <w:p w14:paraId="58EBDE8A" w14:textId="77777777" w:rsidR="004D0DEA" w:rsidRPr="009F4621" w:rsidRDefault="004D0DEA" w:rsidP="00DF0BA7">
      <w:pPr>
        <w:pStyle w:val="ACMAFigureHeader"/>
        <w:keepNext/>
        <w:tabs>
          <w:tab w:val="clear" w:pos="3574"/>
          <w:tab w:val="num" w:pos="993"/>
        </w:tabs>
        <w:ind w:left="993"/>
      </w:pPr>
      <w:r w:rsidRPr="009F4621">
        <w:t>Spectrum available for IoT applications</w:t>
      </w:r>
    </w:p>
    <w:p w14:paraId="6BC541C0" w14:textId="77777777" w:rsidR="004D0DEA" w:rsidRPr="007A340F" w:rsidRDefault="00FB0106" w:rsidP="00FB0106">
      <w:pPr>
        <w:keepNext/>
        <w:keepLines/>
        <w:spacing w:after="0"/>
        <w:rPr>
          <w:rFonts w:cs="Arial"/>
        </w:rPr>
      </w:pPr>
      <w:r>
        <w:rPr>
          <w:rFonts w:cs="Arial"/>
          <w:noProof/>
        </w:rPr>
        <w:drawing>
          <wp:inline distT="0" distB="0" distL="0" distR="0" wp14:anchorId="4CAAFE19" wp14:editId="753D90BB">
            <wp:extent cx="5270504" cy="3012108"/>
            <wp:effectExtent l="0" t="0" r="6350" b="0"/>
            <wp:docPr id="7" name="Picture 7" descr="Includes dedicated and shared spectrum and example bands." title="Spectrum available for IoT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ew diagram for FYSO.jpg"/>
                    <pic:cNvPicPr/>
                  </pic:nvPicPr>
                  <pic:blipFill>
                    <a:blip r:embed="rId69">
                      <a:extLst>
                        <a:ext uri="{28A0092B-C50C-407E-A947-70E740481C1C}">
                          <a14:useLocalDpi xmlns:a14="http://schemas.microsoft.com/office/drawing/2010/main" val="0"/>
                        </a:ext>
                      </a:extLst>
                    </a:blip>
                    <a:stretch>
                      <a:fillRect/>
                    </a:stretch>
                  </pic:blipFill>
                  <pic:spPr>
                    <a:xfrm>
                      <a:off x="0" y="0"/>
                      <a:ext cx="5291517" cy="3024117"/>
                    </a:xfrm>
                    <a:prstGeom prst="rect">
                      <a:avLst/>
                    </a:prstGeom>
                  </pic:spPr>
                </pic:pic>
              </a:graphicData>
            </a:graphic>
          </wp:inline>
        </w:drawing>
      </w:r>
    </w:p>
    <w:p w14:paraId="097858FE" w14:textId="77777777" w:rsidR="004D0DEA" w:rsidRPr="007A340F" w:rsidRDefault="004D0DEA" w:rsidP="004D0DEA">
      <w:pPr>
        <w:pStyle w:val="ListBullet"/>
        <w:numPr>
          <w:ilvl w:val="0"/>
          <w:numId w:val="0"/>
        </w:numPr>
        <w:spacing w:after="240"/>
        <w:rPr>
          <w:rFonts w:cs="Arial"/>
        </w:rPr>
      </w:pPr>
      <w:r w:rsidRPr="007A340F">
        <w:rPr>
          <w:rFonts w:cs="Arial"/>
          <w:i/>
          <w:sz w:val="16"/>
          <w:szCs w:val="16"/>
        </w:rPr>
        <w:t>Source: ACMA, based on Ofcom model 2015, updated for Australian spectrum band plans.</w:t>
      </w:r>
    </w:p>
    <w:p w14:paraId="68FAADA9" w14:textId="77777777" w:rsidR="004D0DEA" w:rsidRDefault="004D0DEA" w:rsidP="004D0DEA">
      <w:r w:rsidRPr="00C34CFF">
        <w:t xml:space="preserve">In many cases, </w:t>
      </w:r>
      <w:r>
        <w:t xml:space="preserve">there is radiofrequency spectrum already available for use for IoT applications. For example, because IoT applications using ‘commons’ spectrum do not require individual licensing, they can be rolled out now provided they comply with the technical requirements that are in place. A further example is IoT applications on networks using spectrum that is already licensed, such as existing cellular networks. These applications can and are being deployed in a range of bands within the existing regulatory framework, in cooperation with existing licensees. </w:t>
      </w:r>
    </w:p>
    <w:p w14:paraId="73E51EBB" w14:textId="77777777" w:rsidR="004D0DEA" w:rsidRPr="004154AB" w:rsidRDefault="004D0DEA" w:rsidP="004D0DEA">
      <w:r>
        <w:t xml:space="preserve">Given the </w:t>
      </w:r>
      <w:r w:rsidRPr="004154AB">
        <w:t>huge diversity of users and uses of IoT, there is no one simple solution to spectrum access for all of these applications. IoT is trending towards requiring access to a range of different bands under a range of access protocols, from dedicated spectrum to ‘commons’ spectrum</w:t>
      </w:r>
      <w:r>
        <w:t>,</w:t>
      </w:r>
      <w:r w:rsidRPr="004154AB">
        <w:t xml:space="preserve"> and options in between. Therefore, the ACMA is monitoring developments in IoT to ensure that all relevant spectrum arrangements take into account these emerging applications. While facilitating international harmonisation is a key goal of </w:t>
      </w:r>
      <w:r>
        <w:t xml:space="preserve">the </w:t>
      </w:r>
      <w:r w:rsidRPr="004154AB">
        <w:t xml:space="preserve">ACMA’s spectrum management, the different spectrum arrangements between Australia and other regions and individual countries mean that not all overseas solutions can be adopted in Australia. </w:t>
      </w:r>
    </w:p>
    <w:p w14:paraId="37D8F32E" w14:textId="77777777" w:rsidR="004D0DEA" w:rsidRPr="00774BC7" w:rsidRDefault="004D0DEA" w:rsidP="004D0DEA">
      <w:r>
        <w:t>For</w:t>
      </w:r>
      <w:r w:rsidRPr="00774BC7">
        <w:t xml:space="preserve"> low power, low data </w:t>
      </w:r>
      <w:r>
        <w:t>r</w:t>
      </w:r>
      <w:r w:rsidRPr="00774BC7">
        <w:t>ate</w:t>
      </w:r>
      <w:r>
        <w:t xml:space="preserve"> communications specifically geared towards </w:t>
      </w:r>
      <w:r w:rsidRPr="00774BC7">
        <w:t>IoT applications using the 900 MHz band, as part of the implementation of the ACMA’s review of the 803</w:t>
      </w:r>
      <w:r w:rsidRPr="00774BC7">
        <w:rPr>
          <w:rFonts w:hint="eastAsia"/>
        </w:rPr>
        <w:t>–</w:t>
      </w:r>
      <w:r w:rsidRPr="00774BC7">
        <w:t>960</w:t>
      </w:r>
      <w:r w:rsidRPr="00774BC7">
        <w:rPr>
          <w:rFonts w:hint="eastAsia"/>
        </w:rPr>
        <w:t> </w:t>
      </w:r>
      <w:r w:rsidRPr="00774BC7">
        <w:t>MHz band, the ACMA has taken steps to make new</w:t>
      </w:r>
      <w:r w:rsidRPr="00F8373D">
        <w:t xml:space="preserve"> spectrum available </w:t>
      </w:r>
      <w:r>
        <w:t>to support</w:t>
      </w:r>
      <w:r w:rsidRPr="00F8373D">
        <w:t xml:space="preserve"> a range of applications, including </w:t>
      </w:r>
      <w:r>
        <w:t xml:space="preserve">M2M </w:t>
      </w:r>
      <w:r w:rsidRPr="00F8373D">
        <w:t xml:space="preserve">applications such as automation, switching, metering and control. </w:t>
      </w:r>
      <w:r>
        <w:t xml:space="preserve">While permanent arrangements in this new band are not set to be in place until 2021, early access will be considered on a case-by-case basis, subject to compatibility with incumbent services and compliance with the conditions of those permanent arrangements.  </w:t>
      </w:r>
    </w:p>
    <w:p w14:paraId="18F6004F" w14:textId="77777777" w:rsidR="004D0DEA" w:rsidRDefault="004D0DEA" w:rsidP="004D0DEA">
      <w:r>
        <w:t xml:space="preserve">In a second initiative, class licensing arrangements for existing spectrum in the ‘commons’ part of the 900 MHz band (915–928 MHz) were recently </w:t>
      </w:r>
      <w:r w:rsidRPr="001B6DC5">
        <w:t xml:space="preserve">updated </w:t>
      </w:r>
      <w:r>
        <w:t>to better facilitate</w:t>
      </w:r>
      <w:r w:rsidRPr="00774BC7">
        <w:t xml:space="preserve"> the use of low data rate </w:t>
      </w:r>
      <w:r>
        <w:t>M2M</w:t>
      </w:r>
      <w:r w:rsidRPr="00774BC7">
        <w:t xml:space="preserve"> wireless internet interconnections.</w:t>
      </w:r>
    </w:p>
    <w:p w14:paraId="30768CF3" w14:textId="77777777" w:rsidR="004D0DEA" w:rsidRPr="00E94B2A" w:rsidRDefault="004D0DEA" w:rsidP="00AA40EB">
      <w:pPr>
        <w:pStyle w:val="BodySubHeader"/>
        <w:keepNext/>
      </w:pPr>
      <w:r w:rsidRPr="00E94B2A">
        <w:t>What’s next?</w:t>
      </w:r>
    </w:p>
    <w:p w14:paraId="4F0A0D3C" w14:textId="77777777" w:rsidR="004D0DEA" w:rsidRDefault="004D0DEA" w:rsidP="004D0DEA">
      <w:r w:rsidRPr="004154AB">
        <w:t xml:space="preserve">The ACMA is working with industry to </w:t>
      </w:r>
      <w:r>
        <w:t>raise awareness and examine adequacy of</w:t>
      </w:r>
      <w:r w:rsidRPr="004154AB">
        <w:t xml:space="preserve"> spectrum </w:t>
      </w:r>
      <w:r>
        <w:t xml:space="preserve">arrangements </w:t>
      </w:r>
      <w:r w:rsidRPr="004154AB">
        <w:t xml:space="preserve">for IoT. </w:t>
      </w:r>
      <w:r w:rsidRPr="0082477D">
        <w:t xml:space="preserve">The </w:t>
      </w:r>
      <w:r>
        <w:t>IoT</w:t>
      </w:r>
      <w:r w:rsidRPr="0082477D">
        <w:t xml:space="preserve"> Alliance Australia (I</w:t>
      </w:r>
      <w:r>
        <w:t>o</w:t>
      </w:r>
      <w:r w:rsidRPr="0082477D">
        <w:t xml:space="preserve">TAA) was established in February 2016 </w:t>
      </w:r>
      <w:r>
        <w:t xml:space="preserve">and officially launched in July 2016 </w:t>
      </w:r>
      <w:r w:rsidRPr="0082477D">
        <w:t xml:space="preserve">to shape the regulatory and collaborative framework to harness the opportunities generated by the </w:t>
      </w:r>
      <w:r>
        <w:t>IoT</w:t>
      </w:r>
      <w:r w:rsidRPr="008C5645">
        <w:t xml:space="preserve"> </w:t>
      </w:r>
      <w:r w:rsidRPr="0082477D">
        <w:t>for Australian industry. The I</w:t>
      </w:r>
      <w:r>
        <w:t>o</w:t>
      </w:r>
      <w:r w:rsidRPr="0082477D">
        <w:t xml:space="preserve">TAA </w:t>
      </w:r>
      <w:r w:rsidR="00001D11">
        <w:t>grew</w:t>
      </w:r>
      <w:r w:rsidRPr="0082477D">
        <w:t xml:space="preserve"> from the Communications Alliance IoT think tank, established in June 2015. The I</w:t>
      </w:r>
      <w:r>
        <w:t>o</w:t>
      </w:r>
      <w:r w:rsidRPr="0082477D">
        <w:t xml:space="preserve">TAA includes six work streams across key IoT enablers and inhibitors, including a work stream on spectrum. </w:t>
      </w:r>
    </w:p>
    <w:p w14:paraId="4FAA9129" w14:textId="77777777" w:rsidR="004D0DEA" w:rsidRPr="004154AB" w:rsidRDefault="004D0DEA" w:rsidP="004D0DEA">
      <w:r w:rsidRPr="004154AB">
        <w:t>The ACMA is an observer on the Executive Council of the I</w:t>
      </w:r>
      <w:r>
        <w:t>o</w:t>
      </w:r>
      <w:r w:rsidRPr="004154AB">
        <w:t>T</w:t>
      </w:r>
      <w:r>
        <w:t>AA and</w:t>
      </w:r>
      <w:r w:rsidRPr="004154AB">
        <w:t xml:space="preserve"> chairs the spectrum work</w:t>
      </w:r>
      <w:r>
        <w:t xml:space="preserve"> </w:t>
      </w:r>
      <w:r w:rsidRPr="004154AB">
        <w:t>stream of the IoT Alliance. The aim of this work stream, which includes a range of IoT stakeholders, is to address the spectrum settings and licensing needs for IoT generally</w:t>
      </w:r>
      <w:r>
        <w:t>,</w:t>
      </w:r>
      <w:r w:rsidRPr="004154AB">
        <w:t xml:space="preserve"> with a focus on spectrum for low bit rate wireless services, such as low pow</w:t>
      </w:r>
      <w:r w:rsidR="00FB0106">
        <w:t>er, wide-</w:t>
      </w:r>
      <w:r w:rsidRPr="004154AB">
        <w:t xml:space="preserve">area applications.  </w:t>
      </w:r>
    </w:p>
    <w:p w14:paraId="5D8FADFB" w14:textId="77777777" w:rsidR="004D0DEA" w:rsidRPr="0082477D" w:rsidRDefault="004D0DEA" w:rsidP="004D0DEA">
      <w:r w:rsidRPr="0082477D">
        <w:t>Studies on the technical and operational aspects of radio networks and systems, as well as spectrum needed, including possible harmoni</w:t>
      </w:r>
      <w:r>
        <w:t>s</w:t>
      </w:r>
      <w:r w:rsidRPr="0082477D">
        <w:t>ed use of spectrum to support the implementation of narrowband and broadband machine-type communication infrastructures</w:t>
      </w:r>
      <w:r>
        <w:t>,</w:t>
      </w:r>
      <w:r w:rsidRPr="0082477D">
        <w:t xml:space="preserve"> will also be undertaken in preparation for WRC-19. The Director of the Radiocommunication Bureau will report on this study as part of his overall report </w:t>
      </w:r>
      <w:r w:rsidR="00F70ABB" w:rsidRPr="00D07910">
        <w:t>to</w:t>
      </w:r>
      <w:r w:rsidR="00E43F40">
        <w:t xml:space="preserve"> </w:t>
      </w:r>
      <w:r w:rsidRPr="0082477D">
        <w:t>WRC-19. WRC-19 will then decide on the next appropriate action.</w:t>
      </w:r>
      <w:r>
        <w:t xml:space="preserve"> </w:t>
      </w:r>
      <w:r w:rsidR="00001D11">
        <w:t xml:space="preserve">The ACMA intends to monitor this work and </w:t>
      </w:r>
      <w:r w:rsidRPr="0082477D">
        <w:t xml:space="preserve">engage with stakeholders </w:t>
      </w:r>
      <w:r>
        <w:t>through</w:t>
      </w:r>
      <w:r w:rsidRPr="0082477D">
        <w:t xml:space="preserve"> the usual international preparatory process to develop Australian positions on these matters.</w:t>
      </w:r>
    </w:p>
    <w:p w14:paraId="6C125916" w14:textId="77777777" w:rsidR="004D0DEA" w:rsidRDefault="004D0DEA" w:rsidP="004D0DEA">
      <w:r>
        <w:t>T</w:t>
      </w:r>
      <w:r w:rsidRPr="004154AB">
        <w:t xml:space="preserve">he ACMA </w:t>
      </w:r>
      <w:r>
        <w:t xml:space="preserve">will continue to </w:t>
      </w:r>
      <w:r w:rsidRPr="004154AB">
        <w:t xml:space="preserve">monitor developments in IoT to ensure that spectrum arrangements </w:t>
      </w:r>
      <w:r>
        <w:t>are appropriate to</w:t>
      </w:r>
      <w:r w:rsidRPr="004154AB">
        <w:t xml:space="preserve"> account </w:t>
      </w:r>
      <w:r>
        <w:t xml:space="preserve">for </w:t>
      </w:r>
      <w:r w:rsidRPr="004154AB">
        <w:t>emerging applications</w:t>
      </w:r>
      <w:r>
        <w:t xml:space="preserve"> and trends. For example, the ACMA </w:t>
      </w:r>
      <w:r w:rsidR="00001D11">
        <w:t>is considering</w:t>
      </w:r>
      <w:r>
        <w:t xml:space="preserve"> opportunities for IoT in the future review of the VHF band.</w:t>
      </w:r>
    </w:p>
    <w:p w14:paraId="16F09835" w14:textId="77777777" w:rsidR="004D0DEA" w:rsidRDefault="004D0DEA" w:rsidP="0039046B">
      <w:pPr>
        <w:spacing w:after="80"/>
      </w:pPr>
      <w:r>
        <w:t>To assist the ACMA in its considerations on IoT, feedback (along with supporting evidence) is sought on the following questions:</w:t>
      </w:r>
    </w:p>
    <w:p w14:paraId="270BDC6F" w14:textId="77777777" w:rsidR="004D0DEA" w:rsidRPr="00CE5694" w:rsidRDefault="004D0DEA" w:rsidP="0039046B">
      <w:pPr>
        <w:pStyle w:val="ListNumber"/>
        <w:numPr>
          <w:ilvl w:val="0"/>
          <w:numId w:val="70"/>
        </w:numPr>
      </w:pPr>
      <w:r w:rsidRPr="00CE5694">
        <w:t xml:space="preserve">Are there any spectrum bands that should be </w:t>
      </w:r>
      <w:r>
        <w:t>further</w:t>
      </w:r>
      <w:r w:rsidRPr="00CE5694">
        <w:t xml:space="preserve"> investigated by the ACMA for potential future use for IoT applications? Why?</w:t>
      </w:r>
      <w:r>
        <w:t xml:space="preserve"> </w:t>
      </w:r>
      <w:r w:rsidRPr="00D72744">
        <w:t>The ACMA in particular seeks views on possible opportunities in the VHF band for IoT.</w:t>
      </w:r>
    </w:p>
    <w:p w14:paraId="0D144420" w14:textId="77777777" w:rsidR="004D0DEA" w:rsidRPr="00CE5694" w:rsidRDefault="004D0DEA" w:rsidP="0039046B">
      <w:pPr>
        <w:pStyle w:val="ListNumber"/>
        <w:numPr>
          <w:ilvl w:val="0"/>
          <w:numId w:val="70"/>
        </w:numPr>
        <w:spacing w:after="240"/>
      </w:pPr>
      <w:r w:rsidRPr="00CE5694">
        <w:t xml:space="preserve">Are there any sectors of industry that require increased engagement from the ACMA </w:t>
      </w:r>
      <w:r>
        <w:t>regarding</w:t>
      </w:r>
      <w:r w:rsidRPr="00CE5694">
        <w:t xml:space="preserve"> spectrum for IoT applications?</w:t>
      </w:r>
    </w:p>
    <w:p w14:paraId="5D864322" w14:textId="77777777" w:rsidR="004D0DEA" w:rsidRPr="00992F00" w:rsidRDefault="004D0DEA" w:rsidP="00D07910">
      <w:pPr>
        <w:pStyle w:val="Heading3"/>
        <w:keepLines/>
      </w:pPr>
      <w:bookmarkStart w:id="198" w:name="_Toc461107997"/>
      <w:bookmarkStart w:id="199" w:name="_Toc461194824"/>
      <w:bookmarkStart w:id="200" w:name="_Toc461445475"/>
      <w:bookmarkStart w:id="201" w:name="_Toc463351312"/>
      <w:r w:rsidRPr="00992F00">
        <w:t>Dynamic spectrum access</w:t>
      </w:r>
      <w:bookmarkEnd w:id="198"/>
      <w:bookmarkEnd w:id="199"/>
      <w:bookmarkEnd w:id="200"/>
      <w:r>
        <w:t xml:space="preserve"> (DSA)</w:t>
      </w:r>
      <w:bookmarkEnd w:id="201"/>
    </w:p>
    <w:p w14:paraId="02CA6272" w14:textId="77777777" w:rsidR="004D0DEA" w:rsidRDefault="004D0DEA" w:rsidP="0039046B">
      <w:pPr>
        <w:keepNext/>
        <w:keepLines/>
      </w:pPr>
      <w:r w:rsidRPr="00992F00">
        <w:t>Spectrum sharing is fundamental to effective spectrum management and a key tool in maximising the benefits achieved through use of the spectrum resource. The ACMA, like all national spectrum managers, consistently advocates the sharing of spectrum in an effort to maximise the overall public benefit derived from use of the spectrum. As with all forms of resource sharing, spectrum sharing requires some degree of compromise between multiple spectrum uses (</w:t>
      </w:r>
      <w:r>
        <w:t>that is,</w:t>
      </w:r>
      <w:r w:rsidRPr="00992F00">
        <w:t xml:space="preserve"> services or applications) or users (individual licensees) accessing the shared spectrum.</w:t>
      </w:r>
      <w:r>
        <w:t xml:space="preserve"> </w:t>
      </w:r>
    </w:p>
    <w:p w14:paraId="292F62E4" w14:textId="77777777" w:rsidR="004D0DEA" w:rsidRDefault="004D0DEA" w:rsidP="004D0DEA">
      <w:r>
        <w:t>Traditionally, spectrum sharing has largely focused on static approaches that establish co-existence arrangements defined through fixed geographic and spectral boundaries. It has been far less common to use dynamic spectrum sharing approaches, sometimes referred to collectively as DSA or dynamic spectrum management, that take advantage of time-based changes in spectrum usage and therefore availability. DSA relies on the ability of secondary users</w:t>
      </w:r>
      <w:r>
        <w:rPr>
          <w:rStyle w:val="FootnoteReference"/>
        </w:rPr>
        <w:footnoteReference w:id="16"/>
      </w:r>
      <w:r>
        <w:t xml:space="preserve"> to be aware of their environment in order to access spectrum, while co-existing with primary users/uses of the band. At this stage, three major techniques to enhance a device’s awareness of its surroundings have been identified: geolocation with database look up, sensing, and beacon transmissions. These techniques can be used to make use of spectrum ‘white space’, where secondary users take advantage of intermittent, occasional or itinerant use by primary users. Services can be geographically variable but relatively slow-changing, like in a frequency band used by broadcasting services, or have relatively high levels of temporal availability that is constantly changing, like in a frequency band used by land mobile services. </w:t>
      </w:r>
    </w:p>
    <w:p w14:paraId="19F19681" w14:textId="77777777" w:rsidR="004D0DEA" w:rsidRDefault="004D0DEA" w:rsidP="004D0DEA">
      <w:r>
        <w:t>Limited use of DSA in the past is in part due to technological limitations and user expectations. As such, regulatory frameworks have not been widely developed to facilitate spectrum sharing through DSA. In effect, the complexity and compromises that are customarily associated with more dynamic spectrum-sharing arrangements has meant that these approaches have not, on balance, been considered appropriate in an attempt to achieve more efficient use of the spectrum.</w:t>
      </w:r>
    </w:p>
    <w:p w14:paraId="64279CE4" w14:textId="77777777" w:rsidR="004D0DEA" w:rsidRDefault="004D0DEA" w:rsidP="004D0DEA">
      <w:r>
        <w:t>Internationally, DSA frameworks have been developed to allow certain devices to operate on a licence-exempt basis (</w:t>
      </w:r>
      <w:hyperlink r:id="rId70" w:anchor="sp47.1.15.h" w:history="1">
        <w:r>
          <w:rPr>
            <w:rStyle w:val="Hyperlink"/>
          </w:rPr>
          <w:t>w</w:t>
        </w:r>
        <w:r w:rsidRPr="00AB2012">
          <w:rPr>
            <w:rStyle w:val="Hyperlink"/>
          </w:rPr>
          <w:t>hite space devices in the USA</w:t>
        </w:r>
      </w:hyperlink>
      <w:r>
        <w:rPr>
          <w:rStyle w:val="FootnoteReference"/>
        </w:rPr>
        <w:footnoteReference w:id="17"/>
      </w:r>
      <w:r>
        <w:t xml:space="preserve"> and in the </w:t>
      </w:r>
      <w:hyperlink r:id="rId71" w:history="1">
        <w:r w:rsidRPr="00AB2012">
          <w:rPr>
            <w:rStyle w:val="Hyperlink"/>
          </w:rPr>
          <w:t>UK</w:t>
        </w:r>
      </w:hyperlink>
      <w:r>
        <w:rPr>
          <w:rStyle w:val="Hyperlink"/>
        </w:rPr>
        <w:t>)</w:t>
      </w:r>
      <w:r>
        <w:rPr>
          <w:rStyle w:val="FootnoteReference"/>
        </w:rPr>
        <w:footnoteReference w:id="18"/>
      </w:r>
      <w:r>
        <w:t xml:space="preserve">. More recently, a framework for access on a licensed basis has been approved for </w:t>
      </w:r>
      <w:hyperlink r:id="rId72" w:history="1">
        <w:r w:rsidRPr="00F70634">
          <w:rPr>
            <w:rStyle w:val="Hyperlink"/>
          </w:rPr>
          <w:t>TV white space devices in the UK</w:t>
        </w:r>
      </w:hyperlink>
      <w:r>
        <w:rPr>
          <w:rStyle w:val="Hyperlink"/>
        </w:rPr>
        <w:t>.</w:t>
      </w:r>
      <w:r>
        <w:rPr>
          <w:rStyle w:val="FootnoteReference"/>
        </w:rPr>
        <w:footnoteReference w:id="19"/>
      </w:r>
      <w:r>
        <w:t xml:space="preserve"> The CEPT has developed the concept of Authorised Shared Access (ASA)</w:t>
      </w:r>
      <w:r w:rsidRPr="00D53E38">
        <w:rPr>
          <w:vertAlign w:val="superscript"/>
        </w:rPr>
        <w:footnoteReference w:id="20"/>
      </w:r>
      <w:r>
        <w:t xml:space="preserve">. This was followed by the development of a </w:t>
      </w:r>
      <w:hyperlink r:id="rId73" w:history="1">
        <w:r w:rsidRPr="00F70634">
          <w:rPr>
            <w:rStyle w:val="Hyperlink"/>
          </w:rPr>
          <w:t>Licensed Shared Access (LSA)</w:t>
        </w:r>
      </w:hyperlink>
      <w:r>
        <w:rPr>
          <w:rStyle w:val="FootnoteReference"/>
        </w:rPr>
        <w:footnoteReference w:id="21"/>
      </w:r>
      <w:r>
        <w:t xml:space="preserve"> spectrum management framework for the 2300–2400 MHz band based on DSA, with the first LSA trials in France.</w:t>
      </w:r>
      <w:r>
        <w:rPr>
          <w:rStyle w:val="FootnoteReference"/>
        </w:rPr>
        <w:footnoteReference w:id="22"/>
      </w:r>
      <w:r>
        <w:t xml:space="preserve"> 3GPP has released a standard introducing a DSA scheme named </w:t>
      </w:r>
      <w:hyperlink r:id="rId74" w:history="1">
        <w:r w:rsidRPr="00014995">
          <w:rPr>
            <w:rStyle w:val="Hyperlink"/>
          </w:rPr>
          <w:t>Licensed Assisted Access (LAA)</w:t>
        </w:r>
      </w:hyperlink>
      <w:r>
        <w:rPr>
          <w:rStyle w:val="FootnoteReference"/>
        </w:rPr>
        <w:footnoteReference w:id="23"/>
      </w:r>
      <w:r>
        <w:t xml:space="preserve"> for LTE, combining use of licensed and unlicensed spectrum in the 5 GHz band to deliver the next generation of mobile services. Similarly, a DSA framework has been developed for </w:t>
      </w:r>
      <w:hyperlink r:id="rId75" w:history="1">
        <w:r w:rsidRPr="00537D2F">
          <w:rPr>
            <w:rStyle w:val="Hyperlink"/>
          </w:rPr>
          <w:t xml:space="preserve">the </w:t>
        </w:r>
        <w:r>
          <w:rPr>
            <w:rStyle w:val="Hyperlink"/>
          </w:rPr>
          <w:t>3550–</w:t>
        </w:r>
        <w:r w:rsidRPr="00537D2F">
          <w:rPr>
            <w:rStyle w:val="Hyperlink"/>
          </w:rPr>
          <w:t>3700 MHz band in the USA</w:t>
        </w:r>
      </w:hyperlink>
      <w:r>
        <w:rPr>
          <w:rStyle w:val="FootnoteReference"/>
        </w:rPr>
        <w:footnoteReference w:id="24"/>
      </w:r>
      <w:r>
        <w:t xml:space="preserve"> for incumbent, licensed and licence-exempt users, while Ofcom has started consultation to investigate more intense sharing techniques based on </w:t>
      </w:r>
      <w:hyperlink r:id="rId76" w:history="1">
        <w:r>
          <w:rPr>
            <w:rStyle w:val="Hyperlink"/>
          </w:rPr>
          <w:t>DSA in the 3</w:t>
        </w:r>
        <w:r w:rsidRPr="002E4614">
          <w:rPr>
            <w:rStyle w:val="Hyperlink"/>
          </w:rPr>
          <w:t>8</w:t>
        </w:r>
        <w:r>
          <w:rPr>
            <w:rStyle w:val="Hyperlink"/>
          </w:rPr>
          <w:t>00–4</w:t>
        </w:r>
        <w:r w:rsidRPr="002E4614">
          <w:rPr>
            <w:rStyle w:val="Hyperlink"/>
          </w:rPr>
          <w:t>2</w:t>
        </w:r>
        <w:r>
          <w:rPr>
            <w:rStyle w:val="Hyperlink"/>
          </w:rPr>
          <w:t>00</w:t>
        </w:r>
        <w:r w:rsidRPr="002E4614">
          <w:rPr>
            <w:rStyle w:val="Hyperlink"/>
          </w:rPr>
          <w:t xml:space="preserve"> </w:t>
        </w:r>
        <w:r>
          <w:rPr>
            <w:rStyle w:val="Hyperlink"/>
          </w:rPr>
          <w:t>M</w:t>
        </w:r>
        <w:r w:rsidRPr="002E4614">
          <w:rPr>
            <w:rStyle w:val="Hyperlink"/>
          </w:rPr>
          <w:t>Hz band</w:t>
        </w:r>
      </w:hyperlink>
      <w:r>
        <w:rPr>
          <w:rStyle w:val="Hyperlink"/>
        </w:rPr>
        <w:t>.</w:t>
      </w:r>
      <w:r>
        <w:rPr>
          <w:rStyle w:val="FootnoteReference"/>
        </w:rPr>
        <w:footnoteReference w:id="25"/>
      </w:r>
    </w:p>
    <w:p w14:paraId="5EBAC259" w14:textId="77777777" w:rsidR="004D0DEA" w:rsidRDefault="004D0DEA" w:rsidP="004D0DEA">
      <w:r>
        <w:t>Although an increasing number of the DSA frameworks have been proposed or introduced by overseas spectrum regulators, domestic opportunities for full-scale deployment of DSA techniques and regulatory approaches have not yet presented themselves. The ACMA will continue to monitor international regulatory and technical developments, and implement DSA arrangements when and where appropriate. For example, the ACMA recently adopted a dynamic sharing framework in the 3400–3600 MHz band between terrestrial wireless broadband and Defence radar systems. While this framework does not specify the use of dedicated spectrum databases or sensing, it did explicitly allow for dynamic access to the spectrum by Defence radar systems in a way that protects deployed broadband systems but does not mandate Defence to protect areas without operating broadband systems.</w:t>
      </w:r>
      <w:r>
        <w:rPr>
          <w:rStyle w:val="FootnoteReference"/>
        </w:rPr>
        <w:footnoteReference w:id="26"/>
      </w:r>
    </w:p>
    <w:p w14:paraId="3DBEC346" w14:textId="35210CFC" w:rsidR="004D0DEA" w:rsidRDefault="004D0DEA" w:rsidP="004D0DEA">
      <w:r>
        <w:t xml:space="preserve">The ACMA is </w:t>
      </w:r>
      <w:r w:rsidR="00CA65D6">
        <w:t>engaging</w:t>
      </w:r>
      <w:r>
        <w:t xml:space="preserve"> with academic institutions</w:t>
      </w:r>
      <w:r w:rsidR="00CA65D6">
        <w:t>, such as the University of Technology Sydney,</w:t>
      </w:r>
      <w:r>
        <w:t xml:space="preserve"> regarding DSA and related technology advances. </w:t>
      </w:r>
    </w:p>
    <w:p w14:paraId="5A562055" w14:textId="77777777" w:rsidR="004D0DEA" w:rsidRPr="00D5416A" w:rsidRDefault="004D0DEA" w:rsidP="004D0DEA">
      <w:pPr>
        <w:pStyle w:val="BodySubHeader"/>
      </w:pPr>
      <w:r w:rsidRPr="00D5416A">
        <w:t>What’s next?</w:t>
      </w:r>
    </w:p>
    <w:p w14:paraId="352336CB" w14:textId="77777777" w:rsidR="004D0DEA" w:rsidRDefault="004D0DEA" w:rsidP="004D0DEA">
      <w:r>
        <w:t>T</w:t>
      </w:r>
      <w:r w:rsidRPr="003F3135">
        <w:t xml:space="preserve">he ACMA will </w:t>
      </w:r>
      <w:r>
        <w:t xml:space="preserve">continue to </w:t>
      </w:r>
      <w:r w:rsidRPr="003F3135">
        <w:t>investigate</w:t>
      </w:r>
      <w:r>
        <w:t xml:space="preserve"> and pursue, where practical,</w:t>
      </w:r>
      <w:r w:rsidRPr="003F3135">
        <w:t xml:space="preserve"> opportunities for </w:t>
      </w:r>
      <w:r>
        <w:t xml:space="preserve">new and innovative forms of </w:t>
      </w:r>
      <w:r w:rsidRPr="003F3135">
        <w:t>spectrum sharing</w:t>
      </w:r>
      <w:r>
        <w:t xml:space="preserve">, especially DSA approaches, to provide greater flexibility of spectrum use. </w:t>
      </w:r>
      <w:r w:rsidRPr="00DD266E">
        <w:t>Most recently, the ACMA articulated the investigation of new spectrum</w:t>
      </w:r>
      <w:r>
        <w:t>-</w:t>
      </w:r>
      <w:r w:rsidRPr="00DD266E">
        <w:t>sharing approaches</w:t>
      </w:r>
      <w:r>
        <w:t xml:space="preserve"> </w:t>
      </w:r>
      <w:r w:rsidRPr="00DD266E">
        <w:t xml:space="preserve">in its </w:t>
      </w:r>
      <w:hyperlink r:id="rId77" w:history="1">
        <w:r>
          <w:rPr>
            <w:rStyle w:val="Hyperlink"/>
          </w:rPr>
          <w:t>m</w:t>
        </w:r>
        <w:r w:rsidRPr="006F214B">
          <w:rPr>
            <w:rStyle w:val="Hyperlink"/>
          </w:rPr>
          <w:t>obile broadband strategy</w:t>
        </w:r>
      </w:hyperlink>
      <w:r>
        <w:rPr>
          <w:rStyle w:val="Hyperlink"/>
        </w:rPr>
        <w:t>,</w:t>
      </w:r>
      <w:r>
        <w:t xml:space="preserve"> released in February 2016</w:t>
      </w:r>
      <w:r w:rsidRPr="00DD266E">
        <w:t>.</w:t>
      </w:r>
    </w:p>
    <w:p w14:paraId="22F9E263" w14:textId="77777777" w:rsidR="004D0DEA" w:rsidRDefault="004D0DEA" w:rsidP="004D0DEA">
      <w:r>
        <w:t xml:space="preserve">However, in line with Principle 5 of the </w:t>
      </w:r>
      <w:r w:rsidRPr="004C4BF4">
        <w:t>Principles</w:t>
      </w:r>
      <w:r>
        <w:t xml:space="preserve"> of Spectrum Management—</w:t>
      </w:r>
      <w:r w:rsidRPr="0073736B">
        <w:rPr>
          <w:i/>
        </w:rPr>
        <w:t>to balance the cost of interference and the benefits of greater spectrum utilisation</w:t>
      </w:r>
      <w:r w:rsidRPr="00D5416A">
        <w:t>—t</w:t>
      </w:r>
      <w:r>
        <w:t xml:space="preserve">he ACMA will carefully assess these new sharing techniques and regulatory approaches to determine if the increased spectrum utility delivered by DSA is, on balance, worth the resulting cost, complexity and compromises. The ACMA expects that while DSA opportunities will increase over time, there will remain a role for more traditional spectrum-sharing arrangements. </w:t>
      </w:r>
    </w:p>
    <w:p w14:paraId="676EC53B" w14:textId="77777777" w:rsidR="004D0DEA" w:rsidRDefault="004D0DEA" w:rsidP="004D0DEA">
      <w:r>
        <w:t xml:space="preserve">To assist the ACMA and industry in gaining experience and confidence with these new techniques, technologies and regulatory approaches, and consistent with its </w:t>
      </w:r>
      <w:hyperlink r:id="rId78" w:history="1">
        <w:r w:rsidRPr="0020492B">
          <w:rPr>
            <w:rStyle w:val="Hyperlink"/>
          </w:rPr>
          <w:t>guidelines on the trial of new radiocommunications technologies</w:t>
        </w:r>
      </w:hyperlink>
      <w:r>
        <w:t xml:space="preserve">, </w:t>
      </w:r>
      <w:r w:rsidRPr="00E12497">
        <w:t>industry is invited  to discuss with the ACMA opportunities to facilitate trials of DSA in Australia</w:t>
      </w:r>
      <w:r>
        <w:t xml:space="preserve">. The ACMA believes that appropriately engineered and located trials </w:t>
      </w:r>
      <w:r w:rsidR="00692306">
        <w:t>are</w:t>
      </w:r>
      <w:r>
        <w:t xml:space="preserve"> feasible a</w:t>
      </w:r>
      <w:r w:rsidR="00923DE8">
        <w:t>nd offer</w:t>
      </w:r>
      <w:r w:rsidR="00692306">
        <w:t xml:space="preserve"> </w:t>
      </w:r>
      <w:r w:rsidR="00923DE8">
        <w:t xml:space="preserve">the chance to </w:t>
      </w:r>
      <w:r w:rsidR="00692306">
        <w:t>learn about o</w:t>
      </w:r>
      <w:r>
        <w:t xml:space="preserve">ngoing DSA </w:t>
      </w:r>
      <w:r w:rsidR="00923DE8">
        <w:t>opportunities</w:t>
      </w:r>
      <w:r>
        <w:t xml:space="preserve">. </w:t>
      </w:r>
    </w:p>
    <w:p w14:paraId="1F915D66" w14:textId="77777777" w:rsidR="004D0DEA" w:rsidRPr="007C5749" w:rsidRDefault="004D0DEA" w:rsidP="004D0DEA">
      <w:pPr>
        <w:keepNext/>
        <w:spacing w:after="80"/>
      </w:pPr>
      <w:r>
        <w:t xml:space="preserve">To assist the ACMA in its considerations on the issues surrounding dynamic spectrum </w:t>
      </w:r>
      <w:r w:rsidRPr="009F4621">
        <w:t>access, comment (along with supporting evidence) is sought on the following questions:</w:t>
      </w:r>
    </w:p>
    <w:p w14:paraId="26B8DA4A" w14:textId="77777777" w:rsidR="004D0DEA" w:rsidRPr="00C775A1" w:rsidRDefault="004D0DEA" w:rsidP="0039046B">
      <w:pPr>
        <w:pStyle w:val="ListNumber"/>
        <w:numPr>
          <w:ilvl w:val="0"/>
          <w:numId w:val="70"/>
        </w:numPr>
      </w:pPr>
      <w:r w:rsidRPr="00C775A1">
        <w:t>When, or under what circumstances, would it be appropriate to move beyond monitoring international regulatory and technical developments and consider implementation of arrangements in Australia?</w:t>
      </w:r>
    </w:p>
    <w:p w14:paraId="1C9B0042" w14:textId="77777777" w:rsidR="004D0DEA" w:rsidRPr="00C775A1" w:rsidRDefault="004D0DEA" w:rsidP="0039046B">
      <w:pPr>
        <w:pStyle w:val="ListNumber"/>
        <w:numPr>
          <w:ilvl w:val="0"/>
          <w:numId w:val="70"/>
        </w:numPr>
      </w:pPr>
      <w:r w:rsidRPr="00C775A1">
        <w:t xml:space="preserve">Are there specific industry sectors and applications where DSA is </w:t>
      </w:r>
      <w:r>
        <w:t>likely to be a candidate</w:t>
      </w:r>
      <w:r w:rsidRPr="00C775A1">
        <w:t xml:space="preserve"> for </w:t>
      </w:r>
      <w:r>
        <w:t>early opportunity for adoption</w:t>
      </w:r>
      <w:r w:rsidRPr="00C775A1">
        <w:t>?</w:t>
      </w:r>
    </w:p>
    <w:p w14:paraId="0165A05F" w14:textId="77777777" w:rsidR="004D0DEA" w:rsidRPr="00C775A1" w:rsidRDefault="004D0DEA" w:rsidP="0039046B">
      <w:pPr>
        <w:pStyle w:val="ListNumber"/>
        <w:numPr>
          <w:ilvl w:val="0"/>
          <w:numId w:val="70"/>
        </w:numPr>
      </w:pPr>
      <w:r w:rsidRPr="00C775A1">
        <w:t xml:space="preserve">Are there simple changes that can be made to the regulatory framework that would better allow facilitation of trials of </w:t>
      </w:r>
      <w:r>
        <w:t>DSA</w:t>
      </w:r>
      <w:r w:rsidRPr="00C775A1">
        <w:t xml:space="preserve"> approaches and development of implementation arrangements?</w:t>
      </w:r>
    </w:p>
    <w:p w14:paraId="32C61F6C" w14:textId="77777777" w:rsidR="004D0DEA" w:rsidRDefault="004D0DEA" w:rsidP="0039046B">
      <w:pPr>
        <w:pStyle w:val="ListNumber"/>
        <w:numPr>
          <w:ilvl w:val="0"/>
          <w:numId w:val="70"/>
        </w:numPr>
      </w:pPr>
      <w:r>
        <w:t xml:space="preserve">Are there any spectrum bands, services and/or applications, in particular that will be, or should/shouldn’t be, targeted in Australia for trials or initial implementation of DSA frameworks? </w:t>
      </w:r>
      <w:bookmarkEnd w:id="188"/>
      <w:bookmarkEnd w:id="189"/>
    </w:p>
    <w:p w14:paraId="75B053F0" w14:textId="36EBFD37" w:rsidR="004D0DEA" w:rsidRDefault="004D0DEA" w:rsidP="004D0DEA">
      <w:pPr>
        <w:pStyle w:val="Heading1"/>
      </w:pPr>
      <w:bookmarkStart w:id="202" w:name="_Toc461445476"/>
      <w:bookmarkStart w:id="203" w:name="_Toc463351313"/>
      <w:r w:rsidRPr="0039046B">
        <w:rPr>
          <w:b/>
        </w:rPr>
        <w:t>Part 2—</w:t>
      </w:r>
      <w:r w:rsidR="00A101E8" w:rsidRPr="004637C5">
        <w:rPr>
          <w:rFonts w:eastAsiaTheme="minorHAnsi"/>
          <w:noProof/>
        </w:rPr>
        <w:drawing>
          <wp:anchor distT="0" distB="0" distL="114300" distR="114300" simplePos="0" relativeHeight="251671552" behindDoc="1" locked="1" layoutInCell="0" allowOverlap="0" wp14:anchorId="38AB8320" wp14:editId="1315425A">
            <wp:simplePos x="0" y="0"/>
            <wp:positionH relativeFrom="page">
              <wp:posOffset>-50165</wp:posOffset>
            </wp:positionH>
            <wp:positionV relativeFrom="page">
              <wp:posOffset>-6985</wp:posOffset>
            </wp:positionV>
            <wp:extent cx="7632000" cy="10807200"/>
            <wp:effectExtent l="0" t="0" r="7620" b="0"/>
            <wp:wrapNone/>
            <wp:docPr id="3" name="Picture 2"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FYSODocumentAssets2013_ChapIntro.png"/>
                    <pic:cNvPicPr/>
                  </pic:nvPicPr>
                  <pic:blipFill>
                    <a:blip r:embed="rId41" cstate="print"/>
                    <a:stretch>
                      <a:fillRect/>
                    </a:stretch>
                  </pic:blipFill>
                  <pic:spPr>
                    <a:xfrm>
                      <a:off x="0" y="0"/>
                      <a:ext cx="7632000" cy="10807200"/>
                    </a:xfrm>
                    <a:prstGeom prst="rect">
                      <a:avLst/>
                    </a:prstGeom>
                  </pic:spPr>
                </pic:pic>
              </a:graphicData>
            </a:graphic>
            <wp14:sizeRelH relativeFrom="margin">
              <wp14:pctWidth>0</wp14:pctWidth>
            </wp14:sizeRelH>
            <wp14:sizeRelV relativeFrom="margin">
              <wp14:pctHeight>0</wp14:pctHeight>
            </wp14:sizeRelV>
          </wp:anchor>
        </w:drawing>
      </w:r>
      <w:r>
        <w:br/>
      </w:r>
      <w:r w:rsidR="00B3386F">
        <w:t>The ACMA’s</w:t>
      </w:r>
      <w:r>
        <w:t xml:space="preserve"> </w:t>
      </w:r>
      <w:bookmarkEnd w:id="202"/>
      <w:r w:rsidR="0020555D">
        <w:t>work plan 2016–</w:t>
      </w:r>
      <w:r w:rsidR="00B3386F">
        <w:t>17</w:t>
      </w:r>
      <w:bookmarkEnd w:id="203"/>
    </w:p>
    <w:p w14:paraId="08912480" w14:textId="77777777" w:rsidR="004D0DEA" w:rsidRDefault="004D0DEA" w:rsidP="004D0DEA">
      <w:pPr>
        <w:pStyle w:val="Heading2"/>
        <w:pageBreakBefore/>
      </w:pPr>
      <w:bookmarkStart w:id="204" w:name="_Toc461107999"/>
      <w:bookmarkStart w:id="205" w:name="_Toc461194826"/>
      <w:bookmarkStart w:id="206" w:name="_Toc461445477"/>
      <w:bookmarkStart w:id="207" w:name="_Toc463351314"/>
      <w:r>
        <w:t>The ACMA’s approach to the 12-month work plan</w:t>
      </w:r>
      <w:bookmarkEnd w:id="204"/>
      <w:bookmarkEnd w:id="205"/>
      <w:bookmarkEnd w:id="206"/>
      <w:bookmarkEnd w:id="207"/>
    </w:p>
    <w:p w14:paraId="4331F993" w14:textId="3202F544" w:rsidR="004D0DEA" w:rsidRDefault="004D0DEA" w:rsidP="004D0DEA">
      <w:r>
        <w:t xml:space="preserve">Part 2 sets out the ACMA’s spectrum management work plan for the </w:t>
      </w:r>
      <w:r w:rsidR="000D4DB5">
        <w:t>2016–</w:t>
      </w:r>
      <w:r w:rsidR="00CF647F">
        <w:t xml:space="preserve">17 </w:t>
      </w:r>
      <w:r w:rsidR="000D4DB5">
        <w:t>f</w:t>
      </w:r>
      <w:r w:rsidR="00CF647F">
        <w:t xml:space="preserve">inancial </w:t>
      </w:r>
      <w:r w:rsidR="000D4DB5">
        <w:t>y</w:t>
      </w:r>
      <w:r w:rsidR="00CF647F">
        <w:t>ear</w:t>
      </w:r>
      <w:r>
        <w:t xml:space="preserve">. As discussed in Part 1, the ACMA identifies work priorities through application of its spectrum demand analysis framework. The projects and activities in the work plan evolve from these priorities. Although there is a degree of certainty about the priorities and identified project timings </w:t>
      </w:r>
      <w:r w:rsidR="00CF647F">
        <w:t xml:space="preserve">in the work plan, it </w:t>
      </w:r>
      <w:r>
        <w:t xml:space="preserve">will be an organic document. It is not intended that </w:t>
      </w:r>
      <w:r w:rsidR="00CF647F">
        <w:t xml:space="preserve">the work plan </w:t>
      </w:r>
      <w:r>
        <w:t xml:space="preserve">will remain static, but rather, it will </w:t>
      </w:r>
      <w:r w:rsidR="001069BA">
        <w:t xml:space="preserve">be </w:t>
      </w:r>
      <w:r>
        <w:t xml:space="preserve">adjusted in accordance with shifts in priorities and extrinsic factors such as the government’s priorities overall and, in particular, spectrum reform. </w:t>
      </w:r>
    </w:p>
    <w:p w14:paraId="6F404348" w14:textId="0F624BA4" w:rsidR="004D0DEA" w:rsidRDefault="004D0DEA" w:rsidP="004D0DEA">
      <w:r>
        <w:t xml:space="preserve">Over the </w:t>
      </w:r>
      <w:r w:rsidR="000D4DB5">
        <w:t>12-</w:t>
      </w:r>
      <w:r>
        <w:t>month</w:t>
      </w:r>
      <w:r w:rsidR="00CF647F">
        <w:t xml:space="preserve"> period</w:t>
      </w:r>
      <w:r>
        <w:t>, t</w:t>
      </w:r>
      <w:r w:rsidRPr="00CF7DB9">
        <w:t xml:space="preserve">he ACMA </w:t>
      </w:r>
      <w:r>
        <w:t>will continue to review its priorities in the expectation that events such as the implementation of the government’s spectrum reforms and new demand pressures for spectrum through advances in technology will affect the work program.</w:t>
      </w:r>
    </w:p>
    <w:p w14:paraId="0F621AEB" w14:textId="77777777" w:rsidR="004D0DEA" w:rsidRDefault="004D0DEA" w:rsidP="004D0DEA">
      <w:r>
        <w:t xml:space="preserve">If variations to the work plan are required within the period of the FYSO, the ACMA proposes to notify stakeholders about these changes, and the reasons why they were made, through updates on our website. The ACMA also proposes to conduct a tune-up specifically on the progress of the work plan during this first 12 months. Future editions of the FYSO will report on achievements against the previous work plan. </w:t>
      </w:r>
    </w:p>
    <w:p w14:paraId="41AF634A" w14:textId="77777777" w:rsidR="004D0DEA" w:rsidRDefault="004D0DEA" w:rsidP="004D0DEA">
      <w:r>
        <w:t xml:space="preserve">The ACMA welcomes </w:t>
      </w:r>
      <w:r w:rsidRPr="009F4621">
        <w:t>feedback on our proposed approach to the development of the 12-month work plan, including its format and content. The ACMA is also keen to receive feedback on the proposed communication channels for notifying stakeholders of progress on and changes to the work plan.</w:t>
      </w:r>
    </w:p>
    <w:p w14:paraId="0080F763" w14:textId="77777777" w:rsidR="004D0DEA" w:rsidRDefault="004D0DEA" w:rsidP="004D0DEA">
      <w:pPr>
        <w:pStyle w:val="Heading3"/>
      </w:pPr>
      <w:bookmarkStart w:id="208" w:name="_Toc461108000"/>
      <w:bookmarkStart w:id="209" w:name="_Toc461194827"/>
      <w:bookmarkStart w:id="210" w:name="_Toc461445478"/>
      <w:bookmarkStart w:id="211" w:name="_Toc463351315"/>
      <w:r>
        <w:t>The ACMA’s work plan</w:t>
      </w:r>
      <w:bookmarkEnd w:id="208"/>
      <w:bookmarkEnd w:id="209"/>
      <w:bookmarkEnd w:id="210"/>
      <w:bookmarkEnd w:id="211"/>
    </w:p>
    <w:p w14:paraId="6E9F3AD9" w14:textId="77777777" w:rsidR="004D0DEA" w:rsidRDefault="004D0DEA" w:rsidP="004D0DEA">
      <w:pPr>
        <w:spacing w:after="80"/>
      </w:pPr>
      <w:r>
        <w:t>The ACMA’s 12</w:t>
      </w:r>
      <w:r w:rsidR="009F4621">
        <w:t>-</w:t>
      </w:r>
      <w:r>
        <w:t>month work plan is presented in two parts:</w:t>
      </w:r>
    </w:p>
    <w:p w14:paraId="6DA18546" w14:textId="77777777" w:rsidR="004D0DEA" w:rsidRPr="009F4621" w:rsidRDefault="00E63156" w:rsidP="004D0DEA">
      <w:pPr>
        <w:pStyle w:val="ListBullet"/>
      </w:pPr>
      <w:r>
        <w:t>i</w:t>
      </w:r>
      <w:r w:rsidR="004D0DEA">
        <w:t xml:space="preserve">n </w:t>
      </w:r>
      <w:r w:rsidR="004D0DEA" w:rsidRPr="009F4621">
        <w:t>the first part, key priority projects are grouped under three broad themes</w:t>
      </w:r>
    </w:p>
    <w:p w14:paraId="6882D021" w14:textId="77777777" w:rsidR="004D0DEA" w:rsidRPr="0022443C" w:rsidRDefault="00E63156" w:rsidP="004D0DEA">
      <w:pPr>
        <w:pStyle w:val="ListBullet"/>
      </w:pPr>
      <w:r>
        <w:rPr>
          <w:rFonts w:cs="Arial"/>
          <w:szCs w:val="20"/>
        </w:rPr>
        <w:t>i</w:t>
      </w:r>
      <w:r w:rsidR="004D0DEA" w:rsidRPr="009F4621">
        <w:rPr>
          <w:rFonts w:cs="Arial"/>
          <w:szCs w:val="20"/>
        </w:rPr>
        <w:t>n the second part, projects</w:t>
      </w:r>
      <w:r w:rsidR="004D0DEA">
        <w:rPr>
          <w:rFonts w:cs="Arial"/>
          <w:szCs w:val="20"/>
        </w:rPr>
        <w:t xml:space="preserve"> and activities in two tables are listed on the following basis: </w:t>
      </w:r>
    </w:p>
    <w:p w14:paraId="7D776C02" w14:textId="77777777" w:rsidR="004D0DEA" w:rsidRPr="0022443C" w:rsidRDefault="004D0DEA" w:rsidP="004D0DEA">
      <w:pPr>
        <w:pStyle w:val="ListBullet2"/>
      </w:pPr>
      <w:r>
        <w:t xml:space="preserve">band-by-band projects </w:t>
      </w:r>
    </w:p>
    <w:p w14:paraId="697789C0" w14:textId="77777777" w:rsidR="004D0DEA" w:rsidRPr="00E36C3D" w:rsidRDefault="004D0DEA" w:rsidP="004D0DEA">
      <w:pPr>
        <w:pStyle w:val="ListBullet2"/>
        <w:spacing w:after="240"/>
      </w:pPr>
      <w:r>
        <w:t>regulatory and service-planning projects.</w:t>
      </w:r>
    </w:p>
    <w:p w14:paraId="29EC82DD" w14:textId="77777777" w:rsidR="004D0DEA" w:rsidRPr="006B14A3" w:rsidRDefault="004D0DEA" w:rsidP="004D0DEA">
      <w:pPr>
        <w:pStyle w:val="BodySubHeader"/>
      </w:pPr>
      <w:r w:rsidRPr="006B14A3">
        <w:t>Key priority projects</w:t>
      </w:r>
    </w:p>
    <w:p w14:paraId="71651247" w14:textId="1DA76E9B" w:rsidR="004D0DEA" w:rsidRDefault="004D0DEA" w:rsidP="004D0DEA">
      <w:r>
        <w:t>The ACMA has</w:t>
      </w:r>
      <w:r w:rsidRPr="00CF7DB9">
        <w:t xml:space="preserve"> identified </w:t>
      </w:r>
      <w:r>
        <w:t>10</w:t>
      </w:r>
      <w:r w:rsidRPr="00EF252A">
        <w:t xml:space="preserve"> key priority</w:t>
      </w:r>
      <w:r w:rsidRPr="00CF7DB9">
        <w:t xml:space="preserve"> </w:t>
      </w:r>
      <w:r>
        <w:t xml:space="preserve">projects in which work will either commence, continue or be completed over the next 12 months. </w:t>
      </w:r>
      <w:r w:rsidRPr="00CF7DB9">
        <w:t xml:space="preserve">These are the areas where </w:t>
      </w:r>
      <w:r>
        <w:t>the ACMA</w:t>
      </w:r>
      <w:r w:rsidRPr="00CF7DB9">
        <w:t xml:space="preserve"> expect peaks in both workload and focus </w:t>
      </w:r>
      <w:r w:rsidR="001069BA">
        <w:t>to</w:t>
      </w:r>
      <w:r w:rsidRPr="00CF7DB9">
        <w:t xml:space="preserve"> occur. </w:t>
      </w:r>
    </w:p>
    <w:p w14:paraId="4D7B1E43" w14:textId="78694037" w:rsidR="00CF647F" w:rsidRDefault="00CF647F" w:rsidP="000D4DB5">
      <w:pPr>
        <w:spacing w:after="80"/>
      </w:pPr>
      <w:r>
        <w:t xml:space="preserve">The projects are grouped under three themes, as shown in Table 2 below. The themes reflect the framework </w:t>
      </w:r>
      <w:r w:rsidR="000D4DB5">
        <w:t>that</w:t>
      </w:r>
      <w:r>
        <w:t xml:space="preserve"> guides the ACMA’s prioritisat</w:t>
      </w:r>
      <w:r w:rsidR="000D4DB5">
        <w:t>ion of spectrum management work:</w:t>
      </w:r>
    </w:p>
    <w:p w14:paraId="0744BC8C" w14:textId="77777777" w:rsidR="00CF647F" w:rsidRDefault="00CF647F" w:rsidP="000D4DB5">
      <w:pPr>
        <w:pStyle w:val="ListBullet"/>
      </w:pPr>
      <w:r>
        <w:t>The first theme</w:t>
      </w:r>
      <w:r w:rsidRPr="002E313A">
        <w:t>—</w:t>
      </w:r>
      <w:r>
        <w:t>m</w:t>
      </w:r>
      <w:r w:rsidRPr="002E313A">
        <w:t xml:space="preserve">aximising the overall public benefit arising from </w:t>
      </w:r>
      <w:r>
        <w:t xml:space="preserve">the </w:t>
      </w:r>
      <w:r w:rsidRPr="002E313A">
        <w:t xml:space="preserve">use of spectrum—reflects the ACMA’s Principles for </w:t>
      </w:r>
      <w:r>
        <w:t>S</w:t>
      </w:r>
      <w:r w:rsidRPr="002E313A">
        <w:t xml:space="preserve">pectrum </w:t>
      </w:r>
      <w:r>
        <w:t>Management.</w:t>
      </w:r>
    </w:p>
    <w:p w14:paraId="7301EFEB" w14:textId="77777777" w:rsidR="00CF647F" w:rsidRDefault="00CF647F" w:rsidP="000D4DB5">
      <w:pPr>
        <w:pStyle w:val="ListBullet"/>
      </w:pPr>
      <w:r>
        <w:t>The second theme</w:t>
      </w:r>
      <w:r w:rsidRPr="002E313A">
        <w:t xml:space="preserve">—reducing the cost to business arising from regulation—reflects the government’s </w:t>
      </w:r>
      <w:r>
        <w:t>better regulation</w:t>
      </w:r>
      <w:r w:rsidRPr="002E313A">
        <w:t xml:space="preserve"> agenda.</w:t>
      </w:r>
      <w:r>
        <w:t xml:space="preserve"> This is consistent with the government’s objective to remove the impediments to regulation by increasing productivity from innovation and the digital economy. </w:t>
      </w:r>
    </w:p>
    <w:p w14:paraId="2C2219AC" w14:textId="2112DF16" w:rsidR="00CF647F" w:rsidRDefault="00CF647F" w:rsidP="004D0DEA">
      <w:pPr>
        <w:pStyle w:val="ListBulletLast"/>
      </w:pPr>
      <w:r>
        <w:t>The third theme</w:t>
      </w:r>
      <w:r w:rsidRPr="002E313A">
        <w:t>—implementing current reform priorities—recognises that the ACMA is responsible for implementing outcomes from major reforms.</w:t>
      </w:r>
    </w:p>
    <w:p w14:paraId="333FA2F8" w14:textId="77777777" w:rsidR="004D0DEA" w:rsidRPr="004D0DEA" w:rsidRDefault="004D0DEA" w:rsidP="0039046B">
      <w:pPr>
        <w:keepNext/>
        <w:numPr>
          <w:ilvl w:val="0"/>
          <w:numId w:val="27"/>
        </w:numPr>
        <w:spacing w:after="160" w:line="240" w:lineRule="auto"/>
        <w:rPr>
          <w:b/>
        </w:rPr>
      </w:pPr>
      <w:r w:rsidRPr="004D0DEA">
        <w:rPr>
          <w:b/>
        </w:rPr>
        <w:t>The ACMA’s key priority projects</w:t>
      </w:r>
    </w:p>
    <w:tbl>
      <w:tblPr>
        <w:tblW w:w="9645" w:type="dxa"/>
        <w:tblLayout w:type="fixed"/>
        <w:tblCellMar>
          <w:left w:w="0" w:type="dxa"/>
          <w:right w:w="0" w:type="dxa"/>
        </w:tblCellMar>
        <w:tblLook w:val="01E0" w:firstRow="1" w:lastRow="1" w:firstColumn="1" w:lastColumn="1" w:noHBand="0" w:noVBand="0"/>
      </w:tblPr>
      <w:tblGrid>
        <w:gridCol w:w="9645"/>
      </w:tblGrid>
      <w:tr w:rsidR="004D0DEA" w14:paraId="1637761B" w14:textId="77777777" w:rsidTr="00375F63">
        <w:trPr>
          <w:trHeight w:val="3086"/>
        </w:trPr>
        <w:tc>
          <w:tcPr>
            <w:tcW w:w="9645" w:type="dxa"/>
            <w:shd w:val="clear" w:color="auto" w:fill="auto"/>
            <w:tcMar>
              <w:left w:w="28" w:type="dxa"/>
            </w:tcMar>
          </w:tcPr>
          <w:tbl>
            <w:tblPr>
              <w:tblStyle w:val="TableGrid1"/>
              <w:tblW w:w="0" w:type="auto"/>
              <w:tblLayout w:type="fixed"/>
              <w:tblCellMar>
                <w:top w:w="57" w:type="dxa"/>
                <w:left w:w="57" w:type="dxa"/>
                <w:bottom w:w="57" w:type="dxa"/>
                <w:right w:w="57" w:type="dxa"/>
              </w:tblCellMar>
              <w:tblLook w:val="01E0" w:firstRow="1" w:lastRow="1" w:firstColumn="1" w:lastColumn="1" w:noHBand="0" w:noVBand="0"/>
              <w:tblCaption w:val="The ACMA’s key priority projects"/>
              <w:tblDescription w:val="Includes themes and key priority projects for each."/>
            </w:tblPr>
            <w:tblGrid>
              <w:gridCol w:w="3936"/>
              <w:gridCol w:w="4820"/>
            </w:tblGrid>
            <w:tr w:rsidR="004D0DEA" w14:paraId="4B74DC8B" w14:textId="77777777" w:rsidTr="00E63156">
              <w:trPr>
                <w:trHeight w:val="408"/>
                <w:tblHeader/>
              </w:trPr>
              <w:tc>
                <w:tcPr>
                  <w:tcW w:w="3936" w:type="dxa"/>
                  <w:shd w:val="clear" w:color="auto" w:fill="404040" w:themeFill="text1" w:themeFillTint="BF"/>
                </w:tcPr>
                <w:p w14:paraId="2B5BC283" w14:textId="77777777" w:rsidR="004D0DEA" w:rsidRPr="00005495" w:rsidRDefault="004D0DEA" w:rsidP="0039046B">
                  <w:pPr>
                    <w:pStyle w:val="TableHeading"/>
                    <w:keepNext/>
                    <w:keepLines/>
                    <w:spacing w:before="0"/>
                    <w:rPr>
                      <w:color w:val="FFFFFF" w:themeColor="background1"/>
                    </w:rPr>
                  </w:pPr>
                  <w:r w:rsidRPr="007F7002">
                    <w:rPr>
                      <w:color w:val="FFFFFF" w:themeColor="background1"/>
                    </w:rPr>
                    <w:t>Theme</w:t>
                  </w:r>
                </w:p>
              </w:tc>
              <w:tc>
                <w:tcPr>
                  <w:tcW w:w="4820" w:type="dxa"/>
                  <w:shd w:val="clear" w:color="auto" w:fill="404040" w:themeFill="text1" w:themeFillTint="BF"/>
                </w:tcPr>
                <w:p w14:paraId="7A41DAD3" w14:textId="77777777" w:rsidR="004D0DEA" w:rsidRPr="00005495" w:rsidRDefault="004D0DEA" w:rsidP="0039046B">
                  <w:pPr>
                    <w:pStyle w:val="TableHeading"/>
                    <w:keepNext/>
                    <w:keepLines/>
                    <w:spacing w:before="0"/>
                    <w:rPr>
                      <w:color w:val="FFFFFF" w:themeColor="background1"/>
                    </w:rPr>
                  </w:pPr>
                  <w:r w:rsidRPr="007F7002">
                    <w:rPr>
                      <w:color w:val="FFFFFF" w:themeColor="background1"/>
                    </w:rPr>
                    <w:t xml:space="preserve">Key </w:t>
                  </w:r>
                  <w:r>
                    <w:rPr>
                      <w:color w:val="FFFFFF" w:themeColor="background1"/>
                    </w:rPr>
                    <w:t>p</w:t>
                  </w:r>
                  <w:r w:rsidRPr="007F7002">
                    <w:rPr>
                      <w:color w:val="FFFFFF" w:themeColor="background1"/>
                    </w:rPr>
                    <w:t xml:space="preserve">riority </w:t>
                  </w:r>
                  <w:r>
                    <w:rPr>
                      <w:color w:val="FFFFFF" w:themeColor="background1"/>
                    </w:rPr>
                    <w:t>projects</w:t>
                  </w:r>
                </w:p>
              </w:tc>
            </w:tr>
            <w:tr w:rsidR="004D0DEA" w14:paraId="6BE8B166" w14:textId="77777777" w:rsidTr="0039046B">
              <w:trPr>
                <w:trHeight w:val="606"/>
              </w:trPr>
              <w:tc>
                <w:tcPr>
                  <w:tcW w:w="3936" w:type="dxa"/>
                  <w:vMerge w:val="restart"/>
                </w:tcPr>
                <w:p w14:paraId="5D3D9F21" w14:textId="77777777" w:rsidR="004D0DEA" w:rsidRDefault="004D0DEA" w:rsidP="0039046B">
                  <w:pPr>
                    <w:keepNext/>
                    <w:keepLines/>
                    <w:spacing w:before="0" w:after="0"/>
                  </w:pPr>
                  <w:r w:rsidRPr="00FB431A">
                    <w:rPr>
                      <w:rFonts w:cs="Arial"/>
                      <w:b/>
                    </w:rPr>
                    <w:t>Maximising the overall public benefit arising from use of spectrum</w:t>
                  </w:r>
                </w:p>
              </w:tc>
              <w:tc>
                <w:tcPr>
                  <w:tcW w:w="4820" w:type="dxa"/>
                </w:tcPr>
                <w:p w14:paraId="200E9EA4" w14:textId="77777777" w:rsidR="004D0DEA" w:rsidRDefault="004D0DEA" w:rsidP="0039046B">
                  <w:pPr>
                    <w:keepNext/>
                    <w:keepLines/>
                    <w:spacing w:before="0" w:after="120"/>
                  </w:pPr>
                  <w:r>
                    <w:rPr>
                      <w:rFonts w:cs="Arial"/>
                    </w:rPr>
                    <w:t>Implementation of the m</w:t>
                  </w:r>
                  <w:r w:rsidRPr="00FB431A">
                    <w:rPr>
                      <w:rFonts w:cs="Arial"/>
                    </w:rPr>
                    <w:t>obile broadband strategy</w:t>
                  </w:r>
                  <w:r>
                    <w:rPr>
                      <w:rFonts w:cs="Arial"/>
                    </w:rPr>
                    <w:t xml:space="preserve"> and work program</w:t>
                  </w:r>
                </w:p>
              </w:tc>
            </w:tr>
            <w:tr w:rsidR="004D0DEA" w14:paraId="42BFB8A2" w14:textId="77777777" w:rsidTr="0039046B">
              <w:trPr>
                <w:trHeight w:val="340"/>
              </w:trPr>
              <w:tc>
                <w:tcPr>
                  <w:tcW w:w="3936" w:type="dxa"/>
                  <w:vMerge/>
                </w:tcPr>
                <w:p w14:paraId="58EA7C41" w14:textId="77777777" w:rsidR="004D0DEA" w:rsidRPr="00250ADC" w:rsidRDefault="004D0DEA" w:rsidP="0039046B">
                  <w:pPr>
                    <w:keepNext/>
                    <w:keepLines/>
                    <w:spacing w:before="0" w:after="0"/>
                  </w:pPr>
                </w:p>
              </w:tc>
              <w:tc>
                <w:tcPr>
                  <w:tcW w:w="4820" w:type="dxa"/>
                </w:tcPr>
                <w:p w14:paraId="36ADC086" w14:textId="77777777" w:rsidR="004D0DEA" w:rsidRDefault="004D0DEA" w:rsidP="0039046B">
                  <w:pPr>
                    <w:keepNext/>
                    <w:keepLines/>
                    <w:spacing w:before="0" w:after="120"/>
                  </w:pPr>
                  <w:r w:rsidRPr="00FB431A">
                    <w:rPr>
                      <w:rFonts w:cs="Arial"/>
                    </w:rPr>
                    <w:t>Priority compliance areas</w:t>
                  </w:r>
                </w:p>
              </w:tc>
            </w:tr>
            <w:tr w:rsidR="004D0DEA" w14:paraId="3520D792" w14:textId="77777777" w:rsidTr="0039046B">
              <w:trPr>
                <w:trHeight w:val="340"/>
              </w:trPr>
              <w:tc>
                <w:tcPr>
                  <w:tcW w:w="3936" w:type="dxa"/>
                  <w:vMerge/>
                </w:tcPr>
                <w:p w14:paraId="501B0487" w14:textId="77777777" w:rsidR="004D0DEA" w:rsidRDefault="004D0DEA" w:rsidP="0039046B">
                  <w:pPr>
                    <w:keepNext/>
                    <w:keepLines/>
                    <w:spacing w:before="0" w:after="0"/>
                  </w:pPr>
                </w:p>
              </w:tc>
              <w:tc>
                <w:tcPr>
                  <w:tcW w:w="4820" w:type="dxa"/>
                </w:tcPr>
                <w:p w14:paraId="37899B8A" w14:textId="77777777" w:rsidR="004D0DEA" w:rsidRDefault="004D0DEA" w:rsidP="0039046B">
                  <w:pPr>
                    <w:keepNext/>
                    <w:keepLines/>
                    <w:spacing w:before="0" w:after="120"/>
                  </w:pPr>
                  <w:r>
                    <w:rPr>
                      <w:rFonts w:cs="Arial"/>
                    </w:rPr>
                    <w:t>Spectrum pricing initiatives</w:t>
                  </w:r>
                </w:p>
              </w:tc>
            </w:tr>
            <w:tr w:rsidR="004D0DEA" w14:paraId="7D617815" w14:textId="77777777" w:rsidTr="0039046B">
              <w:trPr>
                <w:trHeight w:val="355"/>
              </w:trPr>
              <w:tc>
                <w:tcPr>
                  <w:tcW w:w="3936" w:type="dxa"/>
                  <w:vMerge/>
                </w:tcPr>
                <w:p w14:paraId="47FADF18" w14:textId="77777777" w:rsidR="004D0DEA" w:rsidRDefault="004D0DEA" w:rsidP="0039046B">
                  <w:pPr>
                    <w:keepNext/>
                    <w:keepLines/>
                    <w:spacing w:before="0" w:after="0"/>
                  </w:pPr>
                </w:p>
              </w:tc>
              <w:tc>
                <w:tcPr>
                  <w:tcW w:w="4820" w:type="dxa"/>
                </w:tcPr>
                <w:p w14:paraId="7E4D7A80" w14:textId="77777777" w:rsidR="004D0DEA" w:rsidRDefault="004D0DEA" w:rsidP="0039046B">
                  <w:pPr>
                    <w:keepNext/>
                    <w:keepLines/>
                    <w:spacing w:before="0" w:after="120"/>
                    <w:rPr>
                      <w:rFonts w:cs="Arial"/>
                    </w:rPr>
                  </w:pPr>
                  <w:r>
                    <w:rPr>
                      <w:rFonts w:cs="Arial"/>
                    </w:rPr>
                    <w:t>Spectrum allocations</w:t>
                  </w:r>
                </w:p>
              </w:tc>
            </w:tr>
            <w:tr w:rsidR="004D0DEA" w14:paraId="7EB837AA" w14:textId="77777777" w:rsidTr="0039046B">
              <w:trPr>
                <w:trHeight w:val="355"/>
              </w:trPr>
              <w:tc>
                <w:tcPr>
                  <w:tcW w:w="3936" w:type="dxa"/>
                  <w:vMerge/>
                </w:tcPr>
                <w:p w14:paraId="1F48B9F0" w14:textId="77777777" w:rsidR="004D0DEA" w:rsidRDefault="004D0DEA" w:rsidP="0039046B">
                  <w:pPr>
                    <w:keepNext/>
                    <w:keepLines/>
                    <w:spacing w:before="0" w:after="0"/>
                  </w:pPr>
                </w:p>
              </w:tc>
              <w:tc>
                <w:tcPr>
                  <w:tcW w:w="4820" w:type="dxa"/>
                </w:tcPr>
                <w:p w14:paraId="4411ECDA" w14:textId="77777777" w:rsidR="004D0DEA" w:rsidRDefault="004D0DEA" w:rsidP="0039046B">
                  <w:pPr>
                    <w:keepNext/>
                    <w:keepLines/>
                    <w:spacing w:before="0" w:after="120"/>
                    <w:rPr>
                      <w:rFonts w:cs="Arial"/>
                    </w:rPr>
                  </w:pPr>
                  <w:r>
                    <w:rPr>
                      <w:rFonts w:cs="Arial"/>
                    </w:rPr>
                    <w:t>Regional digital radio rollout</w:t>
                  </w:r>
                </w:p>
              </w:tc>
            </w:tr>
            <w:tr w:rsidR="004D0DEA" w14:paraId="2CC03F61" w14:textId="77777777" w:rsidTr="0039046B">
              <w:trPr>
                <w:trHeight w:val="355"/>
              </w:trPr>
              <w:tc>
                <w:tcPr>
                  <w:tcW w:w="3936" w:type="dxa"/>
                  <w:vMerge/>
                </w:tcPr>
                <w:p w14:paraId="7C3C781B" w14:textId="77777777" w:rsidR="004D0DEA" w:rsidRDefault="004D0DEA" w:rsidP="0039046B">
                  <w:pPr>
                    <w:keepNext/>
                    <w:keepLines/>
                    <w:spacing w:before="0" w:after="0"/>
                  </w:pPr>
                </w:p>
              </w:tc>
              <w:tc>
                <w:tcPr>
                  <w:tcW w:w="4820" w:type="dxa"/>
                </w:tcPr>
                <w:p w14:paraId="36D88DAF" w14:textId="77777777" w:rsidR="004D0DEA" w:rsidRPr="00FB431A" w:rsidRDefault="004D0DEA" w:rsidP="0039046B">
                  <w:pPr>
                    <w:keepNext/>
                    <w:keepLines/>
                    <w:spacing w:before="0" w:after="0"/>
                    <w:rPr>
                      <w:rFonts w:cs="Arial"/>
                    </w:rPr>
                  </w:pPr>
                  <w:r>
                    <w:rPr>
                      <w:rFonts w:cs="Arial"/>
                    </w:rPr>
                    <w:t>AM to FM conversions of commercial radio broadcasting services in regional licence areas</w:t>
                  </w:r>
                </w:p>
              </w:tc>
            </w:tr>
            <w:tr w:rsidR="004D0DEA" w14:paraId="27210664" w14:textId="77777777" w:rsidTr="0039046B">
              <w:trPr>
                <w:trHeight w:val="471"/>
              </w:trPr>
              <w:tc>
                <w:tcPr>
                  <w:tcW w:w="3936" w:type="dxa"/>
                  <w:shd w:val="clear" w:color="auto" w:fill="F2F2F2" w:themeFill="background1" w:themeFillShade="F2"/>
                </w:tcPr>
                <w:p w14:paraId="664C26AE" w14:textId="77777777" w:rsidR="004D0DEA" w:rsidRDefault="004D0DEA" w:rsidP="0039046B">
                  <w:pPr>
                    <w:keepNext/>
                    <w:keepLines/>
                    <w:spacing w:before="0" w:after="120"/>
                  </w:pPr>
                  <w:r w:rsidRPr="00FB431A">
                    <w:rPr>
                      <w:rFonts w:cs="Arial"/>
                      <w:b/>
                    </w:rPr>
                    <w:t>Reducing the cost to business arising from regulation</w:t>
                  </w:r>
                </w:p>
              </w:tc>
              <w:tc>
                <w:tcPr>
                  <w:tcW w:w="4820" w:type="dxa"/>
                  <w:shd w:val="clear" w:color="auto" w:fill="F2F2F2" w:themeFill="background1" w:themeFillShade="F2"/>
                </w:tcPr>
                <w:p w14:paraId="1274D521" w14:textId="77777777" w:rsidR="004D0DEA" w:rsidRPr="00FB431A" w:rsidRDefault="004D0DEA" w:rsidP="0039046B">
                  <w:pPr>
                    <w:keepNext/>
                    <w:keepLines/>
                    <w:spacing w:before="0" w:after="0"/>
                    <w:rPr>
                      <w:rFonts w:cs="Arial"/>
                    </w:rPr>
                  </w:pPr>
                  <w:r w:rsidRPr="00FB431A">
                    <w:rPr>
                      <w:rFonts w:cs="Arial"/>
                    </w:rPr>
                    <w:t xml:space="preserve">Customer </w:t>
                  </w:r>
                  <w:r w:rsidR="0039046B">
                    <w:rPr>
                      <w:rFonts w:cs="Arial"/>
                    </w:rPr>
                    <w:t>s</w:t>
                  </w:r>
                  <w:r>
                    <w:rPr>
                      <w:rFonts w:cs="Arial"/>
                    </w:rPr>
                    <w:t xml:space="preserve">elf </w:t>
                  </w:r>
                  <w:r w:rsidR="0039046B">
                    <w:rPr>
                      <w:rFonts w:cs="Arial"/>
                    </w:rPr>
                    <w:t>s</w:t>
                  </w:r>
                  <w:r>
                    <w:rPr>
                      <w:rFonts w:cs="Arial"/>
                    </w:rPr>
                    <w:t>ervice</w:t>
                  </w:r>
                </w:p>
              </w:tc>
            </w:tr>
            <w:tr w:rsidR="004D0DEA" w14:paraId="4BA803B9" w14:textId="77777777" w:rsidTr="0039046B">
              <w:trPr>
                <w:trHeight w:val="399"/>
              </w:trPr>
              <w:tc>
                <w:tcPr>
                  <w:tcW w:w="3936" w:type="dxa"/>
                  <w:vMerge w:val="restart"/>
                </w:tcPr>
                <w:p w14:paraId="38FEF508" w14:textId="77777777" w:rsidR="004D0DEA" w:rsidRPr="00FB431A" w:rsidRDefault="004D0DEA" w:rsidP="0039046B">
                  <w:pPr>
                    <w:keepNext/>
                    <w:keepLines/>
                    <w:spacing w:before="0" w:after="0"/>
                    <w:rPr>
                      <w:rFonts w:cs="Arial"/>
                      <w:b/>
                    </w:rPr>
                  </w:pPr>
                  <w:r w:rsidRPr="00FB431A">
                    <w:rPr>
                      <w:rFonts w:cs="Arial"/>
                      <w:b/>
                    </w:rPr>
                    <w:t xml:space="preserve">Implementing </w:t>
                  </w:r>
                  <w:r>
                    <w:rPr>
                      <w:rFonts w:cs="Arial"/>
                      <w:b/>
                    </w:rPr>
                    <w:t>current reform priorities</w:t>
                  </w:r>
                </w:p>
              </w:tc>
              <w:tc>
                <w:tcPr>
                  <w:tcW w:w="4820" w:type="dxa"/>
                </w:tcPr>
                <w:p w14:paraId="280B116B" w14:textId="77777777" w:rsidR="004D0DEA" w:rsidRPr="00FB431A" w:rsidRDefault="004D0DEA" w:rsidP="0039046B">
                  <w:pPr>
                    <w:keepNext/>
                    <w:keepLines/>
                    <w:spacing w:before="0" w:after="120"/>
                    <w:rPr>
                      <w:rFonts w:cs="Arial"/>
                    </w:rPr>
                  </w:pPr>
                  <w:r>
                    <w:rPr>
                      <w:rFonts w:cs="Arial"/>
                    </w:rPr>
                    <w:t xml:space="preserve">Spectrum Review implementation </w:t>
                  </w:r>
                </w:p>
              </w:tc>
            </w:tr>
            <w:tr w:rsidR="004D0DEA" w14:paraId="080B99B7" w14:textId="77777777" w:rsidTr="0039046B">
              <w:trPr>
                <w:trHeight w:val="340"/>
              </w:trPr>
              <w:tc>
                <w:tcPr>
                  <w:tcW w:w="3936" w:type="dxa"/>
                  <w:vMerge/>
                </w:tcPr>
                <w:p w14:paraId="07A39F7C" w14:textId="77777777" w:rsidR="004D0DEA" w:rsidRPr="00FB431A" w:rsidRDefault="004D0DEA" w:rsidP="0039046B">
                  <w:pPr>
                    <w:keepNext/>
                    <w:keepLines/>
                    <w:spacing w:before="0" w:after="0"/>
                    <w:rPr>
                      <w:rFonts w:cs="Arial"/>
                      <w:b/>
                    </w:rPr>
                  </w:pPr>
                </w:p>
              </w:tc>
              <w:tc>
                <w:tcPr>
                  <w:tcW w:w="4820" w:type="dxa"/>
                </w:tcPr>
                <w:p w14:paraId="2B2A1245" w14:textId="77777777" w:rsidR="004D0DEA" w:rsidRPr="00FB431A" w:rsidRDefault="004D0DEA" w:rsidP="0039046B">
                  <w:pPr>
                    <w:keepNext/>
                    <w:keepLines/>
                    <w:spacing w:before="0" w:after="120"/>
                    <w:rPr>
                      <w:rFonts w:cs="Arial"/>
                    </w:rPr>
                  </w:pPr>
                  <w:r w:rsidRPr="00FB431A">
                    <w:rPr>
                      <w:rFonts w:cs="Arial"/>
                    </w:rPr>
                    <w:t>Implementing outcomes from the 400 MHz band review</w:t>
                  </w:r>
                </w:p>
              </w:tc>
            </w:tr>
            <w:tr w:rsidR="004D0DEA" w14:paraId="6096584E" w14:textId="77777777" w:rsidTr="0039046B">
              <w:trPr>
                <w:trHeight w:val="340"/>
              </w:trPr>
              <w:tc>
                <w:tcPr>
                  <w:tcW w:w="3936" w:type="dxa"/>
                  <w:vMerge/>
                </w:tcPr>
                <w:p w14:paraId="4014C13F" w14:textId="77777777" w:rsidR="004D0DEA" w:rsidRPr="00FB431A" w:rsidRDefault="004D0DEA" w:rsidP="0039046B">
                  <w:pPr>
                    <w:keepNext/>
                    <w:keepLines/>
                    <w:spacing w:before="0" w:after="0"/>
                    <w:rPr>
                      <w:rFonts w:cs="Arial"/>
                      <w:b/>
                    </w:rPr>
                  </w:pPr>
                </w:p>
              </w:tc>
              <w:tc>
                <w:tcPr>
                  <w:tcW w:w="4820" w:type="dxa"/>
                </w:tcPr>
                <w:p w14:paraId="77465777" w14:textId="77777777" w:rsidR="004D0DEA" w:rsidRPr="00FB431A" w:rsidRDefault="004D0DEA" w:rsidP="0039046B">
                  <w:pPr>
                    <w:keepNext/>
                    <w:keepLines/>
                    <w:spacing w:before="0" w:after="120"/>
                    <w:rPr>
                      <w:rFonts w:cs="Arial"/>
                    </w:rPr>
                  </w:pPr>
                  <w:r>
                    <w:rPr>
                      <w:rFonts w:cs="Arial"/>
                    </w:rPr>
                    <w:t>Update to the Australian Radiofrequency Spectrum Plan</w:t>
                  </w:r>
                </w:p>
              </w:tc>
            </w:tr>
          </w:tbl>
          <w:p w14:paraId="02C68DB8" w14:textId="77777777" w:rsidR="004D0DEA" w:rsidRDefault="004D0DEA" w:rsidP="0039046B">
            <w:pPr>
              <w:keepNext/>
              <w:keepLines/>
              <w:spacing w:after="0"/>
            </w:pPr>
          </w:p>
        </w:tc>
      </w:tr>
    </w:tbl>
    <w:p w14:paraId="68BAAE5E" w14:textId="77777777" w:rsidR="001A16D0" w:rsidRDefault="001A16D0" w:rsidP="001A16D0">
      <w:pPr>
        <w:pStyle w:val="ACMASpaceaftertable"/>
      </w:pPr>
      <w:bookmarkStart w:id="212" w:name="_Toc455579199"/>
      <w:bookmarkStart w:id="213" w:name="_Toc455579200"/>
      <w:bookmarkStart w:id="214" w:name="_Toc455579201"/>
      <w:bookmarkStart w:id="215" w:name="_Toc455579202"/>
      <w:bookmarkStart w:id="216" w:name="_Toc455579203"/>
      <w:bookmarkStart w:id="217" w:name="_Toc421196906"/>
      <w:bookmarkStart w:id="218" w:name="_Toc421626772"/>
      <w:bookmarkStart w:id="219" w:name="_Toc422405888"/>
      <w:bookmarkStart w:id="220" w:name="_Toc425954296"/>
      <w:bookmarkStart w:id="221" w:name="_Toc455579204"/>
      <w:bookmarkStart w:id="222" w:name="_Toc456616627"/>
      <w:bookmarkStart w:id="223" w:name="_Toc458084554"/>
      <w:bookmarkStart w:id="224" w:name="_Toc458608691"/>
      <w:bookmarkStart w:id="225" w:name="_Toc461108001"/>
      <w:bookmarkStart w:id="226" w:name="_Toc461194828"/>
      <w:bookmarkStart w:id="227" w:name="_Toc461445479"/>
      <w:bookmarkEnd w:id="212"/>
      <w:bookmarkEnd w:id="213"/>
      <w:bookmarkEnd w:id="214"/>
      <w:bookmarkEnd w:id="215"/>
      <w:bookmarkEnd w:id="216"/>
    </w:p>
    <w:p w14:paraId="5CC044B5" w14:textId="77777777" w:rsidR="004D0DEA" w:rsidRDefault="004D0DEA" w:rsidP="001A16D0">
      <w:pPr>
        <w:pStyle w:val="Heading2"/>
        <w:keepNext w:val="0"/>
        <w:spacing w:before="60" w:after="120"/>
        <w:rPr>
          <w:lang w:val="en-US"/>
        </w:rPr>
      </w:pPr>
      <w:bookmarkStart w:id="228" w:name="_Toc463351316"/>
      <w:r>
        <w:t>Theme—Maximising the overall public benefit arising from use of spectrum</w:t>
      </w:r>
      <w:bookmarkEnd w:id="217"/>
      <w:bookmarkEnd w:id="218"/>
      <w:bookmarkEnd w:id="219"/>
      <w:bookmarkEnd w:id="220"/>
      <w:bookmarkEnd w:id="221"/>
      <w:bookmarkEnd w:id="222"/>
      <w:bookmarkEnd w:id="223"/>
      <w:bookmarkEnd w:id="224"/>
      <w:bookmarkEnd w:id="225"/>
      <w:bookmarkEnd w:id="226"/>
      <w:bookmarkEnd w:id="227"/>
      <w:bookmarkEnd w:id="228"/>
    </w:p>
    <w:p w14:paraId="5718B78F" w14:textId="77777777" w:rsidR="004D0DEA" w:rsidRDefault="004D0DEA" w:rsidP="001A16D0">
      <w:pPr>
        <w:pStyle w:val="Heading3"/>
        <w:keepNext w:val="0"/>
        <w:ind w:left="-142" w:firstLine="142"/>
        <w:rPr>
          <w:lang w:val="en-US"/>
        </w:rPr>
      </w:pPr>
      <w:bookmarkStart w:id="229" w:name="_Toc421196907"/>
      <w:bookmarkStart w:id="230" w:name="_Toc421626773"/>
      <w:bookmarkStart w:id="231" w:name="_Toc422405889"/>
      <w:bookmarkStart w:id="232" w:name="_Toc425954297"/>
      <w:bookmarkStart w:id="233" w:name="_Toc455579205"/>
      <w:bookmarkStart w:id="234" w:name="_Toc456616628"/>
      <w:bookmarkStart w:id="235" w:name="_Toc458084555"/>
      <w:bookmarkStart w:id="236" w:name="_Toc458608692"/>
      <w:bookmarkStart w:id="237" w:name="_Toc461108002"/>
      <w:bookmarkStart w:id="238" w:name="_Toc461194829"/>
      <w:bookmarkStart w:id="239" w:name="_Toc461445480"/>
      <w:bookmarkStart w:id="240" w:name="_Toc463351317"/>
      <w:r>
        <w:rPr>
          <w:lang w:val="en-US"/>
        </w:rPr>
        <w:t>Implementation of the mobile broadband strategy</w:t>
      </w:r>
      <w:bookmarkEnd w:id="229"/>
      <w:bookmarkEnd w:id="230"/>
      <w:bookmarkEnd w:id="231"/>
      <w:bookmarkEnd w:id="232"/>
      <w:r>
        <w:rPr>
          <w:lang w:val="en-US"/>
        </w:rPr>
        <w:t xml:space="preserve"> and work program</w:t>
      </w:r>
      <w:bookmarkEnd w:id="233"/>
      <w:bookmarkEnd w:id="234"/>
      <w:bookmarkEnd w:id="235"/>
      <w:bookmarkEnd w:id="236"/>
      <w:bookmarkEnd w:id="237"/>
      <w:bookmarkEnd w:id="238"/>
      <w:bookmarkEnd w:id="239"/>
      <w:bookmarkEnd w:id="240"/>
    </w:p>
    <w:p w14:paraId="6A46C0B0" w14:textId="77777777" w:rsidR="004D0DEA" w:rsidRDefault="004D0DEA" w:rsidP="004D0DEA">
      <w:pPr>
        <w:pStyle w:val="BodySubHeader"/>
      </w:pPr>
      <w:bookmarkStart w:id="241" w:name="_Toc455579209"/>
      <w:bookmarkStart w:id="242" w:name="_Toc455579211"/>
      <w:bookmarkStart w:id="243" w:name="_Toc455579212"/>
      <w:bookmarkStart w:id="244" w:name="_Toc455579214"/>
      <w:bookmarkStart w:id="245" w:name="_Toc421196909"/>
      <w:bookmarkStart w:id="246" w:name="_Toc421626775"/>
      <w:bookmarkStart w:id="247" w:name="_Toc422405891"/>
      <w:bookmarkStart w:id="248" w:name="_Toc425954299"/>
      <w:bookmarkStart w:id="249" w:name="_Toc455579215"/>
      <w:bookmarkStart w:id="250" w:name="_Toc456616629"/>
      <w:bookmarkStart w:id="251" w:name="_Toc458084556"/>
      <w:bookmarkStart w:id="252" w:name="_Toc458608693"/>
      <w:bookmarkEnd w:id="241"/>
      <w:bookmarkEnd w:id="242"/>
      <w:bookmarkEnd w:id="243"/>
      <w:bookmarkEnd w:id="244"/>
      <w:r w:rsidRPr="00C94EA4">
        <w:t>Background</w:t>
      </w:r>
    </w:p>
    <w:p w14:paraId="375B14AD" w14:textId="77777777" w:rsidR="004D0DEA" w:rsidRPr="00C94EA4" w:rsidRDefault="004D0DEA" w:rsidP="004D0DEA">
      <w:pPr>
        <w:rPr>
          <w:rFonts w:cs="Arial"/>
          <w:szCs w:val="20"/>
        </w:rPr>
      </w:pPr>
      <w:r w:rsidRPr="00C94EA4">
        <w:rPr>
          <w:rFonts w:cs="Arial"/>
          <w:szCs w:val="20"/>
        </w:rPr>
        <w:t>Addressing the growth in demand for mobile broadband capacity has been a headline issue in the ACMA’s spectrum management work program since its inception in February 2006. While traditionally the search for additional spectrum for mobile broadband services has been focused on frequency bands below around 4 GHz, recent international interest has extended into higher frequency bands well above 6</w:t>
      </w:r>
      <w:r>
        <w:rPr>
          <w:rFonts w:cs="Arial"/>
          <w:szCs w:val="20"/>
        </w:rPr>
        <w:t> </w:t>
      </w:r>
      <w:r w:rsidRPr="00C94EA4">
        <w:rPr>
          <w:rFonts w:cs="Arial"/>
          <w:szCs w:val="20"/>
        </w:rPr>
        <w:t>GHz.</w:t>
      </w:r>
    </w:p>
    <w:p w14:paraId="3C350A8A" w14:textId="77777777" w:rsidR="004D0DEA" w:rsidRDefault="004D0DEA" w:rsidP="004D0DEA">
      <w:pPr>
        <w:rPr>
          <w:rFonts w:cs="Arial"/>
          <w:szCs w:val="20"/>
        </w:rPr>
      </w:pPr>
      <w:r w:rsidRPr="00C94EA4">
        <w:rPr>
          <w:rFonts w:cs="Arial"/>
          <w:szCs w:val="20"/>
        </w:rPr>
        <w:t xml:space="preserve">The ACMA is of the view that supporting the continued growth of mobile broadband services would promote the object (section 3) of the Act, including the maximisation of the overall public benefit derived from using the radiofrequency spectrum, and would be consistent with the Principles. However, as required under the Act and the </w:t>
      </w:r>
      <w:r>
        <w:rPr>
          <w:rFonts w:cs="Arial"/>
          <w:szCs w:val="20"/>
        </w:rPr>
        <w:t>P</w:t>
      </w:r>
      <w:r w:rsidRPr="00C94EA4">
        <w:rPr>
          <w:rFonts w:cs="Arial"/>
          <w:szCs w:val="20"/>
        </w:rPr>
        <w:t>rinciples, the ACMA’s spectrum ma</w:t>
      </w:r>
      <w:r w:rsidRPr="00C95707">
        <w:t>n</w:t>
      </w:r>
      <w:r w:rsidRPr="00C94EA4">
        <w:rPr>
          <w:rFonts w:cs="Arial"/>
          <w:szCs w:val="20"/>
        </w:rPr>
        <w:t xml:space="preserve">agement decisions in support of mobile broadband need to be balanced with the impacts on other spectrum users. </w:t>
      </w:r>
    </w:p>
    <w:p w14:paraId="59E213DE" w14:textId="77777777" w:rsidR="004D0DEA" w:rsidRPr="005668B1" w:rsidRDefault="004D0DEA" w:rsidP="004D0DEA">
      <w:pPr>
        <w:pStyle w:val="Bodysubheader0"/>
        <w:rPr>
          <w:rFonts w:cs="Arial"/>
          <w:szCs w:val="20"/>
        </w:rPr>
      </w:pPr>
      <w:r w:rsidRPr="005668B1">
        <w:rPr>
          <w:rFonts w:cs="Arial"/>
          <w:szCs w:val="20"/>
        </w:rPr>
        <w:t>Project phase</w:t>
      </w:r>
    </w:p>
    <w:p w14:paraId="51210D47" w14:textId="77777777" w:rsidR="004D0DEA" w:rsidRPr="00C94EA4" w:rsidRDefault="004D0DEA" w:rsidP="004D0DEA">
      <w:pPr>
        <w:rPr>
          <w:rFonts w:cs="Arial"/>
          <w:szCs w:val="20"/>
        </w:rPr>
      </w:pPr>
      <w:r>
        <w:rPr>
          <w:rFonts w:cs="Arial"/>
          <w:szCs w:val="20"/>
        </w:rPr>
        <w:t>The mobile broadband work program includes several mobile</w:t>
      </w:r>
      <w:r w:rsidRPr="00A03F16">
        <w:t xml:space="preserve"> broadband planning projects</w:t>
      </w:r>
      <w:r>
        <w:t xml:space="preserve"> at various stages of consideration. The following implementation activities will be undertaken over the next 12 months. </w:t>
      </w:r>
    </w:p>
    <w:p w14:paraId="7C0750A1" w14:textId="77777777" w:rsidR="004D0DEA" w:rsidRPr="004D0DEA" w:rsidRDefault="004D0DEA" w:rsidP="0039046B">
      <w:pPr>
        <w:pStyle w:val="ACMATableHeader"/>
      </w:pPr>
      <w:r w:rsidRPr="004D0DEA">
        <w:t>Next steps—implementation of the mobile broadband strategy and work program</w:t>
      </w:r>
    </w:p>
    <w:tbl>
      <w:tblPr>
        <w:tblStyle w:val="TableGrid"/>
        <w:tblW w:w="9209" w:type="dxa"/>
        <w:tblCellMar>
          <w:top w:w="57" w:type="dxa"/>
          <w:left w:w="57" w:type="dxa"/>
          <w:bottom w:w="57" w:type="dxa"/>
          <w:right w:w="57" w:type="dxa"/>
        </w:tblCellMar>
        <w:tblLook w:val="04A0" w:firstRow="1" w:lastRow="0" w:firstColumn="1" w:lastColumn="0" w:noHBand="0" w:noVBand="1"/>
        <w:tblCaption w:val="Next steps—implementation of the mobile broadband strategy and work program"/>
        <w:tblDescription w:val="includes work task/activity, stage/phase, project details and timing."/>
      </w:tblPr>
      <w:tblGrid>
        <w:gridCol w:w="2972"/>
        <w:gridCol w:w="2126"/>
        <w:gridCol w:w="2127"/>
        <w:gridCol w:w="1984"/>
      </w:tblGrid>
      <w:tr w:rsidR="004D0DEA" w:rsidRPr="00466CA1" w14:paraId="662D81CB" w14:textId="77777777" w:rsidTr="0039046B">
        <w:trPr>
          <w:tblHeader/>
        </w:trPr>
        <w:tc>
          <w:tcPr>
            <w:tcW w:w="2972" w:type="dxa"/>
            <w:shd w:val="clear" w:color="auto" w:fill="404040" w:themeFill="text1" w:themeFillTint="BF"/>
          </w:tcPr>
          <w:p w14:paraId="3FAD29A6"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126" w:type="dxa"/>
            <w:shd w:val="clear" w:color="auto" w:fill="404040" w:themeFill="text1" w:themeFillTint="BF"/>
          </w:tcPr>
          <w:p w14:paraId="71239434"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2127" w:type="dxa"/>
            <w:shd w:val="clear" w:color="auto" w:fill="404040" w:themeFill="text1" w:themeFillTint="BF"/>
          </w:tcPr>
          <w:p w14:paraId="7CF972FE"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984" w:type="dxa"/>
            <w:shd w:val="clear" w:color="auto" w:fill="404040" w:themeFill="text1" w:themeFillTint="BF"/>
          </w:tcPr>
          <w:p w14:paraId="08BD6DE4"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466CA1" w14:paraId="444A90E1" w14:textId="77777777" w:rsidTr="00375F63">
        <w:tc>
          <w:tcPr>
            <w:tcW w:w="2972" w:type="dxa"/>
          </w:tcPr>
          <w:p w14:paraId="7AD92AE6" w14:textId="77777777" w:rsidR="004D0DEA" w:rsidRPr="00466CA1" w:rsidRDefault="004D0DEA" w:rsidP="0039046B">
            <w:pPr>
              <w:spacing w:after="120"/>
              <w:rPr>
                <w:rFonts w:cs="Arial"/>
                <w:szCs w:val="20"/>
              </w:rPr>
            </w:pPr>
            <w:r w:rsidRPr="00466CA1">
              <w:rPr>
                <w:rFonts w:cs="Arial"/>
                <w:szCs w:val="20"/>
              </w:rPr>
              <w:t>Release of discussion paper to further progress consideration of the 1.5 GHz and 3.6 GHz bands</w:t>
            </w:r>
          </w:p>
        </w:tc>
        <w:tc>
          <w:tcPr>
            <w:tcW w:w="2126" w:type="dxa"/>
          </w:tcPr>
          <w:p w14:paraId="784FB7CE" w14:textId="77777777" w:rsidR="004D0DEA" w:rsidRPr="00466CA1" w:rsidRDefault="004D0DEA" w:rsidP="0039046B">
            <w:pPr>
              <w:spacing w:after="120"/>
              <w:rPr>
                <w:rFonts w:cs="Arial"/>
                <w:szCs w:val="20"/>
              </w:rPr>
            </w:pPr>
            <w:r w:rsidRPr="00466CA1">
              <w:rPr>
                <w:rFonts w:cs="Arial"/>
                <w:szCs w:val="20"/>
              </w:rPr>
              <w:t xml:space="preserve">Initial investigation </w:t>
            </w:r>
          </w:p>
        </w:tc>
        <w:tc>
          <w:tcPr>
            <w:tcW w:w="2127" w:type="dxa"/>
          </w:tcPr>
          <w:p w14:paraId="254B5C96" w14:textId="77777777" w:rsidR="004D0DEA" w:rsidRPr="00466CA1" w:rsidRDefault="004D0DEA" w:rsidP="0039046B">
            <w:pPr>
              <w:spacing w:after="120"/>
              <w:rPr>
                <w:rFonts w:cs="Arial"/>
                <w:szCs w:val="20"/>
              </w:rPr>
            </w:pPr>
            <w:r w:rsidRPr="00466CA1">
              <w:rPr>
                <w:rFonts w:cs="Arial"/>
                <w:szCs w:val="20"/>
              </w:rPr>
              <w:t xml:space="preserve">Mobile </w:t>
            </w:r>
            <w:r>
              <w:rPr>
                <w:rFonts w:cs="Arial"/>
                <w:szCs w:val="20"/>
              </w:rPr>
              <w:t>b</w:t>
            </w:r>
            <w:r w:rsidRPr="00466CA1">
              <w:rPr>
                <w:rFonts w:cs="Arial"/>
                <w:szCs w:val="20"/>
              </w:rPr>
              <w:t>roadband work program</w:t>
            </w:r>
          </w:p>
        </w:tc>
        <w:tc>
          <w:tcPr>
            <w:tcW w:w="1984" w:type="dxa"/>
          </w:tcPr>
          <w:p w14:paraId="572BBEFB" w14:textId="77777777" w:rsidR="004D0DEA" w:rsidRPr="00466CA1" w:rsidRDefault="004D0DEA" w:rsidP="0039046B">
            <w:pPr>
              <w:spacing w:after="120"/>
              <w:rPr>
                <w:rFonts w:cs="Arial"/>
                <w:szCs w:val="20"/>
              </w:rPr>
            </w:pPr>
            <w:r w:rsidRPr="00466CA1">
              <w:rPr>
                <w:rFonts w:cs="Arial"/>
                <w:szCs w:val="20"/>
              </w:rPr>
              <w:t>Q4</w:t>
            </w:r>
            <w:r>
              <w:rPr>
                <w:rFonts w:cs="Arial"/>
                <w:szCs w:val="20"/>
              </w:rPr>
              <w:t>,</w:t>
            </w:r>
            <w:r w:rsidRPr="00466CA1">
              <w:rPr>
                <w:rFonts w:cs="Arial"/>
                <w:szCs w:val="20"/>
              </w:rPr>
              <w:t xml:space="preserve"> 2016</w:t>
            </w:r>
          </w:p>
        </w:tc>
      </w:tr>
      <w:tr w:rsidR="004D0DEA" w:rsidRPr="00466CA1" w14:paraId="18A1116C" w14:textId="77777777" w:rsidTr="00CF4F06">
        <w:tc>
          <w:tcPr>
            <w:tcW w:w="2972" w:type="dxa"/>
            <w:shd w:val="clear" w:color="auto" w:fill="F2F2F2" w:themeFill="background1" w:themeFillShade="F2"/>
          </w:tcPr>
          <w:p w14:paraId="7BA4DE94" w14:textId="26E2E2D0" w:rsidR="004D0DEA" w:rsidRPr="00466CA1" w:rsidRDefault="004D0DEA" w:rsidP="0039046B">
            <w:pPr>
              <w:spacing w:after="120"/>
              <w:rPr>
                <w:rFonts w:cs="Arial"/>
                <w:szCs w:val="20"/>
              </w:rPr>
            </w:pPr>
            <w:r w:rsidRPr="00466CA1">
              <w:rPr>
                <w:rFonts w:cs="Arial"/>
                <w:szCs w:val="20"/>
              </w:rPr>
              <w:t>Consult on an appropriate re-farming mechanism and reform timetable for the 890</w:t>
            </w:r>
            <w:r>
              <w:rPr>
                <w:rFonts w:cs="Arial"/>
                <w:szCs w:val="20"/>
              </w:rPr>
              <w:t>–</w:t>
            </w:r>
            <w:r w:rsidRPr="00466CA1">
              <w:rPr>
                <w:rFonts w:cs="Arial"/>
                <w:szCs w:val="20"/>
              </w:rPr>
              <w:t>915</w:t>
            </w:r>
            <w:r w:rsidR="005356C6">
              <w:rPr>
                <w:rFonts w:cs="Arial"/>
                <w:szCs w:val="20"/>
              </w:rPr>
              <w:t xml:space="preserve"> </w:t>
            </w:r>
            <w:r w:rsidRPr="00466CA1">
              <w:rPr>
                <w:rFonts w:cs="Arial"/>
                <w:szCs w:val="20"/>
              </w:rPr>
              <w:t>MHz/935</w:t>
            </w:r>
            <w:r>
              <w:rPr>
                <w:rFonts w:cs="Arial"/>
                <w:szCs w:val="20"/>
              </w:rPr>
              <w:t>–</w:t>
            </w:r>
            <w:r w:rsidRPr="00466CA1">
              <w:rPr>
                <w:rFonts w:cs="Arial"/>
                <w:szCs w:val="20"/>
              </w:rPr>
              <w:t>960 MHz band</w:t>
            </w:r>
          </w:p>
        </w:tc>
        <w:tc>
          <w:tcPr>
            <w:tcW w:w="2126" w:type="dxa"/>
            <w:shd w:val="clear" w:color="auto" w:fill="F2F2F2" w:themeFill="background1" w:themeFillShade="F2"/>
          </w:tcPr>
          <w:p w14:paraId="7EFBC19B" w14:textId="77777777" w:rsidR="004D0DEA" w:rsidRPr="00466CA1" w:rsidRDefault="004D0DEA" w:rsidP="0039046B">
            <w:pPr>
              <w:spacing w:after="120"/>
              <w:rPr>
                <w:rFonts w:cs="Arial"/>
                <w:szCs w:val="20"/>
              </w:rPr>
            </w:pPr>
            <w:r w:rsidRPr="00466CA1">
              <w:rPr>
                <w:rFonts w:cs="Arial"/>
                <w:szCs w:val="20"/>
              </w:rPr>
              <w:t>Re-farming</w:t>
            </w:r>
          </w:p>
        </w:tc>
        <w:tc>
          <w:tcPr>
            <w:tcW w:w="2127" w:type="dxa"/>
            <w:shd w:val="clear" w:color="auto" w:fill="F2F2F2" w:themeFill="background1" w:themeFillShade="F2"/>
          </w:tcPr>
          <w:p w14:paraId="1B3F629A" w14:textId="77777777" w:rsidR="004D0DEA" w:rsidRPr="00466CA1" w:rsidRDefault="004D0DEA" w:rsidP="0039046B">
            <w:pPr>
              <w:spacing w:after="120"/>
              <w:rPr>
                <w:rFonts w:cs="Arial"/>
                <w:szCs w:val="20"/>
              </w:rPr>
            </w:pPr>
            <w:r w:rsidRPr="00466CA1">
              <w:rPr>
                <w:rFonts w:cs="Arial"/>
                <w:szCs w:val="20"/>
              </w:rPr>
              <w:t>Implementation of the outcomes of the 803</w:t>
            </w:r>
            <w:r>
              <w:rPr>
                <w:rFonts w:cs="Arial"/>
                <w:szCs w:val="20"/>
              </w:rPr>
              <w:t>–</w:t>
            </w:r>
            <w:r w:rsidRPr="00466CA1">
              <w:rPr>
                <w:rFonts w:cs="Arial"/>
                <w:szCs w:val="20"/>
              </w:rPr>
              <w:t>960 MHz band review</w:t>
            </w:r>
          </w:p>
        </w:tc>
        <w:tc>
          <w:tcPr>
            <w:tcW w:w="1984" w:type="dxa"/>
            <w:shd w:val="clear" w:color="auto" w:fill="F2F2F2" w:themeFill="background1" w:themeFillShade="F2"/>
          </w:tcPr>
          <w:p w14:paraId="69B67B32" w14:textId="77777777" w:rsidR="004D0DEA" w:rsidRPr="00466CA1" w:rsidRDefault="004D0DEA" w:rsidP="0039046B">
            <w:pPr>
              <w:spacing w:after="120"/>
              <w:rPr>
                <w:rFonts w:cs="Arial"/>
                <w:szCs w:val="20"/>
              </w:rPr>
            </w:pPr>
            <w:r w:rsidRPr="00466CA1">
              <w:rPr>
                <w:rFonts w:cs="Arial"/>
                <w:szCs w:val="20"/>
              </w:rPr>
              <w:t>Q4</w:t>
            </w:r>
            <w:r>
              <w:rPr>
                <w:rFonts w:cs="Arial"/>
                <w:szCs w:val="20"/>
              </w:rPr>
              <w:t>,</w:t>
            </w:r>
            <w:r w:rsidRPr="00466CA1">
              <w:rPr>
                <w:rFonts w:cs="Arial"/>
                <w:szCs w:val="20"/>
              </w:rPr>
              <w:t xml:space="preserve"> 2016</w:t>
            </w:r>
          </w:p>
        </w:tc>
      </w:tr>
      <w:tr w:rsidR="004D0DEA" w:rsidRPr="00466CA1" w14:paraId="3EC880ED" w14:textId="77777777" w:rsidTr="00375F63">
        <w:tc>
          <w:tcPr>
            <w:tcW w:w="2972" w:type="dxa"/>
          </w:tcPr>
          <w:p w14:paraId="7626110E" w14:textId="77777777" w:rsidR="004D0DEA" w:rsidRPr="00466CA1" w:rsidRDefault="004D0DEA" w:rsidP="0039046B">
            <w:pPr>
              <w:spacing w:after="120"/>
              <w:rPr>
                <w:rFonts w:cs="Arial"/>
                <w:szCs w:val="20"/>
              </w:rPr>
            </w:pPr>
            <w:r w:rsidRPr="00466CA1">
              <w:rPr>
                <w:rFonts w:cs="Arial"/>
                <w:szCs w:val="20"/>
              </w:rPr>
              <w:t>Observe and analyse bands identified in the monitoring stage of the process for consideration of additional spectrum suitable for mobile broadband services (including international engagement on bands as appropriate) on an ongoing basis</w:t>
            </w:r>
          </w:p>
        </w:tc>
        <w:tc>
          <w:tcPr>
            <w:tcW w:w="2126" w:type="dxa"/>
          </w:tcPr>
          <w:p w14:paraId="2D694876" w14:textId="77777777" w:rsidR="004D0DEA" w:rsidRPr="00466CA1" w:rsidRDefault="004D0DEA" w:rsidP="0039046B">
            <w:pPr>
              <w:spacing w:after="120"/>
              <w:rPr>
                <w:rFonts w:cs="Arial"/>
                <w:szCs w:val="20"/>
              </w:rPr>
            </w:pPr>
            <w:r w:rsidRPr="00466CA1">
              <w:rPr>
                <w:rFonts w:cs="Arial"/>
                <w:szCs w:val="20"/>
              </w:rPr>
              <w:t>Monitoring</w:t>
            </w:r>
          </w:p>
        </w:tc>
        <w:tc>
          <w:tcPr>
            <w:tcW w:w="2127" w:type="dxa"/>
          </w:tcPr>
          <w:p w14:paraId="3B0DB2CE" w14:textId="77777777" w:rsidR="004D0DEA" w:rsidRPr="00466CA1" w:rsidRDefault="004D0DEA" w:rsidP="0039046B">
            <w:pPr>
              <w:spacing w:after="120"/>
              <w:rPr>
                <w:rFonts w:cs="Arial"/>
                <w:szCs w:val="20"/>
              </w:rPr>
            </w:pPr>
            <w:r w:rsidRPr="00466CA1">
              <w:rPr>
                <w:rFonts w:cs="Arial"/>
                <w:szCs w:val="20"/>
              </w:rPr>
              <w:t xml:space="preserve">Mobile </w:t>
            </w:r>
            <w:r>
              <w:rPr>
                <w:rFonts w:cs="Arial"/>
                <w:szCs w:val="20"/>
              </w:rPr>
              <w:t>b</w:t>
            </w:r>
            <w:r w:rsidRPr="00466CA1">
              <w:rPr>
                <w:rFonts w:cs="Arial"/>
                <w:szCs w:val="20"/>
              </w:rPr>
              <w:t>roadband work program</w:t>
            </w:r>
          </w:p>
        </w:tc>
        <w:tc>
          <w:tcPr>
            <w:tcW w:w="1984" w:type="dxa"/>
          </w:tcPr>
          <w:p w14:paraId="17915DCF" w14:textId="77777777" w:rsidR="004D0DEA" w:rsidRPr="00466CA1" w:rsidRDefault="004D0DEA" w:rsidP="0039046B">
            <w:pPr>
              <w:spacing w:after="120"/>
              <w:rPr>
                <w:rFonts w:cs="Arial"/>
                <w:szCs w:val="20"/>
              </w:rPr>
            </w:pPr>
            <w:r w:rsidRPr="00466CA1">
              <w:rPr>
                <w:rFonts w:cs="Arial"/>
                <w:szCs w:val="20"/>
              </w:rPr>
              <w:t>Ongoing</w:t>
            </w:r>
          </w:p>
        </w:tc>
      </w:tr>
    </w:tbl>
    <w:p w14:paraId="2D06DCD0" w14:textId="77777777" w:rsidR="004D0DEA" w:rsidRDefault="004D0DEA" w:rsidP="004D0DEA">
      <w:pPr>
        <w:pStyle w:val="ACMASpaceaftertable"/>
      </w:pPr>
    </w:p>
    <w:p w14:paraId="7B51F3CC" w14:textId="77777777" w:rsidR="004D0DEA" w:rsidRPr="003B50EB" w:rsidRDefault="004D0DEA" w:rsidP="001A16D0">
      <w:pPr>
        <w:pStyle w:val="Heading3"/>
        <w:rPr>
          <w:lang w:val="en-US"/>
        </w:rPr>
      </w:pPr>
      <w:bookmarkStart w:id="253" w:name="_Toc461108003"/>
      <w:bookmarkStart w:id="254" w:name="_Toc461194830"/>
      <w:bookmarkStart w:id="255" w:name="_Toc461445481"/>
      <w:bookmarkStart w:id="256" w:name="_Toc463351318"/>
      <w:bookmarkEnd w:id="245"/>
      <w:bookmarkEnd w:id="246"/>
      <w:bookmarkEnd w:id="247"/>
      <w:bookmarkEnd w:id="248"/>
      <w:bookmarkEnd w:id="249"/>
      <w:bookmarkEnd w:id="250"/>
      <w:bookmarkEnd w:id="251"/>
      <w:bookmarkEnd w:id="252"/>
      <w:r w:rsidRPr="003B50EB">
        <w:rPr>
          <w:lang w:val="en-US"/>
        </w:rPr>
        <w:t>Priority compliance areas</w:t>
      </w:r>
      <w:bookmarkEnd w:id="253"/>
      <w:bookmarkEnd w:id="254"/>
      <w:bookmarkEnd w:id="255"/>
      <w:bookmarkEnd w:id="256"/>
    </w:p>
    <w:p w14:paraId="1202C9F4" w14:textId="77777777" w:rsidR="004D0DEA" w:rsidRPr="0078137F" w:rsidRDefault="004D0DEA" w:rsidP="004D0DEA">
      <w:pPr>
        <w:pStyle w:val="BodySubHeader"/>
      </w:pPr>
      <w:bookmarkStart w:id="257" w:name="_Toc456616631"/>
      <w:bookmarkStart w:id="258" w:name="_Toc458084558"/>
      <w:bookmarkStart w:id="259" w:name="_Toc458608695"/>
      <w:r w:rsidRPr="0078137F">
        <w:t>Background</w:t>
      </w:r>
    </w:p>
    <w:p w14:paraId="100A5E66" w14:textId="77777777" w:rsidR="004D0DEA" w:rsidRPr="0078137F" w:rsidRDefault="004D0DEA" w:rsidP="004D0DEA">
      <w:pPr>
        <w:rPr>
          <w:rFonts w:cs="Arial"/>
          <w:color w:val="000000" w:themeColor="text1"/>
          <w:szCs w:val="20"/>
        </w:rPr>
      </w:pPr>
      <w:r w:rsidRPr="0078137F">
        <w:rPr>
          <w:rFonts w:cs="Arial"/>
          <w:color w:val="000000" w:themeColor="text1"/>
          <w:szCs w:val="20"/>
        </w:rPr>
        <w:t>The purpose of the priority compliance area (PCA) program is to direct the ACMA’s compliance resources towards identified compliance problems and areas of highest risk. PCAs address cases of harmful interference that are of high risk to spectrum utility, or of high risk to public safety or</w:t>
      </w:r>
      <w:r w:rsidR="00A959B4">
        <w:rPr>
          <w:rFonts w:cs="Arial"/>
          <w:color w:val="000000" w:themeColor="text1"/>
          <w:szCs w:val="20"/>
        </w:rPr>
        <w:t xml:space="preserve"> the</w:t>
      </w:r>
      <w:r w:rsidRPr="0078137F">
        <w:rPr>
          <w:rFonts w:cs="Arial"/>
          <w:color w:val="000000" w:themeColor="text1"/>
          <w:szCs w:val="20"/>
        </w:rPr>
        <w:t xml:space="preserve"> public interest.</w:t>
      </w:r>
    </w:p>
    <w:p w14:paraId="78D430D7" w14:textId="77777777" w:rsidR="004D0DEA" w:rsidRPr="0078137F" w:rsidRDefault="004D0DEA" w:rsidP="004D0DEA">
      <w:pPr>
        <w:rPr>
          <w:rFonts w:cs="Arial"/>
          <w:szCs w:val="20"/>
        </w:rPr>
      </w:pPr>
      <w:r w:rsidRPr="0078137F">
        <w:rPr>
          <w:rFonts w:cs="Arial"/>
          <w:color w:val="000000" w:themeColor="text1"/>
          <w:szCs w:val="20"/>
        </w:rPr>
        <w:t>Establishing PCAs means that the ACMA has forward-looking and fit-for-purpose compliance strategies that address the highest</w:t>
      </w:r>
      <w:r>
        <w:rPr>
          <w:rFonts w:cs="Arial"/>
          <w:color w:val="000000" w:themeColor="text1"/>
          <w:szCs w:val="20"/>
        </w:rPr>
        <w:t>-</w:t>
      </w:r>
      <w:r w:rsidRPr="0078137F">
        <w:rPr>
          <w:rFonts w:cs="Arial"/>
          <w:color w:val="000000" w:themeColor="text1"/>
          <w:szCs w:val="20"/>
        </w:rPr>
        <w:t xml:space="preserve">risk issues. PCAs are reviewed annually. As </w:t>
      </w:r>
      <w:r w:rsidRPr="0078137F">
        <w:rPr>
          <w:rFonts w:cs="Arial"/>
          <w:szCs w:val="20"/>
        </w:rPr>
        <w:t>part of the annual review process this year</w:t>
      </w:r>
      <w:r>
        <w:rPr>
          <w:rFonts w:cs="Arial"/>
          <w:szCs w:val="20"/>
        </w:rPr>
        <w:t xml:space="preserve">, </w:t>
      </w:r>
      <w:r w:rsidRPr="0078137F">
        <w:rPr>
          <w:rFonts w:cs="Arial"/>
          <w:szCs w:val="20"/>
        </w:rPr>
        <w:t xml:space="preserve">the ACMA consulted directly with </w:t>
      </w:r>
      <w:r>
        <w:rPr>
          <w:rFonts w:cs="Arial"/>
          <w:szCs w:val="20"/>
        </w:rPr>
        <w:t>i</w:t>
      </w:r>
      <w:r w:rsidRPr="0078137F">
        <w:rPr>
          <w:rFonts w:cs="Arial"/>
          <w:szCs w:val="20"/>
        </w:rPr>
        <w:t xml:space="preserve">ndustry about its compliance priorities though an </w:t>
      </w:r>
      <w:r>
        <w:rPr>
          <w:rFonts w:cs="Arial"/>
          <w:szCs w:val="20"/>
        </w:rPr>
        <w:t>i</w:t>
      </w:r>
      <w:r w:rsidRPr="0078137F">
        <w:rPr>
          <w:rFonts w:cs="Arial"/>
          <w:szCs w:val="20"/>
        </w:rPr>
        <w:t xml:space="preserve">ndustry </w:t>
      </w:r>
      <w:r>
        <w:rPr>
          <w:rFonts w:cs="Arial"/>
          <w:szCs w:val="20"/>
        </w:rPr>
        <w:t>t</w:t>
      </w:r>
      <w:r w:rsidRPr="0078137F">
        <w:rPr>
          <w:rFonts w:cs="Arial"/>
          <w:szCs w:val="20"/>
        </w:rPr>
        <w:t xml:space="preserve">une-up titled </w:t>
      </w:r>
      <w:r w:rsidRPr="0039046B">
        <w:rPr>
          <w:rFonts w:cs="Arial"/>
          <w:i/>
          <w:szCs w:val="20"/>
        </w:rPr>
        <w:t>Setting our compliance priorities</w:t>
      </w:r>
      <w:r w:rsidRPr="0078137F">
        <w:rPr>
          <w:rFonts w:cs="Arial"/>
          <w:szCs w:val="20"/>
        </w:rPr>
        <w:t xml:space="preserve">. </w:t>
      </w:r>
      <w:r>
        <w:rPr>
          <w:rFonts w:cs="Arial"/>
          <w:szCs w:val="20"/>
        </w:rPr>
        <w:t xml:space="preserve">The ACMA will continue to engage with industry in this way and this will form </w:t>
      </w:r>
      <w:r w:rsidRPr="0078137F">
        <w:rPr>
          <w:rFonts w:cs="Arial"/>
          <w:szCs w:val="20"/>
        </w:rPr>
        <w:t xml:space="preserve">part of the PCA review process in future years.  </w:t>
      </w:r>
    </w:p>
    <w:p w14:paraId="7F629460" w14:textId="77777777" w:rsidR="004D0DEA" w:rsidRPr="0078137F" w:rsidRDefault="004D0DEA" w:rsidP="004D0DEA">
      <w:pPr>
        <w:rPr>
          <w:rFonts w:cs="Arial"/>
          <w:szCs w:val="20"/>
        </w:rPr>
      </w:pPr>
      <w:r w:rsidRPr="0078137F">
        <w:rPr>
          <w:rFonts w:cs="Arial"/>
          <w:szCs w:val="20"/>
        </w:rPr>
        <w:t>PCAs are set based on evidence from intelligence-gathering mechanisms, analysis and risk assessment</w:t>
      </w:r>
      <w:r w:rsidRPr="00A21BB1">
        <w:rPr>
          <w:rFonts w:cs="Arial"/>
          <w:szCs w:val="20"/>
        </w:rPr>
        <w:t xml:space="preserve">. </w:t>
      </w:r>
      <w:r w:rsidRPr="00A21BB1">
        <w:rPr>
          <w:rFonts w:cs="Arial"/>
          <w:szCs w:val="20"/>
          <w:lang w:val="en"/>
        </w:rPr>
        <w:t>The specific activities implemented for each PCA are dependent on the issue and appropriate compliance response. The ACMA prefers to use non-regulatory measures, such as education and awareness, to prevent non-compliance. Where appropriate, regulatory measures (auditing, monitoring and enforcement) are applied to ensure compliance. By using a tailored approach, the ACMA is able to extend its regulatory reach in an</w:t>
      </w:r>
      <w:r>
        <w:rPr>
          <w:rFonts w:ascii="HelveticaNeueW01-45Ligh" w:hAnsi="HelveticaNeueW01-45Ligh"/>
          <w:szCs w:val="20"/>
          <w:lang w:val="en"/>
        </w:rPr>
        <w:t xml:space="preserve"> </w:t>
      </w:r>
      <w:r w:rsidRPr="0078137F">
        <w:rPr>
          <w:rFonts w:cs="Arial"/>
          <w:szCs w:val="20"/>
        </w:rPr>
        <w:t>effective and targeted way.</w:t>
      </w:r>
    </w:p>
    <w:p w14:paraId="03E312DA" w14:textId="77777777" w:rsidR="004D0DEA" w:rsidRPr="0078137F" w:rsidRDefault="004D0DEA" w:rsidP="004D0DEA">
      <w:pPr>
        <w:rPr>
          <w:rFonts w:cs="Arial"/>
          <w:szCs w:val="20"/>
        </w:rPr>
      </w:pPr>
      <w:r w:rsidRPr="0078137F">
        <w:rPr>
          <w:rFonts w:cs="Arial"/>
          <w:szCs w:val="20"/>
        </w:rPr>
        <w:t>The ACMA also continues to investigate and respond to high-risk issues (for example, prohibited devices such as mobile phone jammers and unlicensed mobile phone repeaters) that fall outside these priority areas on a case-by-case basis.</w:t>
      </w:r>
    </w:p>
    <w:p w14:paraId="3956DEEE" w14:textId="77777777" w:rsidR="004D0DEA" w:rsidRPr="00D07910" w:rsidRDefault="00D67EC2" w:rsidP="004D0DEA">
      <w:pPr>
        <w:rPr>
          <w:rFonts w:cs="Arial"/>
          <w:szCs w:val="20"/>
          <w:u w:val="single"/>
        </w:rPr>
      </w:pPr>
      <w:hyperlink r:id="rId79" w:history="1">
        <w:r w:rsidR="004D0DEA" w:rsidRPr="0078137F">
          <w:rPr>
            <w:rStyle w:val="Hyperlink"/>
            <w:rFonts w:cs="Arial"/>
            <w:szCs w:val="20"/>
          </w:rPr>
          <w:t>PCAs for 2016</w:t>
        </w:r>
        <w:r w:rsidR="004D0DEA">
          <w:rPr>
            <w:rStyle w:val="Hyperlink"/>
            <w:rFonts w:cs="Arial"/>
            <w:szCs w:val="20"/>
          </w:rPr>
          <w:t>–</w:t>
        </w:r>
        <w:r w:rsidR="004D0DEA" w:rsidRPr="0078137F">
          <w:rPr>
            <w:rStyle w:val="Hyperlink"/>
            <w:rFonts w:cs="Arial"/>
            <w:szCs w:val="20"/>
          </w:rPr>
          <w:t>17</w:t>
        </w:r>
      </w:hyperlink>
      <w:hyperlink r:id="rId80" w:history="1"/>
      <w:r w:rsidR="004D0DEA" w:rsidRPr="0078137F">
        <w:rPr>
          <w:rStyle w:val="Hyperlink"/>
          <w:rFonts w:cs="Arial"/>
          <w:szCs w:val="20"/>
        </w:rPr>
        <w:t xml:space="preserve"> </w:t>
      </w:r>
      <w:r w:rsidR="004D0DEA" w:rsidRPr="0078137F">
        <w:rPr>
          <w:rFonts w:cs="Arial"/>
          <w:szCs w:val="20"/>
        </w:rPr>
        <w:t>were published on</w:t>
      </w:r>
      <w:r w:rsidR="004D0DEA">
        <w:rPr>
          <w:rFonts w:cs="Arial"/>
          <w:szCs w:val="20"/>
        </w:rPr>
        <w:t xml:space="preserve"> the </w:t>
      </w:r>
      <w:r w:rsidR="004D0DEA" w:rsidRPr="00D07910">
        <w:rPr>
          <w:rFonts w:cs="Arial"/>
          <w:szCs w:val="20"/>
        </w:rPr>
        <w:t>ACMA website in July 2016.</w:t>
      </w:r>
    </w:p>
    <w:p w14:paraId="54B330F8" w14:textId="77777777" w:rsidR="004D0DEA" w:rsidRPr="00D07910" w:rsidRDefault="004D0DEA" w:rsidP="004D0DEA">
      <w:pPr>
        <w:keepNext/>
        <w:numPr>
          <w:ilvl w:val="0"/>
          <w:numId w:val="27"/>
        </w:numPr>
        <w:spacing w:after="160" w:line="240" w:lineRule="auto"/>
        <w:rPr>
          <w:b/>
        </w:rPr>
      </w:pPr>
      <w:r w:rsidRPr="00D07910">
        <w:rPr>
          <w:b/>
        </w:rPr>
        <w:t>Next steps—PCAs</w:t>
      </w:r>
    </w:p>
    <w:tbl>
      <w:tblPr>
        <w:tblStyle w:val="TableGrid"/>
        <w:tblW w:w="9227" w:type="dxa"/>
        <w:tblCellMar>
          <w:top w:w="57" w:type="dxa"/>
          <w:left w:w="57" w:type="dxa"/>
          <w:bottom w:w="57" w:type="dxa"/>
          <w:right w:w="57" w:type="dxa"/>
        </w:tblCellMar>
        <w:tblLook w:val="04A0" w:firstRow="1" w:lastRow="0" w:firstColumn="1" w:lastColumn="0" w:noHBand="0" w:noVBand="1"/>
        <w:tblCaption w:val="Next steps—PCAs"/>
        <w:tblDescription w:val="Includes work task/activity, the stage/phase, project details and timing."/>
      </w:tblPr>
      <w:tblGrid>
        <w:gridCol w:w="2990"/>
        <w:gridCol w:w="2126"/>
        <w:gridCol w:w="2126"/>
        <w:gridCol w:w="1985"/>
      </w:tblGrid>
      <w:tr w:rsidR="004D0DEA" w:rsidRPr="005668B1" w14:paraId="2FBAC0BF" w14:textId="77777777" w:rsidTr="0039046B">
        <w:trPr>
          <w:tblHeader/>
        </w:trPr>
        <w:tc>
          <w:tcPr>
            <w:tcW w:w="2990" w:type="dxa"/>
            <w:shd w:val="clear" w:color="auto" w:fill="404040" w:themeFill="text1" w:themeFillTint="BF"/>
          </w:tcPr>
          <w:p w14:paraId="796A7222"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126" w:type="dxa"/>
            <w:shd w:val="clear" w:color="auto" w:fill="404040" w:themeFill="text1" w:themeFillTint="BF"/>
          </w:tcPr>
          <w:p w14:paraId="03A96C9B"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2126" w:type="dxa"/>
            <w:shd w:val="clear" w:color="auto" w:fill="404040" w:themeFill="text1" w:themeFillTint="BF"/>
          </w:tcPr>
          <w:p w14:paraId="15B8194E"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985" w:type="dxa"/>
            <w:shd w:val="clear" w:color="auto" w:fill="404040" w:themeFill="text1" w:themeFillTint="BF"/>
          </w:tcPr>
          <w:p w14:paraId="52AF7224"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5668B1" w14:paraId="0AF806E4" w14:textId="77777777" w:rsidTr="00375F63">
        <w:tc>
          <w:tcPr>
            <w:tcW w:w="2990" w:type="dxa"/>
          </w:tcPr>
          <w:p w14:paraId="2A8127EB" w14:textId="77777777" w:rsidR="004D0DEA" w:rsidRPr="005668B1" w:rsidRDefault="004D0DEA" w:rsidP="0039046B">
            <w:pPr>
              <w:spacing w:after="120"/>
              <w:rPr>
                <w:rFonts w:cs="Arial"/>
                <w:szCs w:val="20"/>
              </w:rPr>
            </w:pPr>
            <w:r w:rsidRPr="005668B1">
              <w:rPr>
                <w:rFonts w:cs="Arial"/>
                <w:szCs w:val="20"/>
              </w:rPr>
              <w:t xml:space="preserve">Interference </w:t>
            </w:r>
            <w:r>
              <w:rPr>
                <w:rFonts w:cs="Arial"/>
                <w:szCs w:val="20"/>
              </w:rPr>
              <w:t>m</w:t>
            </w:r>
            <w:r w:rsidRPr="005668B1">
              <w:rPr>
                <w:rFonts w:cs="Arial"/>
                <w:szCs w:val="20"/>
              </w:rPr>
              <w:t>anagement</w:t>
            </w:r>
          </w:p>
        </w:tc>
        <w:tc>
          <w:tcPr>
            <w:tcW w:w="2126" w:type="dxa"/>
          </w:tcPr>
          <w:p w14:paraId="37E5359E" w14:textId="165BB46A" w:rsidR="004D0DEA" w:rsidRPr="005668B1" w:rsidRDefault="00BE2557" w:rsidP="0039046B">
            <w:pPr>
              <w:spacing w:after="120"/>
              <w:rPr>
                <w:rFonts w:cs="Arial"/>
                <w:szCs w:val="20"/>
              </w:rPr>
            </w:pPr>
            <w:r>
              <w:rPr>
                <w:rFonts w:cs="Arial"/>
                <w:szCs w:val="20"/>
              </w:rPr>
              <w:t>Finalisation</w:t>
            </w:r>
          </w:p>
        </w:tc>
        <w:tc>
          <w:tcPr>
            <w:tcW w:w="2126" w:type="dxa"/>
          </w:tcPr>
          <w:p w14:paraId="6F46C0AB" w14:textId="77777777" w:rsidR="004D0DEA" w:rsidRPr="005668B1" w:rsidRDefault="004D0DEA" w:rsidP="0039046B">
            <w:pPr>
              <w:spacing w:after="120"/>
              <w:rPr>
                <w:rFonts w:cs="Arial"/>
                <w:szCs w:val="20"/>
              </w:rPr>
            </w:pPr>
            <w:r w:rsidRPr="005668B1">
              <w:rPr>
                <w:rFonts w:cs="Arial"/>
                <w:szCs w:val="20"/>
              </w:rPr>
              <w:t>PCA</w:t>
            </w:r>
          </w:p>
        </w:tc>
        <w:tc>
          <w:tcPr>
            <w:tcW w:w="1985" w:type="dxa"/>
          </w:tcPr>
          <w:p w14:paraId="085A4AE6" w14:textId="77777777" w:rsidR="004D0DEA" w:rsidRPr="005668B1" w:rsidRDefault="004D0DEA" w:rsidP="0039046B">
            <w:pPr>
              <w:spacing w:after="120"/>
              <w:rPr>
                <w:rFonts w:cs="Arial"/>
                <w:szCs w:val="20"/>
              </w:rPr>
            </w:pPr>
            <w:r>
              <w:rPr>
                <w:rFonts w:cs="Arial"/>
                <w:szCs w:val="20"/>
              </w:rPr>
              <w:t>June 2017</w:t>
            </w:r>
          </w:p>
        </w:tc>
      </w:tr>
      <w:tr w:rsidR="004D0DEA" w:rsidRPr="005668B1" w14:paraId="61407715" w14:textId="77777777" w:rsidTr="00CF4F06">
        <w:tc>
          <w:tcPr>
            <w:tcW w:w="2990" w:type="dxa"/>
            <w:shd w:val="clear" w:color="auto" w:fill="F2F2F2" w:themeFill="background1" w:themeFillShade="F2"/>
          </w:tcPr>
          <w:p w14:paraId="682D082E" w14:textId="77777777" w:rsidR="004D0DEA" w:rsidRPr="005668B1" w:rsidRDefault="004D0DEA" w:rsidP="0039046B">
            <w:pPr>
              <w:spacing w:after="120"/>
              <w:rPr>
                <w:rFonts w:cs="Arial"/>
                <w:szCs w:val="20"/>
              </w:rPr>
            </w:pPr>
            <w:r w:rsidRPr="005668B1">
              <w:rPr>
                <w:rFonts w:cs="Arial"/>
                <w:szCs w:val="20"/>
              </w:rPr>
              <w:t xml:space="preserve">Customer </w:t>
            </w:r>
            <w:r>
              <w:rPr>
                <w:rFonts w:cs="Arial"/>
                <w:szCs w:val="20"/>
              </w:rPr>
              <w:t>c</w:t>
            </w:r>
            <w:r w:rsidRPr="005668B1">
              <w:rPr>
                <w:rFonts w:cs="Arial"/>
                <w:szCs w:val="20"/>
              </w:rPr>
              <w:t xml:space="preserve">abling </w:t>
            </w:r>
            <w:r>
              <w:rPr>
                <w:rFonts w:cs="Arial"/>
                <w:szCs w:val="20"/>
              </w:rPr>
              <w:t>c</w:t>
            </w:r>
            <w:r w:rsidRPr="005668B1">
              <w:rPr>
                <w:rFonts w:cs="Arial"/>
                <w:szCs w:val="20"/>
              </w:rPr>
              <w:t>ompliance</w:t>
            </w:r>
          </w:p>
        </w:tc>
        <w:tc>
          <w:tcPr>
            <w:tcW w:w="2126" w:type="dxa"/>
            <w:shd w:val="clear" w:color="auto" w:fill="F2F2F2" w:themeFill="background1" w:themeFillShade="F2"/>
          </w:tcPr>
          <w:p w14:paraId="229FC51F" w14:textId="5724F197" w:rsidR="004D0DEA" w:rsidRPr="005668B1" w:rsidRDefault="00BE2557" w:rsidP="0039046B">
            <w:pPr>
              <w:spacing w:after="120"/>
              <w:rPr>
                <w:rFonts w:cs="Arial"/>
                <w:szCs w:val="20"/>
              </w:rPr>
            </w:pPr>
            <w:r>
              <w:rPr>
                <w:rFonts w:cs="Arial"/>
                <w:szCs w:val="20"/>
              </w:rPr>
              <w:t>Finalisation</w:t>
            </w:r>
          </w:p>
        </w:tc>
        <w:tc>
          <w:tcPr>
            <w:tcW w:w="2126" w:type="dxa"/>
            <w:shd w:val="clear" w:color="auto" w:fill="F2F2F2" w:themeFill="background1" w:themeFillShade="F2"/>
          </w:tcPr>
          <w:p w14:paraId="665A0C21" w14:textId="77777777" w:rsidR="004D0DEA" w:rsidRPr="005668B1" w:rsidRDefault="004D0DEA" w:rsidP="0039046B">
            <w:pPr>
              <w:spacing w:after="120"/>
              <w:rPr>
                <w:rFonts w:cs="Arial"/>
                <w:szCs w:val="20"/>
              </w:rPr>
            </w:pPr>
            <w:r w:rsidRPr="005668B1">
              <w:rPr>
                <w:rFonts w:cs="Arial"/>
                <w:szCs w:val="20"/>
              </w:rPr>
              <w:t>PCA</w:t>
            </w:r>
          </w:p>
        </w:tc>
        <w:tc>
          <w:tcPr>
            <w:tcW w:w="1985" w:type="dxa"/>
            <w:shd w:val="clear" w:color="auto" w:fill="F2F2F2" w:themeFill="background1" w:themeFillShade="F2"/>
          </w:tcPr>
          <w:p w14:paraId="27902DF9" w14:textId="77777777" w:rsidR="004D0DEA" w:rsidRPr="005668B1" w:rsidRDefault="004D0DEA" w:rsidP="0039046B">
            <w:pPr>
              <w:spacing w:after="120"/>
              <w:rPr>
                <w:rFonts w:cs="Arial"/>
                <w:szCs w:val="20"/>
              </w:rPr>
            </w:pPr>
            <w:r>
              <w:rPr>
                <w:rFonts w:cs="Arial"/>
                <w:szCs w:val="20"/>
              </w:rPr>
              <w:t>June 2017</w:t>
            </w:r>
          </w:p>
        </w:tc>
      </w:tr>
      <w:tr w:rsidR="004D0DEA" w:rsidRPr="005668B1" w14:paraId="38C5F4BA" w14:textId="77777777" w:rsidTr="00375F63">
        <w:tc>
          <w:tcPr>
            <w:tcW w:w="2990" w:type="dxa"/>
          </w:tcPr>
          <w:p w14:paraId="0125415E" w14:textId="77777777" w:rsidR="004D0DEA" w:rsidRPr="00C95707" w:rsidRDefault="004D0DEA" w:rsidP="0039046B">
            <w:pPr>
              <w:pStyle w:val="ListBullet"/>
              <w:numPr>
                <w:ilvl w:val="0"/>
                <w:numId w:val="0"/>
              </w:numPr>
              <w:spacing w:after="120"/>
              <w:rPr>
                <w:rFonts w:eastAsiaTheme="minorHAnsi" w:cs="Arial"/>
                <w:szCs w:val="20"/>
                <w:lang w:eastAsia="en-US"/>
              </w:rPr>
            </w:pPr>
            <w:r w:rsidRPr="005668B1">
              <w:rPr>
                <w:rFonts w:eastAsiaTheme="minorHAnsi" w:cs="Arial"/>
                <w:szCs w:val="20"/>
                <w:lang w:eastAsia="en-US"/>
              </w:rPr>
              <w:t>Transmitter licensing compliance with a focus on services operating in segment ‘Y</w:t>
            </w:r>
            <w:r>
              <w:rPr>
                <w:rFonts w:eastAsiaTheme="minorHAnsi" w:cs="Arial"/>
                <w:szCs w:val="20"/>
                <w:lang w:eastAsia="en-US"/>
              </w:rPr>
              <w:t>’</w:t>
            </w:r>
            <w:r w:rsidRPr="005668B1">
              <w:rPr>
                <w:rFonts w:eastAsiaTheme="minorHAnsi" w:cs="Arial"/>
                <w:szCs w:val="20"/>
                <w:lang w:eastAsia="en-US"/>
              </w:rPr>
              <w:t xml:space="preserve"> of the 400</w:t>
            </w:r>
            <w:r>
              <w:rPr>
                <w:rFonts w:eastAsiaTheme="minorHAnsi" w:cs="Arial"/>
                <w:szCs w:val="20"/>
                <w:lang w:eastAsia="en-US"/>
              </w:rPr>
              <w:t xml:space="preserve"> </w:t>
            </w:r>
            <w:r w:rsidRPr="005668B1">
              <w:rPr>
                <w:rFonts w:eastAsiaTheme="minorHAnsi" w:cs="Arial"/>
                <w:szCs w:val="20"/>
                <w:lang w:eastAsia="en-US"/>
              </w:rPr>
              <w:t>MHz band</w:t>
            </w:r>
          </w:p>
        </w:tc>
        <w:tc>
          <w:tcPr>
            <w:tcW w:w="2126" w:type="dxa"/>
          </w:tcPr>
          <w:p w14:paraId="0D49535F" w14:textId="3F5518B4" w:rsidR="004D0DEA" w:rsidRPr="005668B1" w:rsidRDefault="00BE2557" w:rsidP="0039046B">
            <w:pPr>
              <w:spacing w:after="120"/>
              <w:rPr>
                <w:rFonts w:cs="Arial"/>
                <w:szCs w:val="20"/>
              </w:rPr>
            </w:pPr>
            <w:r>
              <w:rPr>
                <w:rFonts w:cs="Arial"/>
                <w:szCs w:val="20"/>
              </w:rPr>
              <w:t>Finalisation</w:t>
            </w:r>
          </w:p>
        </w:tc>
        <w:tc>
          <w:tcPr>
            <w:tcW w:w="2126" w:type="dxa"/>
          </w:tcPr>
          <w:p w14:paraId="51101B09" w14:textId="77777777" w:rsidR="004D0DEA" w:rsidRPr="005668B1" w:rsidRDefault="004D0DEA" w:rsidP="0039046B">
            <w:pPr>
              <w:spacing w:after="120"/>
              <w:rPr>
                <w:rFonts w:cs="Arial"/>
                <w:szCs w:val="20"/>
              </w:rPr>
            </w:pPr>
            <w:r w:rsidRPr="005668B1">
              <w:rPr>
                <w:rFonts w:cs="Arial"/>
                <w:szCs w:val="20"/>
              </w:rPr>
              <w:t>PCA</w:t>
            </w:r>
          </w:p>
        </w:tc>
        <w:tc>
          <w:tcPr>
            <w:tcW w:w="1985" w:type="dxa"/>
          </w:tcPr>
          <w:p w14:paraId="71E9FE19" w14:textId="77777777" w:rsidR="004D0DEA" w:rsidRPr="005668B1" w:rsidRDefault="004D0DEA" w:rsidP="0039046B">
            <w:pPr>
              <w:spacing w:after="120"/>
              <w:rPr>
                <w:rFonts w:cs="Arial"/>
                <w:szCs w:val="20"/>
              </w:rPr>
            </w:pPr>
            <w:r>
              <w:rPr>
                <w:rFonts w:cs="Arial"/>
                <w:szCs w:val="20"/>
              </w:rPr>
              <w:t>June 2017</w:t>
            </w:r>
          </w:p>
        </w:tc>
      </w:tr>
      <w:tr w:rsidR="004D0DEA" w:rsidRPr="005668B1" w14:paraId="06286201" w14:textId="77777777" w:rsidTr="00CF4F06">
        <w:tc>
          <w:tcPr>
            <w:tcW w:w="2990" w:type="dxa"/>
            <w:shd w:val="clear" w:color="auto" w:fill="F2F2F2" w:themeFill="background1" w:themeFillShade="F2"/>
          </w:tcPr>
          <w:p w14:paraId="1D4A4FED" w14:textId="77777777" w:rsidR="004D0DEA" w:rsidRPr="005668B1" w:rsidRDefault="004D0DEA" w:rsidP="0039046B">
            <w:pPr>
              <w:pStyle w:val="ListBullet"/>
              <w:numPr>
                <w:ilvl w:val="0"/>
                <w:numId w:val="0"/>
              </w:numPr>
              <w:spacing w:after="120"/>
              <w:rPr>
                <w:rFonts w:eastAsiaTheme="minorHAnsi" w:cs="Arial"/>
                <w:szCs w:val="20"/>
                <w:lang w:eastAsia="en-US"/>
              </w:rPr>
            </w:pPr>
            <w:r w:rsidRPr="005668B1">
              <w:rPr>
                <w:rFonts w:eastAsiaTheme="minorHAnsi" w:cs="Arial"/>
                <w:szCs w:val="20"/>
                <w:lang w:eastAsia="en-US"/>
              </w:rPr>
              <w:t>Annual review of PCAs and consultation with industry</w:t>
            </w:r>
          </w:p>
        </w:tc>
        <w:tc>
          <w:tcPr>
            <w:tcW w:w="2126" w:type="dxa"/>
            <w:shd w:val="clear" w:color="auto" w:fill="F2F2F2" w:themeFill="background1" w:themeFillShade="F2"/>
          </w:tcPr>
          <w:p w14:paraId="46E8EE18" w14:textId="77777777" w:rsidR="004D0DEA" w:rsidRPr="005668B1" w:rsidRDefault="004D0DEA" w:rsidP="0039046B">
            <w:pPr>
              <w:spacing w:after="120"/>
              <w:rPr>
                <w:rFonts w:cs="Arial"/>
                <w:szCs w:val="20"/>
              </w:rPr>
            </w:pPr>
            <w:r>
              <w:rPr>
                <w:rFonts w:cs="Arial"/>
                <w:szCs w:val="20"/>
              </w:rPr>
              <w:t>Preparation</w:t>
            </w:r>
          </w:p>
        </w:tc>
        <w:tc>
          <w:tcPr>
            <w:tcW w:w="2126" w:type="dxa"/>
            <w:shd w:val="clear" w:color="auto" w:fill="F2F2F2" w:themeFill="background1" w:themeFillShade="F2"/>
          </w:tcPr>
          <w:p w14:paraId="7102F4FE" w14:textId="77777777" w:rsidR="004D0DEA" w:rsidRPr="005668B1" w:rsidRDefault="004D0DEA" w:rsidP="0039046B">
            <w:pPr>
              <w:spacing w:after="120"/>
              <w:rPr>
                <w:rFonts w:cs="Arial"/>
                <w:szCs w:val="20"/>
              </w:rPr>
            </w:pPr>
            <w:r w:rsidRPr="005668B1">
              <w:rPr>
                <w:rFonts w:cs="Arial"/>
                <w:szCs w:val="20"/>
              </w:rPr>
              <w:t>PCA</w:t>
            </w:r>
          </w:p>
        </w:tc>
        <w:tc>
          <w:tcPr>
            <w:tcW w:w="1985" w:type="dxa"/>
            <w:shd w:val="clear" w:color="auto" w:fill="F2F2F2" w:themeFill="background1" w:themeFillShade="F2"/>
          </w:tcPr>
          <w:p w14:paraId="197DB228" w14:textId="77777777" w:rsidR="004D0DEA" w:rsidRPr="005668B1" w:rsidRDefault="004D0DEA" w:rsidP="0039046B">
            <w:pPr>
              <w:spacing w:after="120"/>
              <w:rPr>
                <w:rFonts w:cs="Arial"/>
                <w:szCs w:val="20"/>
              </w:rPr>
            </w:pPr>
            <w:r>
              <w:rPr>
                <w:rFonts w:cs="Arial"/>
                <w:szCs w:val="20"/>
              </w:rPr>
              <w:t>Q1, 2017</w:t>
            </w:r>
          </w:p>
        </w:tc>
      </w:tr>
    </w:tbl>
    <w:p w14:paraId="5644800D" w14:textId="77777777" w:rsidR="004D0DEA" w:rsidRDefault="004D0DEA" w:rsidP="004D0DEA">
      <w:pPr>
        <w:pStyle w:val="ACMASpaceaftertable"/>
      </w:pPr>
    </w:p>
    <w:p w14:paraId="1CF15BB3" w14:textId="77777777" w:rsidR="004D0DEA" w:rsidRPr="008F6B79" w:rsidRDefault="004D0DEA" w:rsidP="001A16D0">
      <w:pPr>
        <w:pStyle w:val="Heading3"/>
        <w:rPr>
          <w:lang w:val="en-US"/>
        </w:rPr>
      </w:pPr>
      <w:bookmarkStart w:id="260" w:name="_Toc461108004"/>
      <w:bookmarkStart w:id="261" w:name="_Toc461194831"/>
      <w:bookmarkStart w:id="262" w:name="_Toc461445482"/>
      <w:bookmarkStart w:id="263" w:name="_Toc463351319"/>
      <w:bookmarkEnd w:id="257"/>
      <w:bookmarkEnd w:id="258"/>
      <w:bookmarkEnd w:id="259"/>
      <w:r>
        <w:rPr>
          <w:lang w:val="en-US"/>
        </w:rPr>
        <w:t>Spectrum pricing initiatives</w:t>
      </w:r>
      <w:bookmarkEnd w:id="260"/>
      <w:bookmarkEnd w:id="261"/>
      <w:bookmarkEnd w:id="262"/>
      <w:bookmarkEnd w:id="263"/>
    </w:p>
    <w:p w14:paraId="7257A7DC" w14:textId="77777777" w:rsidR="004D0DEA" w:rsidRPr="002F1333" w:rsidRDefault="004D0DEA" w:rsidP="004D0DEA">
      <w:pPr>
        <w:pStyle w:val="BodySubHeader"/>
      </w:pPr>
      <w:r w:rsidRPr="002F1333">
        <w:t>Background</w:t>
      </w:r>
    </w:p>
    <w:p w14:paraId="27CF87DA" w14:textId="77777777" w:rsidR="004D0DEA" w:rsidRPr="00986420" w:rsidRDefault="004D0DEA" w:rsidP="004D0DEA">
      <w:r w:rsidRPr="00986420">
        <w:t>All apparatus and spectrum licensees are affected by the pricing or taxation of spectrum. Taxation is one of the suite of management tools used by the ACMA to promote the efficient use of spectrum.</w:t>
      </w:r>
    </w:p>
    <w:p w14:paraId="5F9B8372" w14:textId="77777777" w:rsidR="004D0DEA" w:rsidRPr="00986420" w:rsidRDefault="004D0DEA" w:rsidP="004D0DEA">
      <w:r w:rsidRPr="00986420">
        <w:t xml:space="preserve">In response to the recommendations of the Spectrum Review, the government has announced a spectrum pricing review to be conducted by </w:t>
      </w:r>
      <w:r>
        <w:t>DoCA</w:t>
      </w:r>
      <w:r w:rsidRPr="00986420">
        <w:t xml:space="preserve">. As noted in the final report of the Spectrum Review, prices charged for spectrum will need to be reviewed to ensure that they are appropriate for the new legislative and licensing arrangements. </w:t>
      </w:r>
      <w:r>
        <w:t>DoCA</w:t>
      </w:r>
      <w:r w:rsidRPr="00986420">
        <w:t xml:space="preserve"> </w:t>
      </w:r>
      <w:r w:rsidR="001A3A1A">
        <w:t xml:space="preserve">will </w:t>
      </w:r>
      <w:r w:rsidRPr="00986420">
        <w:t xml:space="preserve">report to government </w:t>
      </w:r>
      <w:r w:rsidR="00B4761C">
        <w:t>on</w:t>
      </w:r>
      <w:r w:rsidRPr="00986420">
        <w:t xml:space="preserve"> the outcomes of its review, </w:t>
      </w:r>
      <w:r>
        <w:t xml:space="preserve">and </w:t>
      </w:r>
      <w:r w:rsidRPr="00986420">
        <w:t>it is expected that new pricing arrangements will be implemented to coincide with the commencement of the new licensing system.</w:t>
      </w:r>
    </w:p>
    <w:p w14:paraId="6C0E90AA" w14:textId="77777777" w:rsidR="004D0DEA" w:rsidRDefault="004D0DEA" w:rsidP="004D0DEA">
      <w:r w:rsidRPr="00986420">
        <w:t>The ACMA’s program of spectrum p</w:t>
      </w:r>
      <w:r>
        <w:t>ricing development work will need to take into account the reforms to the licensing system once the outcomes of the pricing review are known. For example, the ACMA expects to commence review of the apparatus licence taxation arrangements associated with television outside broadcast services, following the government’s response to the pricing review.</w:t>
      </w:r>
    </w:p>
    <w:p w14:paraId="05D0CB50" w14:textId="77777777" w:rsidR="004D0DEA" w:rsidRPr="004D0DEA" w:rsidRDefault="004D0DEA" w:rsidP="004D0DEA">
      <w:pPr>
        <w:keepNext/>
        <w:numPr>
          <w:ilvl w:val="0"/>
          <w:numId w:val="27"/>
        </w:numPr>
        <w:spacing w:after="160" w:line="240" w:lineRule="auto"/>
        <w:rPr>
          <w:b/>
        </w:rPr>
      </w:pPr>
      <w:r w:rsidRPr="004D0DEA">
        <w:rPr>
          <w:b/>
        </w:rPr>
        <w:t>Next steps—spectrum pricing initiatives</w:t>
      </w:r>
    </w:p>
    <w:tbl>
      <w:tblPr>
        <w:tblStyle w:val="TableGrid"/>
        <w:tblW w:w="9250" w:type="dxa"/>
        <w:tblCellMar>
          <w:top w:w="57" w:type="dxa"/>
          <w:left w:w="57" w:type="dxa"/>
          <w:bottom w:w="57" w:type="dxa"/>
          <w:right w:w="57" w:type="dxa"/>
        </w:tblCellMar>
        <w:tblLook w:val="04A0" w:firstRow="1" w:lastRow="0" w:firstColumn="1" w:lastColumn="0" w:noHBand="0" w:noVBand="1"/>
        <w:tblCaption w:val="Next steps—spectrum pricing initiatives"/>
        <w:tblDescription w:val="Includes work task/activity, the stage/phase, project details and timing."/>
      </w:tblPr>
      <w:tblGrid>
        <w:gridCol w:w="2590"/>
        <w:gridCol w:w="1876"/>
        <w:gridCol w:w="2800"/>
        <w:gridCol w:w="1984"/>
      </w:tblGrid>
      <w:tr w:rsidR="004D0DEA" w:rsidRPr="005668B1" w14:paraId="6CFD216E" w14:textId="77777777" w:rsidTr="00184327">
        <w:trPr>
          <w:tblHeader/>
        </w:trPr>
        <w:tc>
          <w:tcPr>
            <w:tcW w:w="2590" w:type="dxa"/>
            <w:shd w:val="clear" w:color="auto" w:fill="404040" w:themeFill="text1" w:themeFillTint="BF"/>
          </w:tcPr>
          <w:p w14:paraId="361471C9"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1876" w:type="dxa"/>
            <w:shd w:val="clear" w:color="auto" w:fill="404040" w:themeFill="text1" w:themeFillTint="BF"/>
          </w:tcPr>
          <w:p w14:paraId="495E0EED"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2800" w:type="dxa"/>
            <w:shd w:val="clear" w:color="auto" w:fill="404040" w:themeFill="text1" w:themeFillTint="BF"/>
          </w:tcPr>
          <w:p w14:paraId="386F6AF2"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984" w:type="dxa"/>
            <w:shd w:val="clear" w:color="auto" w:fill="404040" w:themeFill="text1" w:themeFillTint="BF"/>
          </w:tcPr>
          <w:p w14:paraId="25669F61"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5668B1" w14:paraId="68D9769F" w14:textId="77777777" w:rsidTr="00184327">
        <w:tc>
          <w:tcPr>
            <w:tcW w:w="2590" w:type="dxa"/>
          </w:tcPr>
          <w:p w14:paraId="45F866F5" w14:textId="77777777" w:rsidR="004D0DEA" w:rsidRDefault="004D0DEA" w:rsidP="0039046B">
            <w:pPr>
              <w:spacing w:after="120"/>
              <w:rPr>
                <w:rFonts w:cs="Arial"/>
                <w:szCs w:val="20"/>
              </w:rPr>
            </w:pPr>
            <w:r>
              <w:rPr>
                <w:rFonts w:cs="Arial"/>
                <w:szCs w:val="20"/>
              </w:rPr>
              <w:t>The ACMA is currently undertaking consultation on proposals concerning the apparatus licence taxation arrangements for satellite services in the Ka</w:t>
            </w:r>
            <w:r w:rsidR="00E43BEE">
              <w:rPr>
                <w:rFonts w:cs="Arial"/>
                <w:szCs w:val="20"/>
              </w:rPr>
              <w:t>-</w:t>
            </w:r>
            <w:r>
              <w:rPr>
                <w:rFonts w:cs="Arial"/>
                <w:szCs w:val="20"/>
              </w:rPr>
              <w:t>band</w:t>
            </w:r>
          </w:p>
          <w:p w14:paraId="6592915B" w14:textId="77777777" w:rsidR="004D0DEA" w:rsidRPr="005668B1" w:rsidRDefault="004D0DEA" w:rsidP="0039046B">
            <w:pPr>
              <w:spacing w:after="120"/>
              <w:rPr>
                <w:rFonts w:cs="Arial"/>
                <w:szCs w:val="20"/>
              </w:rPr>
            </w:pPr>
            <w:r>
              <w:rPr>
                <w:rFonts w:cs="Arial"/>
                <w:szCs w:val="20"/>
              </w:rPr>
              <w:t>Consideration of the responses to the consultation process and making appropriate arrangements for those changes</w:t>
            </w:r>
          </w:p>
        </w:tc>
        <w:tc>
          <w:tcPr>
            <w:tcW w:w="1876" w:type="dxa"/>
          </w:tcPr>
          <w:p w14:paraId="42DF2D6B" w14:textId="77777777" w:rsidR="004D0DEA" w:rsidRPr="005668B1" w:rsidRDefault="004D0DEA" w:rsidP="00375F63">
            <w:pPr>
              <w:rPr>
                <w:rFonts w:cs="Arial"/>
                <w:szCs w:val="20"/>
              </w:rPr>
            </w:pPr>
            <w:r>
              <w:rPr>
                <w:rFonts w:cs="Arial"/>
                <w:szCs w:val="20"/>
              </w:rPr>
              <w:t>Consultation on the proposed tax arrangements</w:t>
            </w:r>
          </w:p>
        </w:tc>
        <w:tc>
          <w:tcPr>
            <w:tcW w:w="2800" w:type="dxa"/>
          </w:tcPr>
          <w:p w14:paraId="06DE4827" w14:textId="77777777" w:rsidR="004D0DEA" w:rsidRPr="005668B1" w:rsidRDefault="004D0DEA" w:rsidP="00375F63">
            <w:pPr>
              <w:rPr>
                <w:rFonts w:cs="Arial"/>
                <w:szCs w:val="20"/>
              </w:rPr>
            </w:pPr>
            <w:r>
              <w:rPr>
                <w:rFonts w:cs="Arial"/>
                <w:szCs w:val="20"/>
              </w:rPr>
              <w:t>Apparatus licence tax arrangements for satellite services in the Ka</w:t>
            </w:r>
            <w:r w:rsidR="00E43BEE">
              <w:rPr>
                <w:rFonts w:cs="Arial"/>
                <w:szCs w:val="20"/>
              </w:rPr>
              <w:t>-</w:t>
            </w:r>
            <w:r>
              <w:rPr>
                <w:rFonts w:cs="Arial"/>
                <w:szCs w:val="20"/>
              </w:rPr>
              <w:t>band</w:t>
            </w:r>
            <w:r w:rsidRPr="005668B1">
              <w:rPr>
                <w:rFonts w:cs="Arial"/>
                <w:szCs w:val="20"/>
              </w:rPr>
              <w:t xml:space="preserve"> </w:t>
            </w:r>
          </w:p>
        </w:tc>
        <w:tc>
          <w:tcPr>
            <w:tcW w:w="1984" w:type="dxa"/>
          </w:tcPr>
          <w:p w14:paraId="1882B153" w14:textId="77777777" w:rsidR="004D0DEA" w:rsidRPr="005668B1" w:rsidRDefault="004D0DEA" w:rsidP="00375F63">
            <w:pPr>
              <w:rPr>
                <w:rFonts w:cs="Arial"/>
                <w:szCs w:val="20"/>
              </w:rPr>
            </w:pPr>
            <w:r>
              <w:rPr>
                <w:rFonts w:cs="Arial"/>
                <w:szCs w:val="20"/>
              </w:rPr>
              <w:t>Q1, 2017</w:t>
            </w:r>
          </w:p>
        </w:tc>
      </w:tr>
      <w:tr w:rsidR="004D0DEA" w:rsidRPr="005668B1" w14:paraId="5DFF3487" w14:textId="77777777" w:rsidTr="00184327">
        <w:tc>
          <w:tcPr>
            <w:tcW w:w="2590" w:type="dxa"/>
            <w:shd w:val="clear" w:color="auto" w:fill="F2F2F2" w:themeFill="background1" w:themeFillShade="F2"/>
          </w:tcPr>
          <w:p w14:paraId="79A897D0" w14:textId="77777777" w:rsidR="004D0DEA" w:rsidRDefault="004D0DEA" w:rsidP="0039046B">
            <w:pPr>
              <w:spacing w:after="120"/>
              <w:rPr>
                <w:rFonts w:cs="Arial"/>
                <w:szCs w:val="20"/>
              </w:rPr>
            </w:pPr>
            <w:r>
              <w:rPr>
                <w:rFonts w:cs="Arial"/>
                <w:szCs w:val="20"/>
              </w:rPr>
              <w:t>Monitoring levels of congestion in high density areas of the 400 MHz band</w:t>
            </w:r>
          </w:p>
          <w:p w14:paraId="53D4EF89" w14:textId="77777777" w:rsidR="004D0DEA" w:rsidRPr="005668B1" w:rsidRDefault="004D0DEA" w:rsidP="0039046B">
            <w:pPr>
              <w:spacing w:after="120"/>
              <w:rPr>
                <w:rFonts w:cs="Arial"/>
                <w:szCs w:val="20"/>
              </w:rPr>
            </w:pPr>
            <w:r>
              <w:rPr>
                <w:rFonts w:cs="Arial"/>
                <w:szCs w:val="20"/>
              </w:rPr>
              <w:t>If required, consideration of third increment toward a new opportunity cost base licence tax rate for services in high density areas of the 400 MHz</w:t>
            </w:r>
          </w:p>
        </w:tc>
        <w:tc>
          <w:tcPr>
            <w:tcW w:w="1876" w:type="dxa"/>
            <w:shd w:val="clear" w:color="auto" w:fill="F2F2F2" w:themeFill="background1" w:themeFillShade="F2"/>
          </w:tcPr>
          <w:p w14:paraId="2AF6470B" w14:textId="77777777" w:rsidR="004D0DEA" w:rsidRPr="005668B1" w:rsidRDefault="004D0DEA" w:rsidP="00375F63">
            <w:pPr>
              <w:rPr>
                <w:rFonts w:cs="Arial"/>
                <w:szCs w:val="20"/>
              </w:rPr>
            </w:pPr>
            <w:r>
              <w:rPr>
                <w:rFonts w:cs="Arial"/>
                <w:szCs w:val="20"/>
              </w:rPr>
              <w:t>Monitoring levels of congestion in high density areas</w:t>
            </w:r>
          </w:p>
        </w:tc>
        <w:tc>
          <w:tcPr>
            <w:tcW w:w="2800" w:type="dxa"/>
            <w:shd w:val="clear" w:color="auto" w:fill="F2F2F2" w:themeFill="background1" w:themeFillShade="F2"/>
          </w:tcPr>
          <w:p w14:paraId="45103688" w14:textId="77777777" w:rsidR="004D0DEA" w:rsidRPr="005668B1" w:rsidRDefault="004D0DEA" w:rsidP="00375F63">
            <w:pPr>
              <w:rPr>
                <w:rFonts w:cs="Arial"/>
                <w:szCs w:val="20"/>
              </w:rPr>
            </w:pPr>
            <w:r>
              <w:rPr>
                <w:rFonts w:cs="Arial"/>
                <w:szCs w:val="20"/>
              </w:rPr>
              <w:t>Opportunity cost based pricing in high density areas of the 400 MHz band</w:t>
            </w:r>
          </w:p>
        </w:tc>
        <w:tc>
          <w:tcPr>
            <w:tcW w:w="1984" w:type="dxa"/>
            <w:shd w:val="clear" w:color="auto" w:fill="F2F2F2" w:themeFill="background1" w:themeFillShade="F2"/>
          </w:tcPr>
          <w:p w14:paraId="1A08C877" w14:textId="77777777" w:rsidR="004D0DEA" w:rsidRPr="005668B1" w:rsidRDefault="004D0DEA" w:rsidP="00375F63">
            <w:pPr>
              <w:rPr>
                <w:rFonts w:cs="Arial"/>
                <w:szCs w:val="20"/>
              </w:rPr>
            </w:pPr>
            <w:r>
              <w:rPr>
                <w:rFonts w:cs="Arial"/>
                <w:szCs w:val="20"/>
              </w:rPr>
              <w:t>Q1, 2017</w:t>
            </w:r>
          </w:p>
        </w:tc>
      </w:tr>
    </w:tbl>
    <w:p w14:paraId="228EFAD5" w14:textId="77777777" w:rsidR="004D0DEA" w:rsidRPr="005668B1" w:rsidRDefault="004D0DEA" w:rsidP="004D0DEA">
      <w:pPr>
        <w:pStyle w:val="ACMASpaceaftertable"/>
      </w:pPr>
    </w:p>
    <w:p w14:paraId="62398469" w14:textId="77777777" w:rsidR="004D0DEA" w:rsidRDefault="004D0DEA" w:rsidP="00184327">
      <w:pPr>
        <w:pStyle w:val="Heading3"/>
        <w:rPr>
          <w:lang w:val="en-US"/>
        </w:rPr>
      </w:pPr>
      <w:bookmarkStart w:id="264" w:name="_Toc461108005"/>
      <w:bookmarkStart w:id="265" w:name="_Toc461194832"/>
      <w:bookmarkStart w:id="266" w:name="_Toc461445483"/>
      <w:bookmarkStart w:id="267" w:name="_Toc463351320"/>
      <w:bookmarkStart w:id="268" w:name="_Toc421196913"/>
      <w:bookmarkStart w:id="269" w:name="_Toc421626779"/>
      <w:bookmarkStart w:id="270" w:name="_Toc422405895"/>
      <w:bookmarkStart w:id="271" w:name="_Toc425954303"/>
      <w:r>
        <w:rPr>
          <w:lang w:val="en-US"/>
        </w:rPr>
        <w:t>Spectrum allocations</w:t>
      </w:r>
      <w:bookmarkEnd w:id="264"/>
      <w:bookmarkEnd w:id="265"/>
      <w:bookmarkEnd w:id="266"/>
      <w:bookmarkEnd w:id="267"/>
    </w:p>
    <w:p w14:paraId="5399917A" w14:textId="77777777" w:rsidR="004D0DEA" w:rsidRDefault="004D0DEA" w:rsidP="004D0DEA">
      <w:pPr>
        <w:pStyle w:val="BodySubHeader"/>
      </w:pPr>
      <w:bookmarkStart w:id="272" w:name="_Toc455579220"/>
      <w:bookmarkStart w:id="273" w:name="_Toc456616634"/>
      <w:bookmarkStart w:id="274" w:name="_Toc458084561"/>
      <w:bookmarkStart w:id="275" w:name="_Toc458608698"/>
      <w:r w:rsidRPr="0041654D">
        <w:t>Background</w:t>
      </w:r>
    </w:p>
    <w:p w14:paraId="456ECD49" w14:textId="77777777" w:rsidR="004D0DEA" w:rsidRPr="00CA35C0" w:rsidRDefault="004D0DEA" w:rsidP="004D0DEA">
      <w:pPr>
        <w:rPr>
          <w:b/>
          <w:i/>
        </w:rPr>
      </w:pPr>
      <w:r w:rsidRPr="0041654D">
        <w:t>The ACMA has a number of possible forthcoming price-based allocations</w:t>
      </w:r>
      <w:r w:rsidR="003E45D9">
        <w:t xml:space="preserve"> under consideration</w:t>
      </w:r>
      <w:r w:rsidRPr="0041654D">
        <w:t>, and in recognition of this</w:t>
      </w:r>
      <w:r>
        <w:t>,</w:t>
      </w:r>
      <w:r w:rsidRPr="0041654D">
        <w:t xml:space="preserve"> has acquired a simple clock auction (SCA) capability</w:t>
      </w:r>
      <w:r w:rsidR="00B4761C">
        <w:t xml:space="preserve"> </w:t>
      </w:r>
      <w:r w:rsidRPr="0041654D">
        <w:t xml:space="preserve">to support its existing simultaneous multi-round ascending (SMRA) auction system. </w:t>
      </w:r>
      <w:r>
        <w:t>An SCA</w:t>
      </w:r>
      <w:r w:rsidRPr="0041654D">
        <w:t xml:space="preserve"> is much like an English Open Outcry (EOO) auction, </w:t>
      </w:r>
      <w:r>
        <w:t xml:space="preserve">where </w:t>
      </w:r>
      <w:r w:rsidRPr="0041654D">
        <w:t>all lots can be open for bidding at the same time, or they can be offered in sequence in a simple ascending-bid process. Each lot closes when there are no further bids on that lot. The SCA methodology combines the simplicity of the EOO auction format with additional functionality enabled by an electronic platform. An SCA format formalises the process by which prices increase and how much time bidders are given to place bids. In an SMRA auction, on the other hand, bidders can switch between lots in each round</w:t>
      </w:r>
      <w:r>
        <w:t>,</w:t>
      </w:r>
      <w:r w:rsidRPr="0041654D">
        <w:t xml:space="preserve"> and all lots are offered at the same time</w:t>
      </w:r>
      <w:r>
        <w:t>—</w:t>
      </w:r>
      <w:r w:rsidRPr="0041654D">
        <w:t>that is, simultaneously. All lots remain open for bidding until the end of the auction.</w:t>
      </w:r>
    </w:p>
    <w:p w14:paraId="46C64CCD" w14:textId="77777777" w:rsidR="004D0DEA" w:rsidRPr="00C95707" w:rsidRDefault="004D0DEA" w:rsidP="004D0DEA">
      <w:r w:rsidRPr="0041654D">
        <w:t xml:space="preserve">The ACMA is currently working on developing one or more allocations of unallocated lots. This is expected to include unsold lots from the </w:t>
      </w:r>
      <w:r>
        <w:t xml:space="preserve">2013 allocation of the 700 MHz band (the ‘digital dividend’ auction), from the </w:t>
      </w:r>
      <w:r w:rsidRPr="0041654D">
        <w:t xml:space="preserve">recent regional 1800 MHz band auction and from the original 2 GHz band auction. Any future 2 GHz band allocation is also likely to include any lots that are not reissued as part of the expiring spectrum licence process currently underway. The ACMA expects that an allocation of the </w:t>
      </w:r>
      <w:r>
        <w:t xml:space="preserve">700 MHz band unsold lots might occur in quarter 2, 2017. If that is the case, then the other auctions would not occur before quarter 4, 2017 at the earliest. </w:t>
      </w:r>
      <w:r w:rsidRPr="0041654D">
        <w:t>However, this timing is contingent on decisions about arrangements for</w:t>
      </w:r>
      <w:r>
        <w:t>,</w:t>
      </w:r>
      <w:r w:rsidRPr="0041654D">
        <w:t xml:space="preserve"> and the relative priority of</w:t>
      </w:r>
      <w:r>
        <w:t>,</w:t>
      </w:r>
      <w:r w:rsidRPr="0041654D">
        <w:t xml:space="preserve"> </w:t>
      </w:r>
      <w:r>
        <w:t xml:space="preserve">all </w:t>
      </w:r>
      <w:r w:rsidRPr="0041654D">
        <w:t xml:space="preserve">allocations. </w:t>
      </w:r>
    </w:p>
    <w:p w14:paraId="407D21CD" w14:textId="6C41CBB0" w:rsidR="00DB46B7" w:rsidRDefault="004D0DEA" w:rsidP="004D0DEA">
      <w:pPr>
        <w:rPr>
          <w:rFonts w:cs="Arial"/>
          <w:szCs w:val="20"/>
        </w:rPr>
      </w:pPr>
      <w:r w:rsidRPr="0041654D">
        <w:rPr>
          <w:rFonts w:cs="Arial"/>
          <w:szCs w:val="20"/>
        </w:rPr>
        <w:t>Possible longer</w:t>
      </w:r>
      <w:r>
        <w:rPr>
          <w:rFonts w:cs="Arial"/>
          <w:szCs w:val="20"/>
        </w:rPr>
        <w:t>-</w:t>
      </w:r>
      <w:r w:rsidRPr="0041654D">
        <w:rPr>
          <w:rFonts w:cs="Arial"/>
          <w:szCs w:val="20"/>
        </w:rPr>
        <w:t xml:space="preserve">term allocation processes include those for the 850 MHz, 1.5 GHz and 3.6 GHz bands, with some of these bands in the initial investigation stage for consideration of re-farming, and others in the final re-farming stage; and potentially the 900 MHz band, noting that no decisions have yet been taken on whether re-farming is the most appropriate way forward for this band. </w:t>
      </w:r>
    </w:p>
    <w:p w14:paraId="1B867A56" w14:textId="77777777" w:rsidR="00DB46B7" w:rsidRPr="00DB46B7" w:rsidRDefault="00DB46B7" w:rsidP="000D4DB5">
      <w:pPr>
        <w:pStyle w:val="PlainText"/>
        <w:spacing w:after="80"/>
        <w:rPr>
          <w:rFonts w:ascii="Arial" w:hAnsi="Arial" w:cs="Arial"/>
          <w:sz w:val="20"/>
          <w:szCs w:val="20"/>
        </w:rPr>
      </w:pPr>
      <w:r w:rsidRPr="00DB46B7">
        <w:rPr>
          <w:rFonts w:ascii="Arial" w:hAnsi="Arial" w:cs="Arial"/>
          <w:sz w:val="20"/>
          <w:szCs w:val="20"/>
        </w:rPr>
        <w:t>It is too early to predict the timing of the</w:t>
      </w:r>
      <w:r>
        <w:rPr>
          <w:rFonts w:ascii="Arial" w:hAnsi="Arial" w:cs="Arial"/>
          <w:sz w:val="20"/>
          <w:szCs w:val="20"/>
        </w:rPr>
        <w:t>se potential future allocations:</w:t>
      </w:r>
      <w:r w:rsidRPr="00DB46B7">
        <w:rPr>
          <w:rFonts w:ascii="Arial" w:hAnsi="Arial" w:cs="Arial"/>
          <w:sz w:val="20"/>
          <w:szCs w:val="20"/>
        </w:rPr>
        <w:t xml:space="preserve"> </w:t>
      </w:r>
    </w:p>
    <w:p w14:paraId="29F5514D" w14:textId="537BE639" w:rsidR="00DB46B7" w:rsidRPr="000D4DB5" w:rsidRDefault="00DB46B7" w:rsidP="000D4DB5">
      <w:pPr>
        <w:pStyle w:val="ListBullet"/>
      </w:pPr>
      <w:r w:rsidRPr="00DB46B7">
        <w:t>A future LTE allocation of 2 x 15 MHz has been identified in the 850 MHz band, however decisions on whether it should be allocated in whole or in part await clarification of the government’s response to the Productivity Commission’s 12</w:t>
      </w:r>
      <w:r w:rsidR="000D4DB5">
        <w:t> </w:t>
      </w:r>
      <w:r w:rsidRPr="00DB46B7">
        <w:t xml:space="preserve">January 2016 report on Public Safety Mobile Broadband. The spectrum is also subject to lengthy clearance processes. </w:t>
      </w:r>
    </w:p>
    <w:p w14:paraId="0EECEFB2" w14:textId="5D79FF22" w:rsidR="00DB46B7" w:rsidRPr="000D4DB5" w:rsidRDefault="00DB46B7" w:rsidP="000D4DB5">
      <w:pPr>
        <w:pStyle w:val="ListBulletLast"/>
        <w:rPr>
          <w:rFonts w:cs="Times New Roman"/>
        </w:rPr>
      </w:pPr>
      <w:r w:rsidRPr="00DB46B7">
        <w:t xml:space="preserve">As decisions on the availability of spectrum in the 900 MHz, 1.5 GHz and 3.6 GHz bands have not yet been taken, the timing of, and arrangements for, possible allocation of these bands has yet to be considered. </w:t>
      </w:r>
    </w:p>
    <w:p w14:paraId="32B43444" w14:textId="77777777" w:rsidR="004D0DEA" w:rsidRPr="0041654D" w:rsidRDefault="004D0DEA" w:rsidP="004D0DEA">
      <w:pPr>
        <w:rPr>
          <w:rFonts w:cs="Arial"/>
          <w:szCs w:val="20"/>
        </w:rPr>
      </w:pPr>
      <w:r w:rsidRPr="0041654D">
        <w:rPr>
          <w:rFonts w:cs="Arial"/>
          <w:szCs w:val="20"/>
        </w:rPr>
        <w:t xml:space="preserve">However the ACMA notes that there may be economic arguments for simultaneous allocation of any two or more of these bands if they come to market. Under multiband scenarios, an allocation system </w:t>
      </w:r>
      <w:r>
        <w:rPr>
          <w:rFonts w:cs="Arial"/>
          <w:szCs w:val="20"/>
        </w:rPr>
        <w:t>that</w:t>
      </w:r>
      <w:r w:rsidRPr="0041654D">
        <w:rPr>
          <w:rFonts w:cs="Arial"/>
          <w:szCs w:val="20"/>
        </w:rPr>
        <w:t xml:space="preserve"> allow</w:t>
      </w:r>
      <w:r>
        <w:rPr>
          <w:rFonts w:cs="Arial"/>
          <w:szCs w:val="20"/>
        </w:rPr>
        <w:t>s</w:t>
      </w:r>
      <w:r w:rsidRPr="0041654D">
        <w:rPr>
          <w:rFonts w:cs="Arial"/>
          <w:szCs w:val="20"/>
        </w:rPr>
        <w:t xml:space="preserve"> package bidding</w:t>
      </w:r>
      <w:r>
        <w:rPr>
          <w:rFonts w:cs="Arial"/>
          <w:szCs w:val="20"/>
        </w:rPr>
        <w:t>—</w:t>
      </w:r>
      <w:r w:rsidRPr="0041654D">
        <w:rPr>
          <w:rFonts w:cs="Arial"/>
          <w:szCs w:val="20"/>
        </w:rPr>
        <w:t>such as a combinatorial clock auction or an SMRA auction with package bidding</w:t>
      </w:r>
      <w:r>
        <w:rPr>
          <w:rFonts w:cs="Arial"/>
          <w:szCs w:val="20"/>
        </w:rPr>
        <w:t>—</w:t>
      </w:r>
      <w:r w:rsidRPr="0041654D">
        <w:rPr>
          <w:rFonts w:cs="Arial"/>
          <w:szCs w:val="20"/>
        </w:rPr>
        <w:t>may be desirable. The ACMA</w:t>
      </w:r>
      <w:r>
        <w:rPr>
          <w:rFonts w:cs="Arial"/>
          <w:szCs w:val="20"/>
        </w:rPr>
        <w:t>,</w:t>
      </w:r>
      <w:r w:rsidRPr="0041654D">
        <w:rPr>
          <w:rFonts w:cs="Arial"/>
          <w:szCs w:val="20"/>
        </w:rPr>
        <w:t xml:space="preserve"> therefore</w:t>
      </w:r>
      <w:r>
        <w:rPr>
          <w:rFonts w:cs="Arial"/>
          <w:szCs w:val="20"/>
        </w:rPr>
        <w:t>,</w:t>
      </w:r>
      <w:r w:rsidRPr="0041654D">
        <w:rPr>
          <w:rFonts w:cs="Arial"/>
          <w:szCs w:val="20"/>
        </w:rPr>
        <w:t xml:space="preserve"> considers </w:t>
      </w:r>
      <w:r>
        <w:rPr>
          <w:rFonts w:cs="Arial"/>
          <w:szCs w:val="20"/>
        </w:rPr>
        <w:t xml:space="preserve">that </w:t>
      </w:r>
      <w:r w:rsidRPr="0041654D">
        <w:rPr>
          <w:rFonts w:cs="Arial"/>
          <w:szCs w:val="20"/>
        </w:rPr>
        <w:t>there a range of important matters to be considered and resolved, including appropriate allocation methodologies, before arrangements for any allocation of these bands could be finalised.</w:t>
      </w:r>
    </w:p>
    <w:p w14:paraId="010E7C81" w14:textId="3D76E36C" w:rsidR="00B77FA0" w:rsidRPr="0041654D" w:rsidRDefault="004D0DEA" w:rsidP="004D0DEA">
      <w:r w:rsidRPr="0041654D">
        <w:t xml:space="preserve">The ACMA </w:t>
      </w:r>
      <w:r w:rsidR="00B77FA0">
        <w:t>expects to continue to</w:t>
      </w:r>
      <w:r w:rsidRPr="0041654D">
        <w:t xml:space="preserve"> undertake public consultation on arrangements for possible allocation processes.</w:t>
      </w:r>
    </w:p>
    <w:p w14:paraId="23CB0E59" w14:textId="77777777" w:rsidR="004D0DEA" w:rsidRPr="004D0DEA" w:rsidRDefault="004D0DEA" w:rsidP="004D0DEA">
      <w:pPr>
        <w:keepNext/>
        <w:numPr>
          <w:ilvl w:val="0"/>
          <w:numId w:val="27"/>
        </w:numPr>
        <w:spacing w:after="160" w:line="240" w:lineRule="auto"/>
        <w:rPr>
          <w:b/>
        </w:rPr>
      </w:pPr>
      <w:r w:rsidRPr="004D0DEA">
        <w:rPr>
          <w:b/>
        </w:rPr>
        <w:t>Next steps—spectrum allocations</w:t>
      </w:r>
    </w:p>
    <w:tbl>
      <w:tblPr>
        <w:tblStyle w:val="TableGrid"/>
        <w:tblW w:w="9250" w:type="dxa"/>
        <w:tblCellMar>
          <w:top w:w="57" w:type="dxa"/>
          <w:left w:w="57" w:type="dxa"/>
          <w:bottom w:w="57" w:type="dxa"/>
          <w:right w:w="57" w:type="dxa"/>
        </w:tblCellMar>
        <w:tblLook w:val="04A0" w:firstRow="1" w:lastRow="0" w:firstColumn="1" w:lastColumn="0" w:noHBand="0" w:noVBand="1"/>
        <w:tblCaption w:val="Next steps—spectrum allocations"/>
        <w:tblDescription w:val="Includes work task/activity, the stage/phase, project details and the indicative timing."/>
      </w:tblPr>
      <w:tblGrid>
        <w:gridCol w:w="2304"/>
        <w:gridCol w:w="1418"/>
        <w:gridCol w:w="1559"/>
        <w:gridCol w:w="3969"/>
      </w:tblGrid>
      <w:tr w:rsidR="004D0DEA" w:rsidRPr="0041654D" w14:paraId="5EE0111A" w14:textId="77777777" w:rsidTr="00E63156">
        <w:trPr>
          <w:tblHeader/>
        </w:trPr>
        <w:tc>
          <w:tcPr>
            <w:tcW w:w="2304" w:type="dxa"/>
            <w:shd w:val="clear" w:color="auto" w:fill="404040" w:themeFill="text1" w:themeFillTint="BF"/>
          </w:tcPr>
          <w:p w14:paraId="3FF229A0" w14:textId="77777777" w:rsidR="004D0DEA" w:rsidRPr="0039046B" w:rsidRDefault="004D0DEA" w:rsidP="0039046B">
            <w:pPr>
              <w:pStyle w:val="TableHeading"/>
              <w:rPr>
                <w:color w:val="FFFFFF" w:themeColor="background1"/>
              </w:rPr>
            </w:pPr>
            <w:r w:rsidRPr="0039046B">
              <w:rPr>
                <w:color w:val="FFFFFF" w:themeColor="background1"/>
              </w:rPr>
              <w:t>Work task/activity</w:t>
            </w:r>
          </w:p>
        </w:tc>
        <w:tc>
          <w:tcPr>
            <w:tcW w:w="1418" w:type="dxa"/>
            <w:shd w:val="clear" w:color="auto" w:fill="404040" w:themeFill="text1" w:themeFillTint="BF"/>
          </w:tcPr>
          <w:p w14:paraId="4833B46E" w14:textId="77777777" w:rsidR="004D0DEA" w:rsidRPr="0039046B" w:rsidRDefault="004D0DEA" w:rsidP="0039046B">
            <w:pPr>
              <w:pStyle w:val="TableHeading"/>
              <w:rPr>
                <w:color w:val="FFFFFF" w:themeColor="background1"/>
              </w:rPr>
            </w:pPr>
            <w:r w:rsidRPr="0039046B">
              <w:rPr>
                <w:color w:val="FFFFFF" w:themeColor="background1"/>
              </w:rPr>
              <w:t>Stage/phase</w:t>
            </w:r>
          </w:p>
        </w:tc>
        <w:tc>
          <w:tcPr>
            <w:tcW w:w="1559" w:type="dxa"/>
            <w:shd w:val="clear" w:color="auto" w:fill="404040" w:themeFill="text1" w:themeFillTint="BF"/>
          </w:tcPr>
          <w:p w14:paraId="029DC545" w14:textId="77777777" w:rsidR="004D0DEA" w:rsidRPr="0039046B" w:rsidRDefault="004D0DEA" w:rsidP="0039046B">
            <w:pPr>
              <w:pStyle w:val="TableHeading"/>
              <w:rPr>
                <w:color w:val="FFFFFF" w:themeColor="background1"/>
              </w:rPr>
            </w:pPr>
            <w:r w:rsidRPr="0039046B">
              <w:rPr>
                <w:color w:val="FFFFFF" w:themeColor="background1"/>
              </w:rPr>
              <w:t>Project</w:t>
            </w:r>
          </w:p>
        </w:tc>
        <w:tc>
          <w:tcPr>
            <w:tcW w:w="3969" w:type="dxa"/>
            <w:shd w:val="clear" w:color="auto" w:fill="404040" w:themeFill="text1" w:themeFillTint="BF"/>
          </w:tcPr>
          <w:p w14:paraId="79A58B5B" w14:textId="77777777" w:rsidR="004D0DEA" w:rsidRPr="0039046B" w:rsidRDefault="00451524" w:rsidP="0039046B">
            <w:pPr>
              <w:pStyle w:val="TableHeading"/>
              <w:rPr>
                <w:color w:val="FFFFFF" w:themeColor="background1"/>
              </w:rPr>
            </w:pPr>
            <w:r>
              <w:rPr>
                <w:color w:val="FFFFFF" w:themeColor="background1"/>
              </w:rPr>
              <w:t>T</w:t>
            </w:r>
            <w:r w:rsidR="004D0DEA" w:rsidRPr="0039046B">
              <w:rPr>
                <w:color w:val="FFFFFF" w:themeColor="background1"/>
              </w:rPr>
              <w:t>iming</w:t>
            </w:r>
          </w:p>
        </w:tc>
      </w:tr>
      <w:tr w:rsidR="004D0DEA" w:rsidRPr="0041654D" w14:paraId="5E032CB4" w14:textId="77777777" w:rsidTr="000D4DB5">
        <w:tc>
          <w:tcPr>
            <w:tcW w:w="2304" w:type="dxa"/>
            <w:shd w:val="clear" w:color="auto" w:fill="FFFFFF" w:themeFill="background1"/>
          </w:tcPr>
          <w:p w14:paraId="3DD46CAD" w14:textId="60F66871" w:rsidR="004D0DEA" w:rsidRPr="0041654D" w:rsidRDefault="004D0DEA" w:rsidP="00886FB5">
            <w:pPr>
              <w:spacing w:after="120"/>
              <w:rPr>
                <w:rFonts w:cs="Arial"/>
                <w:szCs w:val="20"/>
              </w:rPr>
            </w:pPr>
            <w:r w:rsidRPr="0041654D">
              <w:rPr>
                <w:rFonts w:cs="Arial"/>
                <w:szCs w:val="20"/>
              </w:rPr>
              <w:t xml:space="preserve">Allocation of the unsold regional 1800 MHz </w:t>
            </w:r>
            <w:r w:rsidR="000D4DB5">
              <w:rPr>
                <w:rFonts w:cs="Arial"/>
                <w:szCs w:val="20"/>
              </w:rPr>
              <w:t>lots</w:t>
            </w:r>
          </w:p>
        </w:tc>
        <w:tc>
          <w:tcPr>
            <w:tcW w:w="1418" w:type="dxa"/>
            <w:shd w:val="clear" w:color="auto" w:fill="FFFFFF" w:themeFill="background1"/>
          </w:tcPr>
          <w:p w14:paraId="195A09F5" w14:textId="77777777" w:rsidR="004D0DEA" w:rsidRPr="0041654D" w:rsidRDefault="004D0DEA" w:rsidP="0039046B">
            <w:pPr>
              <w:spacing w:after="120"/>
              <w:rPr>
                <w:rFonts w:cs="Arial"/>
                <w:szCs w:val="20"/>
              </w:rPr>
            </w:pPr>
            <w:r w:rsidRPr="0041654D">
              <w:rPr>
                <w:rFonts w:cs="Arial"/>
                <w:szCs w:val="20"/>
              </w:rPr>
              <w:t>Preparation</w:t>
            </w:r>
          </w:p>
        </w:tc>
        <w:tc>
          <w:tcPr>
            <w:tcW w:w="1559" w:type="dxa"/>
            <w:shd w:val="clear" w:color="auto" w:fill="FFFFFF" w:themeFill="background1"/>
          </w:tcPr>
          <w:p w14:paraId="2E3CBF11" w14:textId="77777777" w:rsidR="004D0DEA" w:rsidRPr="0041654D" w:rsidRDefault="004D0DEA" w:rsidP="0039046B">
            <w:pPr>
              <w:spacing w:after="120"/>
              <w:rPr>
                <w:rFonts w:cs="Arial"/>
                <w:szCs w:val="20"/>
              </w:rPr>
            </w:pPr>
            <w:r w:rsidRPr="0041654D">
              <w:rPr>
                <w:rFonts w:cs="Arial"/>
                <w:szCs w:val="20"/>
              </w:rPr>
              <w:t>Allocation</w:t>
            </w:r>
          </w:p>
        </w:tc>
        <w:tc>
          <w:tcPr>
            <w:tcW w:w="3969" w:type="dxa"/>
            <w:shd w:val="clear" w:color="auto" w:fill="FFFFFF" w:themeFill="background1"/>
          </w:tcPr>
          <w:p w14:paraId="6B7AB874" w14:textId="1735643B" w:rsidR="004D0DEA" w:rsidRPr="0041654D" w:rsidRDefault="00B17C09" w:rsidP="00B17C09">
            <w:pPr>
              <w:spacing w:after="120"/>
              <w:rPr>
                <w:rFonts w:cs="Arial"/>
                <w:szCs w:val="20"/>
              </w:rPr>
            </w:pPr>
            <w:r>
              <w:rPr>
                <w:rFonts w:cs="Arial"/>
                <w:szCs w:val="20"/>
              </w:rPr>
              <w:t>First half</w:t>
            </w:r>
            <w:r w:rsidR="004D0DEA" w:rsidRPr="0041654D">
              <w:rPr>
                <w:rFonts w:cs="Arial"/>
                <w:szCs w:val="20"/>
              </w:rPr>
              <w:t xml:space="preserve"> 2017</w:t>
            </w:r>
            <w:r w:rsidR="004D0DEA">
              <w:rPr>
                <w:rFonts w:cs="Arial"/>
                <w:szCs w:val="20"/>
              </w:rPr>
              <w:t>—h</w:t>
            </w:r>
            <w:r w:rsidR="004D0DEA" w:rsidRPr="0041654D">
              <w:rPr>
                <w:rFonts w:cs="Arial"/>
                <w:szCs w:val="20"/>
              </w:rPr>
              <w:t>owever</w:t>
            </w:r>
            <w:r>
              <w:rPr>
                <w:rFonts w:cs="Arial"/>
                <w:szCs w:val="20"/>
              </w:rPr>
              <w:t xml:space="preserve"> this</w:t>
            </w:r>
            <w:r w:rsidR="004D0DEA" w:rsidRPr="0041654D">
              <w:rPr>
                <w:rFonts w:cs="Arial"/>
                <w:szCs w:val="20"/>
              </w:rPr>
              <w:t xml:space="preserve"> timing is contingent on decisions about arrangements for</w:t>
            </w:r>
            <w:r>
              <w:rPr>
                <w:rFonts w:cs="Arial"/>
                <w:szCs w:val="20"/>
              </w:rPr>
              <w:t xml:space="preserve"> and the relative priority of other allocations, in particular the 700 MHz band</w:t>
            </w:r>
            <w:r w:rsidR="004D0DEA">
              <w:rPr>
                <w:rFonts w:cs="Arial"/>
                <w:szCs w:val="20"/>
              </w:rPr>
              <w:t xml:space="preserve"> unsold lots</w:t>
            </w:r>
            <w:r>
              <w:rPr>
                <w:rFonts w:cs="Arial"/>
                <w:szCs w:val="20"/>
              </w:rPr>
              <w:t xml:space="preserve"> which, at the time of publication of this FYSO, are currently subject to government consideration.</w:t>
            </w:r>
          </w:p>
        </w:tc>
      </w:tr>
      <w:tr w:rsidR="00B17C09" w:rsidRPr="0041654D" w14:paraId="52EEDF05" w14:textId="77777777" w:rsidTr="000D4DB5">
        <w:tc>
          <w:tcPr>
            <w:tcW w:w="2304" w:type="dxa"/>
            <w:shd w:val="clear" w:color="auto" w:fill="F2F2F2" w:themeFill="background1" w:themeFillShade="F2"/>
          </w:tcPr>
          <w:p w14:paraId="3AD6EB41" w14:textId="4F8E7F04" w:rsidR="00B17C09" w:rsidRPr="0041654D" w:rsidRDefault="00B17C09" w:rsidP="000D4DB5">
            <w:pPr>
              <w:spacing w:after="120"/>
              <w:rPr>
                <w:rFonts w:cs="Arial"/>
                <w:szCs w:val="20"/>
              </w:rPr>
            </w:pPr>
            <w:r>
              <w:rPr>
                <w:rFonts w:cs="Arial"/>
                <w:szCs w:val="20"/>
              </w:rPr>
              <w:t>Allocation of unsold 700</w:t>
            </w:r>
            <w:r w:rsidR="000D4DB5">
              <w:rPr>
                <w:rFonts w:cs="Arial"/>
                <w:szCs w:val="20"/>
              </w:rPr>
              <w:t> </w:t>
            </w:r>
            <w:r>
              <w:rPr>
                <w:rFonts w:cs="Arial"/>
                <w:szCs w:val="20"/>
              </w:rPr>
              <w:t>MHz lots</w:t>
            </w:r>
          </w:p>
        </w:tc>
        <w:tc>
          <w:tcPr>
            <w:tcW w:w="1418" w:type="dxa"/>
            <w:shd w:val="clear" w:color="auto" w:fill="F2F2F2" w:themeFill="background1" w:themeFillShade="F2"/>
          </w:tcPr>
          <w:p w14:paraId="620BEBBC" w14:textId="77777777" w:rsidR="00B17C09" w:rsidRPr="0041654D" w:rsidRDefault="00B17C09" w:rsidP="0039046B">
            <w:pPr>
              <w:spacing w:after="120"/>
              <w:rPr>
                <w:rFonts w:cs="Arial"/>
                <w:szCs w:val="20"/>
              </w:rPr>
            </w:pPr>
            <w:r>
              <w:rPr>
                <w:rFonts w:cs="Arial"/>
                <w:szCs w:val="20"/>
              </w:rPr>
              <w:t xml:space="preserve">Government consideration </w:t>
            </w:r>
          </w:p>
        </w:tc>
        <w:tc>
          <w:tcPr>
            <w:tcW w:w="1559" w:type="dxa"/>
            <w:shd w:val="clear" w:color="auto" w:fill="F2F2F2" w:themeFill="background1" w:themeFillShade="F2"/>
          </w:tcPr>
          <w:p w14:paraId="7E5F844D" w14:textId="77777777" w:rsidR="00B17C09" w:rsidRPr="0041654D" w:rsidRDefault="00B17C09" w:rsidP="0039046B">
            <w:pPr>
              <w:spacing w:after="120"/>
              <w:rPr>
                <w:rFonts w:cs="Arial"/>
                <w:szCs w:val="20"/>
              </w:rPr>
            </w:pPr>
            <w:r>
              <w:rPr>
                <w:rFonts w:cs="Arial"/>
                <w:szCs w:val="20"/>
              </w:rPr>
              <w:t>Allocation</w:t>
            </w:r>
          </w:p>
        </w:tc>
        <w:tc>
          <w:tcPr>
            <w:tcW w:w="3969" w:type="dxa"/>
            <w:shd w:val="clear" w:color="auto" w:fill="F2F2F2" w:themeFill="background1" w:themeFillShade="F2"/>
          </w:tcPr>
          <w:p w14:paraId="31638B97" w14:textId="77777777" w:rsidR="00B17C09" w:rsidRDefault="00B17C09" w:rsidP="0039046B">
            <w:pPr>
              <w:spacing w:after="120"/>
              <w:rPr>
                <w:rFonts w:cs="Arial"/>
                <w:szCs w:val="20"/>
              </w:rPr>
            </w:pPr>
            <w:r>
              <w:rPr>
                <w:rFonts w:cs="Arial"/>
                <w:szCs w:val="20"/>
              </w:rPr>
              <w:t>To be provided once the timing and resource implications of any government decision on allocation of the lots are clear.</w:t>
            </w:r>
          </w:p>
        </w:tc>
      </w:tr>
      <w:tr w:rsidR="004D0DEA" w:rsidRPr="0041654D" w14:paraId="33F3E4A9" w14:textId="77777777" w:rsidTr="000D4DB5">
        <w:tc>
          <w:tcPr>
            <w:tcW w:w="2304" w:type="dxa"/>
            <w:shd w:val="clear" w:color="auto" w:fill="FFFFFF" w:themeFill="background1"/>
          </w:tcPr>
          <w:p w14:paraId="58A8D3A4" w14:textId="7E4D29A6" w:rsidR="004D0DEA" w:rsidRPr="0041654D" w:rsidRDefault="004D0DEA" w:rsidP="000D4DB5">
            <w:pPr>
              <w:spacing w:after="120"/>
              <w:rPr>
                <w:rFonts w:cs="Arial"/>
                <w:szCs w:val="20"/>
              </w:rPr>
            </w:pPr>
            <w:r w:rsidRPr="0041654D">
              <w:rPr>
                <w:rFonts w:cs="Arial"/>
                <w:szCs w:val="20"/>
              </w:rPr>
              <w:t>Allocation of unsold 2</w:t>
            </w:r>
            <w:r>
              <w:rPr>
                <w:rFonts w:cs="Arial"/>
                <w:szCs w:val="20"/>
              </w:rPr>
              <w:t> </w:t>
            </w:r>
            <w:r w:rsidRPr="0041654D">
              <w:rPr>
                <w:rFonts w:cs="Arial"/>
                <w:szCs w:val="20"/>
              </w:rPr>
              <w:t>GHz</w:t>
            </w:r>
            <w:r w:rsidR="00B17C09">
              <w:rPr>
                <w:rFonts w:cs="Arial"/>
                <w:szCs w:val="20"/>
              </w:rPr>
              <w:t>, 2.3 GHz and 3.4</w:t>
            </w:r>
            <w:r w:rsidR="000D4DB5">
              <w:rPr>
                <w:rFonts w:cs="Arial"/>
                <w:szCs w:val="20"/>
              </w:rPr>
              <w:t> </w:t>
            </w:r>
            <w:r w:rsidR="00B17C09">
              <w:rPr>
                <w:rFonts w:cs="Arial"/>
                <w:szCs w:val="20"/>
              </w:rPr>
              <w:t>GHz band</w:t>
            </w:r>
            <w:r w:rsidRPr="0041654D">
              <w:rPr>
                <w:rFonts w:cs="Arial"/>
                <w:szCs w:val="20"/>
              </w:rPr>
              <w:t xml:space="preserve"> lots</w:t>
            </w:r>
          </w:p>
        </w:tc>
        <w:tc>
          <w:tcPr>
            <w:tcW w:w="1418" w:type="dxa"/>
            <w:shd w:val="clear" w:color="auto" w:fill="FFFFFF" w:themeFill="background1"/>
          </w:tcPr>
          <w:p w14:paraId="5FCC1E62" w14:textId="77777777" w:rsidR="004D0DEA" w:rsidRPr="0041654D" w:rsidRDefault="004D0DEA" w:rsidP="0039046B">
            <w:pPr>
              <w:spacing w:after="120"/>
              <w:rPr>
                <w:rFonts w:cs="Arial"/>
                <w:szCs w:val="20"/>
              </w:rPr>
            </w:pPr>
            <w:r w:rsidRPr="0041654D">
              <w:rPr>
                <w:rFonts w:cs="Arial"/>
                <w:szCs w:val="20"/>
              </w:rPr>
              <w:t>Scoping</w:t>
            </w:r>
          </w:p>
        </w:tc>
        <w:tc>
          <w:tcPr>
            <w:tcW w:w="1559" w:type="dxa"/>
            <w:shd w:val="clear" w:color="auto" w:fill="FFFFFF" w:themeFill="background1"/>
          </w:tcPr>
          <w:p w14:paraId="34B66D58" w14:textId="77777777" w:rsidR="004D0DEA" w:rsidRPr="0041654D" w:rsidRDefault="004D0DEA" w:rsidP="0039046B">
            <w:pPr>
              <w:spacing w:after="120"/>
              <w:rPr>
                <w:rFonts w:cs="Arial"/>
                <w:szCs w:val="20"/>
              </w:rPr>
            </w:pPr>
            <w:r w:rsidRPr="0041654D">
              <w:rPr>
                <w:rFonts w:cs="Arial"/>
                <w:szCs w:val="20"/>
              </w:rPr>
              <w:t>Allocation</w:t>
            </w:r>
          </w:p>
        </w:tc>
        <w:tc>
          <w:tcPr>
            <w:tcW w:w="3969" w:type="dxa"/>
            <w:shd w:val="clear" w:color="auto" w:fill="FFFFFF" w:themeFill="background1"/>
          </w:tcPr>
          <w:p w14:paraId="558D9758" w14:textId="41FCF843" w:rsidR="004D0DEA" w:rsidRPr="0041654D" w:rsidRDefault="004D0DEA" w:rsidP="005356C6">
            <w:pPr>
              <w:spacing w:after="120"/>
              <w:rPr>
                <w:rFonts w:cs="Arial"/>
                <w:szCs w:val="20"/>
              </w:rPr>
            </w:pPr>
            <w:r w:rsidRPr="0041654D">
              <w:rPr>
                <w:rFonts w:cs="Arial"/>
                <w:szCs w:val="20"/>
              </w:rPr>
              <w:t>To be provided</w:t>
            </w:r>
            <w:r w:rsidR="00283A20">
              <w:rPr>
                <w:rFonts w:cs="Arial"/>
                <w:szCs w:val="20"/>
              </w:rPr>
              <w:t xml:space="preserve"> once</w:t>
            </w:r>
            <w:r w:rsidR="00C356DD">
              <w:rPr>
                <w:rFonts w:cs="Arial"/>
                <w:szCs w:val="20"/>
              </w:rPr>
              <w:t xml:space="preserve"> the</w:t>
            </w:r>
            <w:r w:rsidR="00283A20">
              <w:rPr>
                <w:rFonts w:cs="Arial"/>
                <w:szCs w:val="20"/>
              </w:rPr>
              <w:t xml:space="preserve"> timing and resource implications of any government decision on allocation of </w:t>
            </w:r>
            <w:r w:rsidR="00B17C09">
              <w:rPr>
                <w:rFonts w:cs="Arial"/>
                <w:szCs w:val="20"/>
              </w:rPr>
              <w:t xml:space="preserve">the </w:t>
            </w:r>
            <w:r w:rsidR="00B22451">
              <w:rPr>
                <w:rFonts w:cs="Arial"/>
                <w:szCs w:val="20"/>
              </w:rPr>
              <w:t xml:space="preserve">unsold </w:t>
            </w:r>
            <w:r w:rsidR="00B17C09">
              <w:rPr>
                <w:rFonts w:cs="Arial"/>
                <w:szCs w:val="20"/>
              </w:rPr>
              <w:t>700</w:t>
            </w:r>
            <w:r w:rsidR="005356C6">
              <w:rPr>
                <w:rFonts w:cs="Arial"/>
                <w:szCs w:val="20"/>
              </w:rPr>
              <w:t> </w:t>
            </w:r>
            <w:r w:rsidR="00B17C09">
              <w:rPr>
                <w:rFonts w:cs="Arial"/>
                <w:szCs w:val="20"/>
              </w:rPr>
              <w:t>MHz</w:t>
            </w:r>
            <w:r w:rsidR="00283A20">
              <w:rPr>
                <w:rFonts w:cs="Arial"/>
                <w:szCs w:val="20"/>
              </w:rPr>
              <w:t xml:space="preserve"> lots are clear.</w:t>
            </w:r>
          </w:p>
        </w:tc>
      </w:tr>
      <w:tr w:rsidR="004D0DEA" w:rsidRPr="0041654D" w14:paraId="45EE1027" w14:textId="77777777" w:rsidTr="000D4DB5">
        <w:tc>
          <w:tcPr>
            <w:tcW w:w="2304" w:type="dxa"/>
            <w:shd w:val="clear" w:color="auto" w:fill="F2F2F2" w:themeFill="background1" w:themeFillShade="F2"/>
          </w:tcPr>
          <w:p w14:paraId="2E97EB22" w14:textId="77777777" w:rsidR="004D0DEA" w:rsidRPr="0041654D" w:rsidRDefault="004D0DEA" w:rsidP="0039046B">
            <w:pPr>
              <w:spacing w:after="120"/>
              <w:rPr>
                <w:rFonts w:cs="Arial"/>
                <w:szCs w:val="20"/>
              </w:rPr>
            </w:pPr>
            <w:r w:rsidRPr="0041654D">
              <w:rPr>
                <w:rFonts w:cs="Arial"/>
                <w:szCs w:val="20"/>
              </w:rPr>
              <w:t>Allocation of spectrum in 850</w:t>
            </w:r>
            <w:r>
              <w:rPr>
                <w:rFonts w:cs="Arial"/>
                <w:szCs w:val="20"/>
              </w:rPr>
              <w:t> </w:t>
            </w:r>
            <w:r w:rsidRPr="0041654D">
              <w:rPr>
                <w:rFonts w:cs="Arial"/>
                <w:szCs w:val="20"/>
              </w:rPr>
              <w:t>MHz, 1.5</w:t>
            </w:r>
            <w:r>
              <w:rPr>
                <w:rFonts w:cs="Arial"/>
                <w:szCs w:val="20"/>
              </w:rPr>
              <w:t> </w:t>
            </w:r>
            <w:r w:rsidRPr="0041654D">
              <w:rPr>
                <w:rFonts w:cs="Arial"/>
                <w:szCs w:val="20"/>
              </w:rPr>
              <w:t>GHz and 3.6</w:t>
            </w:r>
            <w:r>
              <w:rPr>
                <w:rFonts w:cs="Arial"/>
                <w:szCs w:val="20"/>
              </w:rPr>
              <w:t> </w:t>
            </w:r>
            <w:r w:rsidRPr="0041654D">
              <w:rPr>
                <w:rFonts w:cs="Arial"/>
                <w:szCs w:val="20"/>
              </w:rPr>
              <w:t>GHz bands</w:t>
            </w:r>
          </w:p>
        </w:tc>
        <w:tc>
          <w:tcPr>
            <w:tcW w:w="1418" w:type="dxa"/>
            <w:shd w:val="clear" w:color="auto" w:fill="F2F2F2" w:themeFill="background1" w:themeFillShade="F2"/>
          </w:tcPr>
          <w:p w14:paraId="1524329F" w14:textId="77777777" w:rsidR="004D0DEA" w:rsidRPr="0041654D" w:rsidRDefault="004D0DEA" w:rsidP="0039046B">
            <w:pPr>
              <w:spacing w:after="120"/>
              <w:rPr>
                <w:rFonts w:cs="Arial"/>
                <w:szCs w:val="20"/>
              </w:rPr>
            </w:pPr>
            <w:r w:rsidRPr="0041654D">
              <w:rPr>
                <w:rFonts w:cs="Arial"/>
                <w:szCs w:val="20"/>
              </w:rPr>
              <w:t>Scoping</w:t>
            </w:r>
          </w:p>
        </w:tc>
        <w:tc>
          <w:tcPr>
            <w:tcW w:w="1559" w:type="dxa"/>
            <w:shd w:val="clear" w:color="auto" w:fill="F2F2F2" w:themeFill="background1" w:themeFillShade="F2"/>
          </w:tcPr>
          <w:p w14:paraId="28B6CB3D" w14:textId="24E8B46D" w:rsidR="004D0DEA" w:rsidRPr="0041654D" w:rsidRDefault="00B17C09" w:rsidP="00B17C09">
            <w:pPr>
              <w:spacing w:after="120"/>
              <w:rPr>
                <w:rFonts w:cs="Arial"/>
                <w:szCs w:val="20"/>
              </w:rPr>
            </w:pPr>
            <w:r>
              <w:rPr>
                <w:rFonts w:cs="Arial"/>
                <w:szCs w:val="20"/>
              </w:rPr>
              <w:t>Possible a</w:t>
            </w:r>
            <w:r w:rsidR="004D0DEA" w:rsidRPr="0041654D">
              <w:rPr>
                <w:rFonts w:cs="Arial"/>
                <w:szCs w:val="20"/>
              </w:rPr>
              <w:t>llocation</w:t>
            </w:r>
          </w:p>
        </w:tc>
        <w:tc>
          <w:tcPr>
            <w:tcW w:w="3969" w:type="dxa"/>
            <w:shd w:val="clear" w:color="auto" w:fill="F2F2F2" w:themeFill="background1" w:themeFillShade="F2"/>
          </w:tcPr>
          <w:p w14:paraId="079FB5F6" w14:textId="77777777" w:rsidR="004D0DEA" w:rsidRDefault="004D0DEA" w:rsidP="0039046B">
            <w:pPr>
              <w:spacing w:after="120"/>
              <w:rPr>
                <w:rFonts w:cs="Arial"/>
                <w:szCs w:val="20"/>
              </w:rPr>
            </w:pPr>
            <w:r w:rsidRPr="0041654D">
              <w:rPr>
                <w:rFonts w:cs="Arial"/>
                <w:szCs w:val="20"/>
              </w:rPr>
              <w:t>To be provided</w:t>
            </w:r>
            <w:r w:rsidR="00B17C09">
              <w:rPr>
                <w:rFonts w:cs="Arial"/>
                <w:szCs w:val="20"/>
              </w:rPr>
              <w:t>.</w:t>
            </w:r>
          </w:p>
          <w:p w14:paraId="151446D5" w14:textId="77777777" w:rsidR="00B17C09" w:rsidRPr="0041654D" w:rsidRDefault="00B17C09" w:rsidP="0039046B">
            <w:pPr>
              <w:spacing w:after="120"/>
              <w:rPr>
                <w:rFonts w:cs="Arial"/>
                <w:szCs w:val="20"/>
              </w:rPr>
            </w:pPr>
            <w:r>
              <w:rPr>
                <w:rFonts w:cs="Arial"/>
                <w:szCs w:val="20"/>
              </w:rPr>
              <w:t>The availability of spectrum allocation is still subject to future planning decisions.</w:t>
            </w:r>
          </w:p>
        </w:tc>
      </w:tr>
    </w:tbl>
    <w:p w14:paraId="58EE798A" w14:textId="77777777" w:rsidR="004D0DEA" w:rsidRDefault="004D0DEA" w:rsidP="004D0DEA">
      <w:pPr>
        <w:pStyle w:val="ACMASpaceaftertable"/>
      </w:pPr>
    </w:p>
    <w:p w14:paraId="4FB98703" w14:textId="77777777" w:rsidR="004D0DEA" w:rsidRDefault="004D0DEA" w:rsidP="00A839AF">
      <w:pPr>
        <w:pStyle w:val="Heading3"/>
        <w:pageBreakBefore/>
        <w:ind w:left="-142" w:firstLine="142"/>
        <w:rPr>
          <w:lang w:val="en-US"/>
        </w:rPr>
      </w:pPr>
      <w:bookmarkStart w:id="276" w:name="_Toc461108006"/>
      <w:bookmarkStart w:id="277" w:name="_Toc461194833"/>
      <w:bookmarkStart w:id="278" w:name="_Toc461445484"/>
      <w:bookmarkStart w:id="279" w:name="_Toc463351321"/>
      <w:r>
        <w:rPr>
          <w:lang w:val="en-US"/>
        </w:rPr>
        <w:t>Regional digital radio rollout</w:t>
      </w:r>
      <w:bookmarkEnd w:id="276"/>
      <w:bookmarkEnd w:id="277"/>
      <w:bookmarkEnd w:id="278"/>
      <w:bookmarkEnd w:id="279"/>
    </w:p>
    <w:p w14:paraId="1B7D5CCD" w14:textId="77777777" w:rsidR="004D0DEA" w:rsidRPr="00C95707" w:rsidRDefault="004D0DEA" w:rsidP="004D0DEA">
      <w:pPr>
        <w:pStyle w:val="BodySubHeader"/>
      </w:pPr>
      <w:r w:rsidRPr="00C94EA4">
        <w:t>Background</w:t>
      </w:r>
    </w:p>
    <w:p w14:paraId="335DEEBA" w14:textId="77777777" w:rsidR="004D0DEA" w:rsidRDefault="004D0DEA" w:rsidP="004D0DEA">
      <w:r>
        <w:t>The ACMA has been asked by the minister to facilitate the rollout of digital radio in regional Australia, starting with the permanent licensing of the Canberra and Darwin trial services.</w:t>
      </w:r>
      <w:r w:rsidR="00D07910">
        <w:t xml:space="preserve"> Please refer to</w:t>
      </w:r>
      <w:r w:rsidR="001A16D0">
        <w:t xml:space="preserve"> </w:t>
      </w:r>
      <w:hyperlink w:anchor="AM" w:history="1">
        <w:r w:rsidR="001A16D0" w:rsidRPr="00184327">
          <w:rPr>
            <w:rStyle w:val="Hyperlink"/>
            <w:i/>
          </w:rPr>
          <w:t>AM radio in regional Australia</w:t>
        </w:r>
      </w:hyperlink>
      <w:r w:rsidR="001A16D0">
        <w:t>.</w:t>
      </w:r>
    </w:p>
    <w:p w14:paraId="359C2FA3" w14:textId="77777777" w:rsidR="004D0DEA" w:rsidRPr="004D0DEA" w:rsidRDefault="004D0DEA" w:rsidP="0039046B">
      <w:pPr>
        <w:keepNext/>
        <w:numPr>
          <w:ilvl w:val="0"/>
          <w:numId w:val="27"/>
        </w:numPr>
        <w:spacing w:after="160" w:line="240" w:lineRule="auto"/>
        <w:rPr>
          <w:b/>
        </w:rPr>
      </w:pPr>
      <w:r w:rsidRPr="004D0DEA">
        <w:rPr>
          <w:b/>
        </w:rPr>
        <w:t>Next steps—regional digital radio rollout</w:t>
      </w:r>
    </w:p>
    <w:tbl>
      <w:tblPr>
        <w:tblStyle w:val="TableGrid"/>
        <w:tblW w:w="9209" w:type="dxa"/>
        <w:tblCellMar>
          <w:top w:w="57" w:type="dxa"/>
          <w:left w:w="57" w:type="dxa"/>
          <w:bottom w:w="57" w:type="dxa"/>
          <w:right w:w="57" w:type="dxa"/>
        </w:tblCellMar>
        <w:tblLook w:val="04A0" w:firstRow="1" w:lastRow="0" w:firstColumn="1" w:lastColumn="0" w:noHBand="0" w:noVBand="1"/>
        <w:tblCaption w:val="Next steps—regional digital radio rollout"/>
        <w:tblDescription w:val="Includes work task/activity, the stage/phase, project details and the indicative timing."/>
      </w:tblPr>
      <w:tblGrid>
        <w:gridCol w:w="2972"/>
        <w:gridCol w:w="2126"/>
        <w:gridCol w:w="2127"/>
        <w:gridCol w:w="1984"/>
      </w:tblGrid>
      <w:tr w:rsidR="004D0DEA" w:rsidRPr="00466CA1" w14:paraId="6D589DE0" w14:textId="77777777" w:rsidTr="00184327">
        <w:trPr>
          <w:cantSplit/>
          <w:tblHeader/>
        </w:trPr>
        <w:tc>
          <w:tcPr>
            <w:tcW w:w="2972" w:type="dxa"/>
            <w:shd w:val="clear" w:color="auto" w:fill="404040" w:themeFill="text1" w:themeFillTint="BF"/>
          </w:tcPr>
          <w:p w14:paraId="43DC406E"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126" w:type="dxa"/>
            <w:shd w:val="clear" w:color="auto" w:fill="404040" w:themeFill="text1" w:themeFillTint="BF"/>
          </w:tcPr>
          <w:p w14:paraId="73A088FC"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2127" w:type="dxa"/>
            <w:shd w:val="clear" w:color="auto" w:fill="404040" w:themeFill="text1" w:themeFillTint="BF"/>
          </w:tcPr>
          <w:p w14:paraId="70B42142"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984" w:type="dxa"/>
            <w:shd w:val="clear" w:color="auto" w:fill="404040" w:themeFill="text1" w:themeFillTint="BF"/>
          </w:tcPr>
          <w:p w14:paraId="496CC89A"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466CA1" w14:paraId="7DFF806D" w14:textId="77777777" w:rsidTr="00184327">
        <w:trPr>
          <w:cantSplit/>
        </w:trPr>
        <w:tc>
          <w:tcPr>
            <w:tcW w:w="2972" w:type="dxa"/>
          </w:tcPr>
          <w:p w14:paraId="7BAD83B9" w14:textId="77777777" w:rsidR="004D0DEA" w:rsidRDefault="004D0DEA" w:rsidP="0039046B">
            <w:pPr>
              <w:spacing w:after="120"/>
            </w:pPr>
            <w:r>
              <w:t>Planning committee to confirm markets for roll out in next five years</w:t>
            </w:r>
          </w:p>
        </w:tc>
        <w:tc>
          <w:tcPr>
            <w:tcW w:w="2126" w:type="dxa"/>
          </w:tcPr>
          <w:p w14:paraId="4AA33908" w14:textId="77777777" w:rsidR="004D0DEA" w:rsidRDefault="004D0DEA" w:rsidP="00375F63">
            <w:pPr>
              <w:rPr>
                <w:rFonts w:cs="Arial"/>
                <w:szCs w:val="20"/>
              </w:rPr>
            </w:pPr>
            <w:r>
              <w:rPr>
                <w:rFonts w:cs="Arial"/>
                <w:szCs w:val="20"/>
              </w:rPr>
              <w:t>Scoping</w:t>
            </w:r>
          </w:p>
        </w:tc>
        <w:tc>
          <w:tcPr>
            <w:tcW w:w="2127" w:type="dxa"/>
          </w:tcPr>
          <w:p w14:paraId="72CFC63D" w14:textId="77777777" w:rsidR="004D0DEA" w:rsidRDefault="004D0DEA" w:rsidP="00375F63">
            <w:pPr>
              <w:rPr>
                <w:rFonts w:cs="Arial"/>
                <w:szCs w:val="20"/>
              </w:rPr>
            </w:pPr>
            <w:r>
              <w:rPr>
                <w:rFonts w:cs="Arial"/>
                <w:szCs w:val="20"/>
              </w:rPr>
              <w:t>Regional digital radio rollout</w:t>
            </w:r>
          </w:p>
        </w:tc>
        <w:tc>
          <w:tcPr>
            <w:tcW w:w="1984" w:type="dxa"/>
          </w:tcPr>
          <w:p w14:paraId="27F5064D" w14:textId="77777777" w:rsidR="004D0DEA" w:rsidRDefault="004D0DEA" w:rsidP="00375F63">
            <w:pPr>
              <w:rPr>
                <w:rFonts w:cs="Arial"/>
                <w:szCs w:val="20"/>
              </w:rPr>
            </w:pPr>
            <w:r>
              <w:rPr>
                <w:rFonts w:cs="Arial"/>
                <w:szCs w:val="20"/>
              </w:rPr>
              <w:t>Ongoing</w:t>
            </w:r>
          </w:p>
        </w:tc>
      </w:tr>
      <w:tr w:rsidR="004D0DEA" w:rsidRPr="00466CA1" w14:paraId="0756B0AF" w14:textId="77777777" w:rsidTr="00184327">
        <w:trPr>
          <w:cantSplit/>
        </w:trPr>
        <w:tc>
          <w:tcPr>
            <w:tcW w:w="2972" w:type="dxa"/>
            <w:shd w:val="clear" w:color="auto" w:fill="F2F2F2" w:themeFill="background1" w:themeFillShade="F2"/>
          </w:tcPr>
          <w:p w14:paraId="4DEEC83D" w14:textId="77777777" w:rsidR="004D0DEA" w:rsidRPr="00466CA1" w:rsidRDefault="004D0DEA" w:rsidP="0039046B">
            <w:pPr>
              <w:spacing w:after="120"/>
              <w:rPr>
                <w:rFonts w:cs="Arial"/>
                <w:szCs w:val="20"/>
              </w:rPr>
            </w:pPr>
            <w:r>
              <w:rPr>
                <w:rFonts w:cs="Arial"/>
                <w:szCs w:val="20"/>
              </w:rPr>
              <w:t>Planning committee to consider options developed by technical sub-committee and determine an overall planning approach for regional digital radio rollout, including the prioritisation of markets and the technical compromises that are required to ensure every market can be served</w:t>
            </w:r>
          </w:p>
        </w:tc>
        <w:tc>
          <w:tcPr>
            <w:tcW w:w="2126" w:type="dxa"/>
            <w:shd w:val="clear" w:color="auto" w:fill="F2F2F2" w:themeFill="background1" w:themeFillShade="F2"/>
          </w:tcPr>
          <w:p w14:paraId="5C84A2B3" w14:textId="77777777" w:rsidR="004D0DEA" w:rsidRPr="00466CA1" w:rsidRDefault="004D0DEA" w:rsidP="00375F63">
            <w:pPr>
              <w:rPr>
                <w:rFonts w:cs="Arial"/>
                <w:szCs w:val="20"/>
              </w:rPr>
            </w:pPr>
            <w:r>
              <w:rPr>
                <w:rFonts w:cs="Arial"/>
                <w:szCs w:val="20"/>
              </w:rPr>
              <w:t>Scoping</w:t>
            </w:r>
          </w:p>
        </w:tc>
        <w:tc>
          <w:tcPr>
            <w:tcW w:w="2127" w:type="dxa"/>
            <w:shd w:val="clear" w:color="auto" w:fill="F2F2F2" w:themeFill="background1" w:themeFillShade="F2"/>
          </w:tcPr>
          <w:p w14:paraId="6762A55C" w14:textId="77777777" w:rsidR="004D0DEA" w:rsidRPr="00466CA1" w:rsidRDefault="004D0DEA" w:rsidP="00375F63">
            <w:pPr>
              <w:rPr>
                <w:rFonts w:cs="Arial"/>
                <w:szCs w:val="20"/>
              </w:rPr>
            </w:pPr>
            <w:r>
              <w:rPr>
                <w:rFonts w:cs="Arial"/>
                <w:szCs w:val="20"/>
              </w:rPr>
              <w:t>Regional digital radio rollout</w:t>
            </w:r>
          </w:p>
        </w:tc>
        <w:tc>
          <w:tcPr>
            <w:tcW w:w="1984" w:type="dxa"/>
            <w:shd w:val="clear" w:color="auto" w:fill="F2F2F2" w:themeFill="background1" w:themeFillShade="F2"/>
          </w:tcPr>
          <w:p w14:paraId="4E6EAFAF" w14:textId="77777777" w:rsidR="004D0DEA" w:rsidRPr="00466CA1" w:rsidRDefault="004D0DEA" w:rsidP="00375F63">
            <w:pPr>
              <w:rPr>
                <w:rFonts w:cs="Arial"/>
                <w:szCs w:val="20"/>
              </w:rPr>
            </w:pPr>
            <w:r>
              <w:rPr>
                <w:rFonts w:cs="Arial"/>
                <w:szCs w:val="20"/>
              </w:rPr>
              <w:t>To be completed by end Q4, 2016</w:t>
            </w:r>
          </w:p>
        </w:tc>
      </w:tr>
      <w:tr w:rsidR="004D0DEA" w:rsidRPr="00466CA1" w14:paraId="0F8FAB53" w14:textId="77777777" w:rsidTr="00184327">
        <w:trPr>
          <w:cantSplit/>
        </w:trPr>
        <w:tc>
          <w:tcPr>
            <w:tcW w:w="2972" w:type="dxa"/>
          </w:tcPr>
          <w:p w14:paraId="23C4D077" w14:textId="77777777" w:rsidR="004D0DEA" w:rsidRDefault="004D0DEA" w:rsidP="0039046B">
            <w:pPr>
              <w:spacing w:after="120"/>
              <w:rPr>
                <w:rFonts w:cs="Arial"/>
                <w:szCs w:val="20"/>
              </w:rPr>
            </w:pPr>
            <w:r>
              <w:t>Consultation on draft allotment plans/digital radio channel plans for Canberra and Darwin to allow for permanent licensing</w:t>
            </w:r>
          </w:p>
        </w:tc>
        <w:tc>
          <w:tcPr>
            <w:tcW w:w="2126" w:type="dxa"/>
          </w:tcPr>
          <w:p w14:paraId="507E231F" w14:textId="77777777" w:rsidR="004D0DEA" w:rsidRDefault="004D0DEA" w:rsidP="00375F63">
            <w:pPr>
              <w:rPr>
                <w:rFonts w:cs="Arial"/>
                <w:szCs w:val="20"/>
              </w:rPr>
            </w:pPr>
            <w:r>
              <w:rPr>
                <w:rFonts w:cs="Arial"/>
                <w:szCs w:val="20"/>
              </w:rPr>
              <w:t>Initial implementation</w:t>
            </w:r>
          </w:p>
        </w:tc>
        <w:tc>
          <w:tcPr>
            <w:tcW w:w="2127" w:type="dxa"/>
          </w:tcPr>
          <w:p w14:paraId="12163774" w14:textId="77777777" w:rsidR="004D0DEA" w:rsidRPr="00466CA1" w:rsidRDefault="004D0DEA" w:rsidP="00375F63">
            <w:pPr>
              <w:rPr>
                <w:rFonts w:cs="Arial"/>
                <w:szCs w:val="20"/>
              </w:rPr>
            </w:pPr>
            <w:r>
              <w:rPr>
                <w:rFonts w:cs="Arial"/>
                <w:szCs w:val="20"/>
              </w:rPr>
              <w:t>Regional digital radio rollout</w:t>
            </w:r>
          </w:p>
        </w:tc>
        <w:tc>
          <w:tcPr>
            <w:tcW w:w="1984" w:type="dxa"/>
          </w:tcPr>
          <w:p w14:paraId="795A12C9" w14:textId="77777777" w:rsidR="004D0DEA" w:rsidRDefault="004D0DEA" w:rsidP="00375F63">
            <w:pPr>
              <w:rPr>
                <w:rFonts w:cs="Arial"/>
                <w:szCs w:val="20"/>
              </w:rPr>
            </w:pPr>
            <w:r w:rsidRPr="00466CA1">
              <w:rPr>
                <w:rFonts w:cs="Arial"/>
                <w:szCs w:val="20"/>
              </w:rPr>
              <w:t>Q4</w:t>
            </w:r>
            <w:r>
              <w:rPr>
                <w:rFonts w:cs="Arial"/>
                <w:szCs w:val="20"/>
              </w:rPr>
              <w:t>,</w:t>
            </w:r>
            <w:r w:rsidRPr="00466CA1">
              <w:rPr>
                <w:rFonts w:cs="Arial"/>
                <w:szCs w:val="20"/>
              </w:rPr>
              <w:t xml:space="preserve"> 2016</w:t>
            </w:r>
          </w:p>
        </w:tc>
      </w:tr>
      <w:tr w:rsidR="004D0DEA" w:rsidRPr="00466CA1" w14:paraId="352FA386" w14:textId="77777777" w:rsidTr="00184327">
        <w:trPr>
          <w:cantSplit/>
        </w:trPr>
        <w:tc>
          <w:tcPr>
            <w:tcW w:w="2972" w:type="dxa"/>
            <w:shd w:val="clear" w:color="auto" w:fill="F2F2F2" w:themeFill="background1" w:themeFillShade="F2"/>
          </w:tcPr>
          <w:p w14:paraId="15AC3DD6" w14:textId="77777777" w:rsidR="004D0DEA" w:rsidRDefault="004D0DEA" w:rsidP="0039046B">
            <w:pPr>
              <w:spacing w:after="120"/>
            </w:pPr>
            <w:r>
              <w:t xml:space="preserve">Develop a series of indicative allotment plans that will form the basis on which each </w:t>
            </w:r>
            <w:r w:rsidR="009F4621" w:rsidRPr="00552992">
              <w:t>Digital Radio Channel Plans (DRCPs)</w:t>
            </w:r>
            <w:r w:rsidR="009F4621">
              <w:t xml:space="preserve"> </w:t>
            </w:r>
            <w:r>
              <w:t>will be based</w:t>
            </w:r>
          </w:p>
        </w:tc>
        <w:tc>
          <w:tcPr>
            <w:tcW w:w="2126" w:type="dxa"/>
            <w:shd w:val="clear" w:color="auto" w:fill="F2F2F2" w:themeFill="background1" w:themeFillShade="F2"/>
          </w:tcPr>
          <w:p w14:paraId="0BCCF471" w14:textId="77777777" w:rsidR="004D0DEA" w:rsidRDefault="004D0DEA" w:rsidP="00375F63">
            <w:pPr>
              <w:rPr>
                <w:rFonts w:cs="Arial"/>
                <w:szCs w:val="20"/>
              </w:rPr>
            </w:pPr>
            <w:r>
              <w:rPr>
                <w:rFonts w:cs="Arial"/>
                <w:szCs w:val="20"/>
              </w:rPr>
              <w:t>Implementation</w:t>
            </w:r>
          </w:p>
        </w:tc>
        <w:tc>
          <w:tcPr>
            <w:tcW w:w="2127" w:type="dxa"/>
            <w:shd w:val="clear" w:color="auto" w:fill="F2F2F2" w:themeFill="background1" w:themeFillShade="F2"/>
          </w:tcPr>
          <w:p w14:paraId="50CA4148" w14:textId="77777777" w:rsidR="004D0DEA" w:rsidRPr="005F7C37" w:rsidRDefault="004D0DEA" w:rsidP="00375F63">
            <w:pPr>
              <w:rPr>
                <w:rFonts w:cs="Arial"/>
                <w:szCs w:val="20"/>
              </w:rPr>
            </w:pPr>
            <w:r>
              <w:rPr>
                <w:rFonts w:cs="Arial"/>
                <w:szCs w:val="20"/>
              </w:rPr>
              <w:t>Regional digital radio rollout</w:t>
            </w:r>
          </w:p>
        </w:tc>
        <w:tc>
          <w:tcPr>
            <w:tcW w:w="1984" w:type="dxa"/>
            <w:shd w:val="clear" w:color="auto" w:fill="F2F2F2" w:themeFill="background1" w:themeFillShade="F2"/>
          </w:tcPr>
          <w:p w14:paraId="7A3743C4" w14:textId="77777777" w:rsidR="004D0DEA" w:rsidRPr="00466CA1" w:rsidRDefault="004D0DEA" w:rsidP="00375F63">
            <w:pPr>
              <w:rPr>
                <w:rFonts w:cs="Arial"/>
                <w:szCs w:val="20"/>
              </w:rPr>
            </w:pPr>
            <w:r>
              <w:rPr>
                <w:rFonts w:cs="Arial"/>
                <w:szCs w:val="20"/>
              </w:rPr>
              <w:t>Ongoing from Q1, 2017</w:t>
            </w:r>
          </w:p>
        </w:tc>
      </w:tr>
      <w:tr w:rsidR="004D0DEA" w:rsidRPr="00466CA1" w14:paraId="25B00204" w14:textId="77777777" w:rsidTr="00184327">
        <w:trPr>
          <w:cantSplit/>
        </w:trPr>
        <w:tc>
          <w:tcPr>
            <w:tcW w:w="2972" w:type="dxa"/>
          </w:tcPr>
          <w:p w14:paraId="7FA1261D" w14:textId="77777777" w:rsidR="004D0DEA" w:rsidRDefault="004D0DEA" w:rsidP="0039046B">
            <w:pPr>
              <w:spacing w:after="120"/>
              <w:rPr>
                <w:rFonts w:cs="Arial"/>
                <w:szCs w:val="20"/>
              </w:rPr>
            </w:pPr>
            <w:r>
              <w:rPr>
                <w:rFonts w:cs="Arial"/>
                <w:szCs w:val="20"/>
              </w:rPr>
              <w:t>Consultation on DRCPs to facilitate the regional rollout of digital radio</w:t>
            </w:r>
          </w:p>
        </w:tc>
        <w:tc>
          <w:tcPr>
            <w:tcW w:w="2126" w:type="dxa"/>
          </w:tcPr>
          <w:p w14:paraId="64402FF4" w14:textId="77777777" w:rsidR="004D0DEA" w:rsidRPr="00466CA1" w:rsidRDefault="004D0DEA" w:rsidP="00375F63">
            <w:pPr>
              <w:rPr>
                <w:rFonts w:cs="Arial"/>
                <w:szCs w:val="20"/>
              </w:rPr>
            </w:pPr>
            <w:r>
              <w:rPr>
                <w:rFonts w:cs="Arial"/>
                <w:szCs w:val="20"/>
              </w:rPr>
              <w:t>Implementation</w:t>
            </w:r>
          </w:p>
        </w:tc>
        <w:tc>
          <w:tcPr>
            <w:tcW w:w="2127" w:type="dxa"/>
          </w:tcPr>
          <w:p w14:paraId="0D7C8294" w14:textId="77777777" w:rsidR="004D0DEA" w:rsidRPr="00466CA1" w:rsidRDefault="004D0DEA" w:rsidP="00375F63">
            <w:pPr>
              <w:rPr>
                <w:rFonts w:cs="Arial"/>
                <w:szCs w:val="20"/>
              </w:rPr>
            </w:pPr>
            <w:r>
              <w:rPr>
                <w:rFonts w:cs="Arial"/>
                <w:szCs w:val="20"/>
              </w:rPr>
              <w:t>Regional digital radio rollout</w:t>
            </w:r>
          </w:p>
        </w:tc>
        <w:tc>
          <w:tcPr>
            <w:tcW w:w="1984" w:type="dxa"/>
          </w:tcPr>
          <w:p w14:paraId="7CAA208F" w14:textId="77777777" w:rsidR="004D0DEA" w:rsidRPr="00466CA1" w:rsidRDefault="004D0DEA" w:rsidP="00375F63">
            <w:pPr>
              <w:rPr>
                <w:rFonts w:cs="Arial"/>
                <w:szCs w:val="20"/>
              </w:rPr>
            </w:pPr>
            <w:r>
              <w:rPr>
                <w:rFonts w:cs="Arial"/>
                <w:szCs w:val="20"/>
              </w:rPr>
              <w:t xml:space="preserve">Ongoing from Q2, 2017 </w:t>
            </w:r>
          </w:p>
        </w:tc>
      </w:tr>
    </w:tbl>
    <w:p w14:paraId="6C4A14DD" w14:textId="77777777" w:rsidR="004D0DEA" w:rsidRDefault="004D0DEA" w:rsidP="004D0DEA">
      <w:pPr>
        <w:pStyle w:val="ACMASpaceaftertable"/>
      </w:pPr>
    </w:p>
    <w:p w14:paraId="710F5213" w14:textId="77777777" w:rsidR="004D0DEA" w:rsidRDefault="004D0DEA" w:rsidP="001A16D0">
      <w:pPr>
        <w:pStyle w:val="Heading3"/>
        <w:rPr>
          <w:lang w:val="en-US"/>
        </w:rPr>
      </w:pPr>
      <w:bookmarkStart w:id="280" w:name="_Toc461194834"/>
      <w:bookmarkStart w:id="281" w:name="_Toc461445485"/>
      <w:bookmarkStart w:id="282" w:name="_Toc463351322"/>
      <w:bookmarkStart w:id="283" w:name="_Toc461108007"/>
      <w:r>
        <w:rPr>
          <w:lang w:val="en-US"/>
        </w:rPr>
        <w:t>AM to FM conversions of commercial radio broadcasting services in selected regional licence areas</w:t>
      </w:r>
      <w:bookmarkEnd w:id="280"/>
      <w:bookmarkEnd w:id="281"/>
      <w:bookmarkEnd w:id="282"/>
      <w:r>
        <w:rPr>
          <w:lang w:val="en-US"/>
        </w:rPr>
        <w:t xml:space="preserve"> </w:t>
      </w:r>
      <w:bookmarkEnd w:id="283"/>
    </w:p>
    <w:p w14:paraId="73CCA367" w14:textId="77777777" w:rsidR="004D0DEA" w:rsidRPr="00696E82" w:rsidRDefault="004D0DEA" w:rsidP="004D0DEA">
      <w:pPr>
        <w:pStyle w:val="BodySubHeader"/>
      </w:pPr>
      <w:r w:rsidRPr="00696E82">
        <w:t>Background</w:t>
      </w:r>
    </w:p>
    <w:p w14:paraId="0CA5940B" w14:textId="77777777" w:rsidR="004D0DEA" w:rsidRDefault="004D0DEA" w:rsidP="004D0DEA">
      <w:pPr>
        <w:rPr>
          <w:rFonts w:cs="Arial"/>
          <w:szCs w:val="20"/>
        </w:rPr>
      </w:pPr>
      <w:r w:rsidRPr="007B0249">
        <w:rPr>
          <w:rFonts w:cs="Arial"/>
          <w:szCs w:val="20"/>
        </w:rPr>
        <w:t xml:space="preserve">The ACMA will release a discussion paper for consultation about </w:t>
      </w:r>
      <w:r>
        <w:rPr>
          <w:rFonts w:cs="Arial"/>
          <w:szCs w:val="20"/>
        </w:rPr>
        <w:t xml:space="preserve">its </w:t>
      </w:r>
      <w:r w:rsidRPr="007B0249">
        <w:rPr>
          <w:rFonts w:cs="Arial"/>
          <w:szCs w:val="20"/>
        </w:rPr>
        <w:t xml:space="preserve">draft approach to AM to FM conversions. </w:t>
      </w:r>
      <w:r>
        <w:t>With almost no exceptions, the ACMA has historically refused to countenance AM to FM conversion of existing AM commercial radio services. At issue is whether this policy should be relaxed to allow considering of the conversion option in some smaller regional markets, where there is no independently-controlled FM competitor</w:t>
      </w:r>
      <w:r w:rsidR="00895A9F">
        <w:t xml:space="preserve"> </w:t>
      </w:r>
      <w:r w:rsidR="000D3EE9">
        <w:t>that</w:t>
      </w:r>
      <w:r w:rsidR="00895A9F">
        <w:t xml:space="preserve"> bought FM band spectrum at auction </w:t>
      </w:r>
      <w:r>
        <w:t xml:space="preserve">that would be unfairly disadvantaged by conversion to the clearer-sounding FM medium. </w:t>
      </w:r>
      <w:r>
        <w:rPr>
          <w:rFonts w:cs="Arial"/>
          <w:szCs w:val="20"/>
        </w:rPr>
        <w:t xml:space="preserve">Once the approach is finalised, the ACMA will </w:t>
      </w:r>
      <w:r w:rsidRPr="007B0249">
        <w:rPr>
          <w:rFonts w:cs="Arial"/>
          <w:szCs w:val="20"/>
        </w:rPr>
        <w:t>consider requests for AM to FM conversion in selected regional areas</w:t>
      </w:r>
      <w:r>
        <w:rPr>
          <w:rFonts w:cs="Arial"/>
          <w:szCs w:val="20"/>
        </w:rPr>
        <w:t>.</w:t>
      </w:r>
    </w:p>
    <w:p w14:paraId="472D1395" w14:textId="77777777" w:rsidR="004D0DEA" w:rsidRDefault="004D0DEA" w:rsidP="004D0DEA">
      <w:r w:rsidRPr="00221ED5">
        <w:t>In January 2015</w:t>
      </w:r>
      <w:r>
        <w:t>,</w:t>
      </w:r>
      <w:r w:rsidRPr="00221ED5">
        <w:t xml:space="preserve"> </w:t>
      </w:r>
      <w:r w:rsidRPr="007B0249">
        <w:t xml:space="preserve">Commercial Radio Australia </w:t>
      </w:r>
      <w:r>
        <w:t>(</w:t>
      </w:r>
      <w:r w:rsidRPr="00221ED5">
        <w:t>CRA</w:t>
      </w:r>
      <w:r>
        <w:t>)</w:t>
      </w:r>
      <w:r w:rsidRPr="00221ED5">
        <w:t xml:space="preserve"> proposed to the </w:t>
      </w:r>
      <w:r>
        <w:t>m</w:t>
      </w:r>
      <w:r w:rsidRPr="00221ED5">
        <w:t xml:space="preserve">inister that </w:t>
      </w:r>
      <w:r>
        <w:t xml:space="preserve">regional </w:t>
      </w:r>
      <w:r w:rsidRPr="00221ED5">
        <w:t>commercial radio broadcasting licensees should be able to convert from AM to FM radio service</w:t>
      </w:r>
      <w:r>
        <w:t>s</w:t>
      </w:r>
      <w:r w:rsidRPr="00221ED5">
        <w:t>. CRA proposed that the conversions should only be available to commercial radio licensees in solus regional licence areas. In these markets</w:t>
      </w:r>
      <w:r>
        <w:t>,</w:t>
      </w:r>
      <w:r w:rsidRPr="00221ED5">
        <w:t xml:space="preserve"> there is only one incumbent commercial license</w:t>
      </w:r>
      <w:r>
        <w:t>e holding both the AM and the FM commercial radio broadcasting licences</w:t>
      </w:r>
      <w:r w:rsidRPr="00221ED5">
        <w:t>.</w:t>
      </w:r>
    </w:p>
    <w:p w14:paraId="27550DB4" w14:textId="77777777" w:rsidR="004D0DEA" w:rsidRPr="00C95707" w:rsidRDefault="004D0DEA" w:rsidP="004D0DEA">
      <w:pPr>
        <w:rPr>
          <w:rFonts w:eastAsia="Calibri"/>
        </w:rPr>
      </w:pPr>
      <w:r w:rsidRPr="007B0249">
        <w:t xml:space="preserve">In consultation with CRA, the ACMA has grouped the 33 licence areas into broad geographic areas </w:t>
      </w:r>
      <w:r>
        <w:t xml:space="preserve">according to </w:t>
      </w:r>
      <w:r w:rsidRPr="007B0249">
        <w:t>CRA</w:t>
      </w:r>
      <w:r>
        <w:t>’s preferred priority order</w:t>
      </w:r>
      <w:r w:rsidRPr="007B0249">
        <w:t>.</w:t>
      </w:r>
      <w:r w:rsidRPr="007B0249">
        <w:rPr>
          <w:rFonts w:eastAsia="Calibri"/>
        </w:rPr>
        <w:t xml:space="preserve"> An industry consultant </w:t>
      </w:r>
      <w:r>
        <w:rPr>
          <w:rFonts w:eastAsia="Calibri"/>
        </w:rPr>
        <w:t xml:space="preserve">will </w:t>
      </w:r>
      <w:r w:rsidRPr="007B0249">
        <w:rPr>
          <w:rFonts w:eastAsia="Calibri"/>
        </w:rPr>
        <w:t>undertake the technical planning</w:t>
      </w:r>
      <w:r>
        <w:rPr>
          <w:rFonts w:eastAsia="Calibri"/>
        </w:rPr>
        <w:t>—</w:t>
      </w:r>
      <w:r w:rsidRPr="007B0249">
        <w:rPr>
          <w:rFonts w:eastAsia="Calibri"/>
        </w:rPr>
        <w:t>firstly undertaking some pilot studies before working through the requests for conversion</w:t>
      </w:r>
      <w:r>
        <w:rPr>
          <w:rFonts w:eastAsia="Calibri"/>
        </w:rPr>
        <w:t>s in the 29 licence areas where finding a suitable FM frequency will be more difficult.</w:t>
      </w:r>
    </w:p>
    <w:p w14:paraId="04FB6C50" w14:textId="77777777" w:rsidR="004D0DEA" w:rsidRDefault="004D0DEA" w:rsidP="004D0DEA">
      <w:pPr>
        <w:pStyle w:val="BodySubHeader"/>
      </w:pPr>
      <w:r>
        <w:t xml:space="preserve">Government priorities </w:t>
      </w:r>
    </w:p>
    <w:p w14:paraId="3C76FC33" w14:textId="77777777" w:rsidR="004D0DEA" w:rsidRPr="00221ED5" w:rsidRDefault="004D0DEA" w:rsidP="004D0DEA">
      <w:r w:rsidRPr="00DD525A">
        <w:t>In February 2016</w:t>
      </w:r>
      <w:r>
        <w:t>,</w:t>
      </w:r>
      <w:r w:rsidRPr="00DD525A">
        <w:t xml:space="preserve"> the </w:t>
      </w:r>
      <w:r>
        <w:t>m</w:t>
      </w:r>
      <w:r w:rsidRPr="00DD525A">
        <w:t xml:space="preserve">inister agreed in principle to the </w:t>
      </w:r>
      <w:r>
        <w:t xml:space="preserve">industry </w:t>
      </w:r>
      <w:r w:rsidRPr="00DD525A">
        <w:t>proposal and requested the ACMA give priority to undertaking the planning work necessary to convert AM commercial radio to FM in these selected regional markets</w:t>
      </w:r>
    </w:p>
    <w:p w14:paraId="3BB600C7" w14:textId="77777777" w:rsidR="004D0DEA" w:rsidRDefault="004D0DEA" w:rsidP="00A839AF">
      <w:pPr>
        <w:pStyle w:val="ACMATableHeader"/>
      </w:pPr>
      <w:r w:rsidRPr="004D0DEA">
        <w:t>Next steps—AM to FM conversions of commercial radio broadcasting services in selected regional licence areas</w:t>
      </w:r>
    </w:p>
    <w:tbl>
      <w:tblPr>
        <w:tblStyle w:val="TableGrid"/>
        <w:tblW w:w="8967" w:type="dxa"/>
        <w:tblCellMar>
          <w:top w:w="57" w:type="dxa"/>
          <w:left w:w="57" w:type="dxa"/>
          <w:bottom w:w="57" w:type="dxa"/>
          <w:right w:w="57" w:type="dxa"/>
        </w:tblCellMar>
        <w:tblLook w:val="04A0" w:firstRow="1" w:lastRow="0" w:firstColumn="1" w:lastColumn="0" w:noHBand="0" w:noVBand="1"/>
        <w:tblCaption w:val="Next steps—AM to FM conversions of commercial radio broadcasting services in selected regional licence areas"/>
        <w:tblDescription w:val="Includes work task/activity, the stage/phase, project details and the indicative timing."/>
      </w:tblPr>
      <w:tblGrid>
        <w:gridCol w:w="3155"/>
        <w:gridCol w:w="1559"/>
        <w:gridCol w:w="2268"/>
        <w:gridCol w:w="1985"/>
      </w:tblGrid>
      <w:tr w:rsidR="001A16D0" w14:paraId="0B432202" w14:textId="77777777" w:rsidTr="00184327">
        <w:trPr>
          <w:cantSplit/>
          <w:tblHeader/>
        </w:trPr>
        <w:tc>
          <w:tcPr>
            <w:tcW w:w="3155" w:type="dxa"/>
            <w:shd w:val="clear" w:color="auto" w:fill="404040" w:themeFill="text1" w:themeFillTint="BF"/>
          </w:tcPr>
          <w:p w14:paraId="50489A60" w14:textId="77777777" w:rsidR="001A16D0" w:rsidRPr="001A16D0" w:rsidRDefault="001A16D0" w:rsidP="001A16D0">
            <w:pPr>
              <w:pStyle w:val="TableHeading"/>
              <w:rPr>
                <w:color w:val="FFFFFF" w:themeColor="background1"/>
              </w:rPr>
            </w:pPr>
            <w:r w:rsidRPr="001A16D0">
              <w:rPr>
                <w:color w:val="FFFFFF" w:themeColor="background1"/>
              </w:rPr>
              <w:t>Work task/activity</w:t>
            </w:r>
          </w:p>
        </w:tc>
        <w:tc>
          <w:tcPr>
            <w:tcW w:w="1559" w:type="dxa"/>
            <w:shd w:val="clear" w:color="auto" w:fill="404040" w:themeFill="text1" w:themeFillTint="BF"/>
          </w:tcPr>
          <w:p w14:paraId="0C5724AD" w14:textId="77777777" w:rsidR="001A16D0" w:rsidRPr="001A16D0" w:rsidRDefault="001A16D0" w:rsidP="001A16D0">
            <w:pPr>
              <w:pStyle w:val="TableHeading"/>
              <w:rPr>
                <w:color w:val="FFFFFF" w:themeColor="background1"/>
              </w:rPr>
            </w:pPr>
            <w:r w:rsidRPr="001A16D0">
              <w:rPr>
                <w:color w:val="FFFFFF" w:themeColor="background1"/>
              </w:rPr>
              <w:t>Stage/phase</w:t>
            </w:r>
          </w:p>
        </w:tc>
        <w:tc>
          <w:tcPr>
            <w:tcW w:w="2268" w:type="dxa"/>
            <w:shd w:val="clear" w:color="auto" w:fill="404040" w:themeFill="text1" w:themeFillTint="BF"/>
          </w:tcPr>
          <w:p w14:paraId="0626C57C" w14:textId="77777777" w:rsidR="001A16D0" w:rsidRPr="001A16D0" w:rsidRDefault="001A16D0" w:rsidP="001A16D0">
            <w:pPr>
              <w:pStyle w:val="TableHeading"/>
              <w:rPr>
                <w:color w:val="FFFFFF" w:themeColor="background1"/>
              </w:rPr>
            </w:pPr>
            <w:r w:rsidRPr="001A16D0">
              <w:rPr>
                <w:color w:val="FFFFFF" w:themeColor="background1"/>
              </w:rPr>
              <w:t>Project</w:t>
            </w:r>
          </w:p>
        </w:tc>
        <w:tc>
          <w:tcPr>
            <w:tcW w:w="1985" w:type="dxa"/>
            <w:shd w:val="clear" w:color="auto" w:fill="404040" w:themeFill="text1" w:themeFillTint="BF"/>
          </w:tcPr>
          <w:p w14:paraId="1872E836" w14:textId="77777777" w:rsidR="001A16D0" w:rsidRPr="001A16D0" w:rsidRDefault="001A16D0" w:rsidP="001A16D0">
            <w:pPr>
              <w:pStyle w:val="TableHeading"/>
              <w:rPr>
                <w:color w:val="FFFFFF" w:themeColor="background1"/>
              </w:rPr>
            </w:pPr>
            <w:r w:rsidRPr="001A16D0">
              <w:rPr>
                <w:color w:val="FFFFFF" w:themeColor="background1"/>
              </w:rPr>
              <w:t>Timing</w:t>
            </w:r>
          </w:p>
        </w:tc>
      </w:tr>
      <w:tr w:rsidR="001A16D0" w14:paraId="6648449A" w14:textId="77777777" w:rsidTr="00184327">
        <w:tc>
          <w:tcPr>
            <w:tcW w:w="3155" w:type="dxa"/>
          </w:tcPr>
          <w:p w14:paraId="297C57A8" w14:textId="77777777" w:rsidR="001A16D0" w:rsidRPr="00810F6E" w:rsidRDefault="001A16D0" w:rsidP="001A16D0">
            <w:pPr>
              <w:spacing w:after="120"/>
              <w:rPr>
                <w:rFonts w:cs="Arial"/>
                <w:szCs w:val="20"/>
              </w:rPr>
            </w:pPr>
            <w:r w:rsidRPr="00810F6E">
              <w:rPr>
                <w:rFonts w:cs="Arial"/>
                <w:szCs w:val="20"/>
              </w:rPr>
              <w:t xml:space="preserve">Consultation on a revised approach to AM to FM conversions that will permit conversions </w:t>
            </w:r>
            <w:r w:rsidRPr="00810F6E">
              <w:rPr>
                <w:rFonts w:eastAsia="Calibri" w:cs="Arial"/>
                <w:szCs w:val="20"/>
              </w:rPr>
              <w:t>of commercial radio broadcasting services</w:t>
            </w:r>
            <w:r w:rsidRPr="00810F6E">
              <w:rPr>
                <w:rFonts w:cs="Arial"/>
                <w:szCs w:val="20"/>
              </w:rPr>
              <w:t xml:space="preserve"> in single licence, non-competitive markets</w:t>
            </w:r>
          </w:p>
        </w:tc>
        <w:tc>
          <w:tcPr>
            <w:tcW w:w="1559" w:type="dxa"/>
          </w:tcPr>
          <w:p w14:paraId="223B92F6" w14:textId="77777777" w:rsidR="001A16D0" w:rsidRDefault="001A16D0" w:rsidP="001A16D0">
            <w:pPr>
              <w:rPr>
                <w:rFonts w:cs="Arial"/>
                <w:szCs w:val="20"/>
              </w:rPr>
            </w:pPr>
            <w:r>
              <w:rPr>
                <w:rFonts w:cs="Arial"/>
                <w:szCs w:val="20"/>
              </w:rPr>
              <w:t xml:space="preserve">Initial implementation </w:t>
            </w:r>
          </w:p>
        </w:tc>
        <w:tc>
          <w:tcPr>
            <w:tcW w:w="2268" w:type="dxa"/>
          </w:tcPr>
          <w:p w14:paraId="6281B36B" w14:textId="77777777" w:rsidR="001A16D0" w:rsidRDefault="001A16D0" w:rsidP="001A16D0">
            <w:pPr>
              <w:rPr>
                <w:rFonts w:cs="Arial"/>
                <w:szCs w:val="20"/>
              </w:rPr>
            </w:pPr>
            <w:r>
              <w:rPr>
                <w:rFonts w:cs="Arial"/>
                <w:szCs w:val="20"/>
              </w:rPr>
              <w:t>AM to FM conversion in selected regional commercial radio licence areas</w:t>
            </w:r>
          </w:p>
        </w:tc>
        <w:tc>
          <w:tcPr>
            <w:tcW w:w="1985" w:type="dxa"/>
          </w:tcPr>
          <w:p w14:paraId="24CCF7B9" w14:textId="77777777" w:rsidR="001A16D0" w:rsidRDefault="000D3EE9" w:rsidP="001A16D0">
            <w:pPr>
              <w:rPr>
                <w:rFonts w:cs="Arial"/>
                <w:szCs w:val="20"/>
              </w:rPr>
            </w:pPr>
            <w:r>
              <w:rPr>
                <w:rFonts w:cs="Arial"/>
                <w:szCs w:val="20"/>
              </w:rPr>
              <w:t>Q4, 2016</w:t>
            </w:r>
          </w:p>
        </w:tc>
      </w:tr>
      <w:tr w:rsidR="001A16D0" w14:paraId="0BB681CC" w14:textId="77777777" w:rsidTr="00184327">
        <w:tc>
          <w:tcPr>
            <w:tcW w:w="3155" w:type="dxa"/>
            <w:shd w:val="clear" w:color="auto" w:fill="F2F2F2" w:themeFill="background1" w:themeFillShade="F2"/>
          </w:tcPr>
          <w:p w14:paraId="7D7CC453" w14:textId="77777777" w:rsidR="001A16D0" w:rsidRPr="00933B36" w:rsidRDefault="001A16D0" w:rsidP="001A16D0">
            <w:pPr>
              <w:spacing w:after="0" w:line="259" w:lineRule="auto"/>
              <w:rPr>
                <w:rFonts w:eastAsia="Calibri" w:cs="Arial"/>
                <w:szCs w:val="20"/>
              </w:rPr>
            </w:pPr>
            <w:r w:rsidRPr="002B3D70">
              <w:rPr>
                <w:rFonts w:cs="Arial"/>
                <w:szCs w:val="20"/>
              </w:rPr>
              <w:t xml:space="preserve">Consultation on </w:t>
            </w:r>
            <w:r w:rsidRPr="002B3D70">
              <w:rPr>
                <w:rFonts w:eastAsia="Calibri" w:cs="Arial"/>
                <w:szCs w:val="20"/>
              </w:rPr>
              <w:t>proposals for AM to FM conversions in the first four markets</w:t>
            </w:r>
            <w:r>
              <w:rPr>
                <w:rFonts w:eastAsia="Calibri" w:cs="Arial"/>
                <w:szCs w:val="20"/>
              </w:rPr>
              <w:t xml:space="preserve"> </w:t>
            </w:r>
            <w:r w:rsidRPr="00F247B8">
              <w:rPr>
                <w:rFonts w:eastAsia="Calibri" w:cs="Arial"/>
                <w:szCs w:val="20"/>
              </w:rPr>
              <w:t xml:space="preserve">where </w:t>
            </w:r>
            <w:r w:rsidRPr="00FB3092">
              <w:rPr>
                <w:rFonts w:cs="Arial"/>
                <w:szCs w:val="20"/>
              </w:rPr>
              <w:t>the ACMA has identified as being ‘easy’ in terms of finding a suitable frequency for conversion</w:t>
            </w:r>
            <w:r w:rsidRPr="002B3D70">
              <w:rPr>
                <w:rFonts w:eastAsia="Calibri" w:cs="Arial"/>
                <w:szCs w:val="20"/>
              </w:rPr>
              <w:t xml:space="preserve">: Remote WA (Exmouth, Paraburdoo, Tom Price), Karratha, Port Hedland and Broken Hill </w:t>
            </w:r>
          </w:p>
        </w:tc>
        <w:tc>
          <w:tcPr>
            <w:tcW w:w="1559" w:type="dxa"/>
            <w:shd w:val="clear" w:color="auto" w:fill="F2F2F2" w:themeFill="background1" w:themeFillShade="F2"/>
          </w:tcPr>
          <w:p w14:paraId="36849213" w14:textId="77777777" w:rsidR="001A16D0" w:rsidRDefault="001A16D0" w:rsidP="001A16D0">
            <w:pPr>
              <w:rPr>
                <w:rFonts w:cs="Arial"/>
                <w:szCs w:val="20"/>
              </w:rPr>
            </w:pPr>
            <w:r>
              <w:rPr>
                <w:rFonts w:cs="Arial"/>
                <w:szCs w:val="20"/>
              </w:rPr>
              <w:t xml:space="preserve">Implementation </w:t>
            </w:r>
          </w:p>
        </w:tc>
        <w:tc>
          <w:tcPr>
            <w:tcW w:w="2268" w:type="dxa"/>
            <w:shd w:val="clear" w:color="auto" w:fill="F2F2F2" w:themeFill="background1" w:themeFillShade="F2"/>
          </w:tcPr>
          <w:p w14:paraId="16E4A85D" w14:textId="77777777" w:rsidR="001A16D0" w:rsidRDefault="001A16D0" w:rsidP="001A16D0">
            <w:pPr>
              <w:rPr>
                <w:rFonts w:cs="Arial"/>
                <w:szCs w:val="20"/>
              </w:rPr>
            </w:pPr>
            <w:r>
              <w:rPr>
                <w:rFonts w:cs="Arial"/>
                <w:szCs w:val="20"/>
              </w:rPr>
              <w:t>AM to FM conversion in selected regional commercial radio licence areas</w:t>
            </w:r>
          </w:p>
        </w:tc>
        <w:tc>
          <w:tcPr>
            <w:tcW w:w="1985" w:type="dxa"/>
            <w:shd w:val="clear" w:color="auto" w:fill="F2F2F2" w:themeFill="background1" w:themeFillShade="F2"/>
          </w:tcPr>
          <w:p w14:paraId="5D1BB9DF" w14:textId="77777777" w:rsidR="001A16D0" w:rsidRDefault="001A16D0" w:rsidP="001A16D0">
            <w:pPr>
              <w:rPr>
                <w:rFonts w:cs="Arial"/>
                <w:szCs w:val="20"/>
              </w:rPr>
            </w:pPr>
            <w:r>
              <w:rPr>
                <w:rFonts w:cs="Arial"/>
                <w:szCs w:val="20"/>
              </w:rPr>
              <w:t>Q4, 2016</w:t>
            </w:r>
            <w:r>
              <w:rPr>
                <w:rFonts w:eastAsia="Calibri" w:cs="Arial"/>
                <w:szCs w:val="20"/>
              </w:rPr>
              <w:t xml:space="preserve"> </w:t>
            </w:r>
            <w:r>
              <w:rPr>
                <w:rFonts w:cs="Arial"/>
                <w:szCs w:val="20"/>
              </w:rPr>
              <w:t>(</w:t>
            </w:r>
            <w:r>
              <w:rPr>
                <w:rFonts w:eastAsia="Calibri" w:cs="Arial"/>
                <w:szCs w:val="20"/>
              </w:rPr>
              <w:t>draft LAP variations for these first four areas are to be consulted on at the same time as the revised approach)</w:t>
            </w:r>
          </w:p>
        </w:tc>
      </w:tr>
      <w:tr w:rsidR="001A16D0" w14:paraId="4B90F9CC" w14:textId="77777777" w:rsidTr="00184327">
        <w:tc>
          <w:tcPr>
            <w:tcW w:w="3155" w:type="dxa"/>
          </w:tcPr>
          <w:p w14:paraId="739E2428" w14:textId="77777777" w:rsidR="001A16D0" w:rsidRDefault="001A16D0" w:rsidP="001A16D0">
            <w:pPr>
              <w:spacing w:after="0"/>
              <w:rPr>
                <w:rFonts w:cs="Arial"/>
                <w:szCs w:val="20"/>
              </w:rPr>
            </w:pPr>
            <w:r>
              <w:rPr>
                <w:rFonts w:cs="Arial"/>
                <w:szCs w:val="20"/>
              </w:rPr>
              <w:t>Finalisation of the ACMA’s revised approach to AM to FM conversion in single licensee non-competitive regional licence areas and LAP variation request in the four ‘easy’ markets</w:t>
            </w:r>
          </w:p>
        </w:tc>
        <w:tc>
          <w:tcPr>
            <w:tcW w:w="1559" w:type="dxa"/>
          </w:tcPr>
          <w:p w14:paraId="14DE0373" w14:textId="77777777" w:rsidR="001A16D0" w:rsidRDefault="001A16D0" w:rsidP="001A16D0">
            <w:pPr>
              <w:rPr>
                <w:rFonts w:cs="Arial"/>
                <w:szCs w:val="20"/>
              </w:rPr>
            </w:pPr>
            <w:r>
              <w:rPr>
                <w:rFonts w:cs="Arial"/>
                <w:szCs w:val="20"/>
              </w:rPr>
              <w:t xml:space="preserve">Implementation </w:t>
            </w:r>
          </w:p>
        </w:tc>
        <w:tc>
          <w:tcPr>
            <w:tcW w:w="2268" w:type="dxa"/>
          </w:tcPr>
          <w:p w14:paraId="2437226E" w14:textId="77777777" w:rsidR="001A16D0" w:rsidRDefault="001A16D0" w:rsidP="001A16D0">
            <w:pPr>
              <w:rPr>
                <w:rFonts w:cs="Arial"/>
                <w:szCs w:val="20"/>
              </w:rPr>
            </w:pPr>
            <w:r w:rsidRPr="00042792">
              <w:rPr>
                <w:rFonts w:cs="Arial"/>
                <w:szCs w:val="20"/>
              </w:rPr>
              <w:t>AM to FM conversion in selected regional commercial radio licence areas</w:t>
            </w:r>
          </w:p>
        </w:tc>
        <w:tc>
          <w:tcPr>
            <w:tcW w:w="1985" w:type="dxa"/>
          </w:tcPr>
          <w:p w14:paraId="72308CA8" w14:textId="77777777" w:rsidR="001A16D0" w:rsidRDefault="001A16D0" w:rsidP="001A16D0">
            <w:pPr>
              <w:rPr>
                <w:rFonts w:cs="Arial"/>
                <w:szCs w:val="20"/>
              </w:rPr>
            </w:pPr>
            <w:r>
              <w:rPr>
                <w:rFonts w:cs="Arial"/>
                <w:szCs w:val="20"/>
              </w:rPr>
              <w:t>S</w:t>
            </w:r>
            <w:r w:rsidRPr="002E54B1">
              <w:rPr>
                <w:rFonts w:cs="Arial"/>
                <w:szCs w:val="20"/>
              </w:rPr>
              <w:t xml:space="preserve">ubject </w:t>
            </w:r>
            <w:r>
              <w:rPr>
                <w:rFonts w:cs="Arial"/>
                <w:szCs w:val="20"/>
              </w:rPr>
              <w:t xml:space="preserve">to </w:t>
            </w:r>
            <w:r w:rsidRPr="002E54B1">
              <w:rPr>
                <w:rFonts w:cs="Arial"/>
                <w:szCs w:val="20"/>
              </w:rPr>
              <w:t>consultation</w:t>
            </w:r>
            <w:r>
              <w:rPr>
                <w:rFonts w:cs="Arial"/>
                <w:szCs w:val="20"/>
              </w:rPr>
              <w:t xml:space="preserve"> responses, Q4, 2016</w:t>
            </w:r>
            <w:r w:rsidR="000D3EE9">
              <w:rPr>
                <w:rFonts w:cs="Arial"/>
                <w:szCs w:val="20"/>
              </w:rPr>
              <w:t xml:space="preserve"> </w:t>
            </w:r>
            <w:r>
              <w:rPr>
                <w:rFonts w:cs="Arial"/>
                <w:szCs w:val="20"/>
              </w:rPr>
              <w:t>–</w:t>
            </w:r>
            <w:r w:rsidR="000D3EE9">
              <w:rPr>
                <w:rFonts w:cs="Arial"/>
                <w:szCs w:val="20"/>
              </w:rPr>
              <w:t xml:space="preserve"> </w:t>
            </w:r>
            <w:r>
              <w:rPr>
                <w:rFonts w:cs="Arial"/>
                <w:szCs w:val="20"/>
              </w:rPr>
              <w:t>Q1, 2017</w:t>
            </w:r>
          </w:p>
        </w:tc>
      </w:tr>
      <w:tr w:rsidR="001A16D0" w14:paraId="1C889232" w14:textId="77777777" w:rsidTr="00184327">
        <w:tc>
          <w:tcPr>
            <w:tcW w:w="3155" w:type="dxa"/>
            <w:shd w:val="clear" w:color="auto" w:fill="F2F2F2" w:themeFill="background1" w:themeFillShade="F2"/>
          </w:tcPr>
          <w:p w14:paraId="13CBEF30" w14:textId="77777777" w:rsidR="001A16D0" w:rsidRDefault="001A16D0" w:rsidP="001A16D0">
            <w:pPr>
              <w:spacing w:after="0"/>
              <w:rPr>
                <w:rFonts w:cs="Arial"/>
                <w:szCs w:val="20"/>
              </w:rPr>
            </w:pPr>
            <w:r>
              <w:rPr>
                <w:rFonts w:cs="Arial"/>
                <w:szCs w:val="20"/>
              </w:rPr>
              <w:t>Completion of pilot studies of LAP variation requests for AM to FM conversions for the markets where finding a suitable frequency will be more difficult</w:t>
            </w:r>
          </w:p>
        </w:tc>
        <w:tc>
          <w:tcPr>
            <w:tcW w:w="1559" w:type="dxa"/>
            <w:shd w:val="clear" w:color="auto" w:fill="F2F2F2" w:themeFill="background1" w:themeFillShade="F2"/>
          </w:tcPr>
          <w:p w14:paraId="11A3C361" w14:textId="77777777" w:rsidR="001A16D0" w:rsidRDefault="001A16D0" w:rsidP="001A16D0">
            <w:pPr>
              <w:rPr>
                <w:rFonts w:cs="Arial"/>
                <w:szCs w:val="20"/>
              </w:rPr>
            </w:pPr>
            <w:r>
              <w:rPr>
                <w:rFonts w:cs="Arial"/>
                <w:szCs w:val="20"/>
              </w:rPr>
              <w:t>Scoping</w:t>
            </w:r>
          </w:p>
        </w:tc>
        <w:tc>
          <w:tcPr>
            <w:tcW w:w="2268" w:type="dxa"/>
            <w:shd w:val="clear" w:color="auto" w:fill="F2F2F2" w:themeFill="background1" w:themeFillShade="F2"/>
          </w:tcPr>
          <w:p w14:paraId="528B29E4" w14:textId="77777777" w:rsidR="001A16D0" w:rsidRDefault="001A16D0" w:rsidP="001A16D0">
            <w:pPr>
              <w:rPr>
                <w:rFonts w:cs="Arial"/>
                <w:szCs w:val="20"/>
              </w:rPr>
            </w:pPr>
            <w:r>
              <w:rPr>
                <w:rFonts w:cs="Arial"/>
                <w:szCs w:val="20"/>
              </w:rPr>
              <w:t>AM to FM conversion in selected regional commercial radio licence areas</w:t>
            </w:r>
          </w:p>
        </w:tc>
        <w:tc>
          <w:tcPr>
            <w:tcW w:w="1985" w:type="dxa"/>
            <w:shd w:val="clear" w:color="auto" w:fill="F2F2F2" w:themeFill="background1" w:themeFillShade="F2"/>
          </w:tcPr>
          <w:p w14:paraId="3FD2FEDF" w14:textId="77777777" w:rsidR="001A16D0" w:rsidRDefault="001A16D0" w:rsidP="001A16D0">
            <w:pPr>
              <w:rPr>
                <w:rFonts w:cs="Arial"/>
                <w:szCs w:val="20"/>
              </w:rPr>
            </w:pPr>
            <w:r>
              <w:rPr>
                <w:rFonts w:cs="Arial"/>
                <w:szCs w:val="20"/>
              </w:rPr>
              <w:t xml:space="preserve">Ongoing </w:t>
            </w:r>
          </w:p>
        </w:tc>
      </w:tr>
      <w:tr w:rsidR="001A16D0" w14:paraId="7F0E35BA" w14:textId="77777777" w:rsidTr="00184327">
        <w:tc>
          <w:tcPr>
            <w:tcW w:w="3155" w:type="dxa"/>
          </w:tcPr>
          <w:p w14:paraId="3E5D5232" w14:textId="77777777" w:rsidR="001A16D0" w:rsidRPr="002B3D70" w:rsidRDefault="001A16D0" w:rsidP="001A16D0">
            <w:pPr>
              <w:rPr>
                <w:rFonts w:cs="Arial"/>
                <w:szCs w:val="20"/>
              </w:rPr>
            </w:pPr>
            <w:r>
              <w:rPr>
                <w:rFonts w:cs="Arial"/>
                <w:szCs w:val="20"/>
              </w:rPr>
              <w:t>Consideration of the other 29 LAP variation requests for AM to FM conversion</w:t>
            </w:r>
          </w:p>
        </w:tc>
        <w:tc>
          <w:tcPr>
            <w:tcW w:w="1559" w:type="dxa"/>
          </w:tcPr>
          <w:p w14:paraId="1D270D53" w14:textId="77777777" w:rsidR="001A16D0" w:rsidRDefault="001A16D0" w:rsidP="001A16D0">
            <w:pPr>
              <w:rPr>
                <w:rFonts w:cs="Arial"/>
                <w:szCs w:val="20"/>
              </w:rPr>
            </w:pPr>
            <w:r>
              <w:rPr>
                <w:rFonts w:cs="Arial"/>
                <w:szCs w:val="20"/>
              </w:rPr>
              <w:t xml:space="preserve">Scoping  </w:t>
            </w:r>
          </w:p>
        </w:tc>
        <w:tc>
          <w:tcPr>
            <w:tcW w:w="2268" w:type="dxa"/>
          </w:tcPr>
          <w:p w14:paraId="7E36F5BA" w14:textId="77777777" w:rsidR="001A16D0" w:rsidRDefault="001A16D0" w:rsidP="001A16D0">
            <w:pPr>
              <w:spacing w:after="0"/>
              <w:rPr>
                <w:rFonts w:cs="Arial"/>
                <w:szCs w:val="20"/>
              </w:rPr>
            </w:pPr>
            <w:r w:rsidRPr="00D820C1">
              <w:rPr>
                <w:rFonts w:cs="Arial"/>
                <w:szCs w:val="20"/>
              </w:rPr>
              <w:t>AM to FM conversion in selected regional commercial radio licence areas</w:t>
            </w:r>
          </w:p>
        </w:tc>
        <w:tc>
          <w:tcPr>
            <w:tcW w:w="1985" w:type="dxa"/>
          </w:tcPr>
          <w:p w14:paraId="1D7DD2D7" w14:textId="77777777" w:rsidR="001A16D0" w:rsidRDefault="001A16D0" w:rsidP="001A16D0">
            <w:pPr>
              <w:rPr>
                <w:rFonts w:cs="Arial"/>
                <w:szCs w:val="20"/>
              </w:rPr>
            </w:pPr>
            <w:r>
              <w:rPr>
                <w:rFonts w:cs="Arial"/>
                <w:szCs w:val="20"/>
              </w:rPr>
              <w:t>Ongoing from Q2, 2017</w:t>
            </w:r>
          </w:p>
        </w:tc>
      </w:tr>
    </w:tbl>
    <w:p w14:paraId="5F30268A" w14:textId="77777777" w:rsidR="004D0DEA" w:rsidRPr="001A16D0" w:rsidRDefault="004D0DEA" w:rsidP="001A16D0">
      <w:pPr>
        <w:pStyle w:val="ACMASpaceaftertable"/>
      </w:pPr>
    </w:p>
    <w:p w14:paraId="554373A4" w14:textId="77777777" w:rsidR="004D0DEA" w:rsidRDefault="004D0DEA" w:rsidP="001A16D0">
      <w:pPr>
        <w:pStyle w:val="Heading2"/>
        <w:keepNext w:val="0"/>
        <w:spacing w:before="60" w:after="120"/>
        <w:rPr>
          <w:lang w:val="en-US"/>
        </w:rPr>
      </w:pPr>
      <w:bookmarkStart w:id="284" w:name="_Toc461108008"/>
      <w:bookmarkStart w:id="285" w:name="_Toc461194835"/>
      <w:bookmarkStart w:id="286" w:name="_Toc461445486"/>
      <w:bookmarkStart w:id="287" w:name="_Toc463351323"/>
      <w:r>
        <w:rPr>
          <w:lang w:val="en-US"/>
        </w:rPr>
        <w:t>Theme—Reducing the cost to business arising from regulation</w:t>
      </w:r>
      <w:bookmarkEnd w:id="268"/>
      <w:bookmarkEnd w:id="269"/>
      <w:bookmarkEnd w:id="270"/>
      <w:bookmarkEnd w:id="271"/>
      <w:bookmarkEnd w:id="272"/>
      <w:bookmarkEnd w:id="273"/>
      <w:bookmarkEnd w:id="274"/>
      <w:bookmarkEnd w:id="275"/>
      <w:bookmarkEnd w:id="284"/>
      <w:bookmarkEnd w:id="285"/>
      <w:bookmarkEnd w:id="286"/>
      <w:bookmarkEnd w:id="287"/>
    </w:p>
    <w:p w14:paraId="17B84FEB" w14:textId="77777777" w:rsidR="004D0DEA" w:rsidRDefault="004D0DEA" w:rsidP="001A16D0">
      <w:pPr>
        <w:pStyle w:val="Heading3"/>
        <w:keepNext w:val="0"/>
        <w:rPr>
          <w:lang w:val="en-US"/>
        </w:rPr>
      </w:pPr>
      <w:bookmarkStart w:id="288" w:name="_Toc455579221"/>
      <w:bookmarkStart w:id="289" w:name="_Toc456616635"/>
      <w:bookmarkStart w:id="290" w:name="_Toc458084562"/>
      <w:bookmarkStart w:id="291" w:name="_Toc458608699"/>
      <w:bookmarkStart w:id="292" w:name="_Toc461108009"/>
      <w:bookmarkStart w:id="293" w:name="_Toc461194836"/>
      <w:bookmarkStart w:id="294" w:name="_Toc461445487"/>
      <w:bookmarkStart w:id="295" w:name="_Toc463351324"/>
      <w:r>
        <w:rPr>
          <w:lang w:val="en-US"/>
        </w:rPr>
        <w:t>Customer self service</w:t>
      </w:r>
      <w:bookmarkEnd w:id="288"/>
      <w:bookmarkEnd w:id="289"/>
      <w:bookmarkEnd w:id="290"/>
      <w:bookmarkEnd w:id="291"/>
      <w:bookmarkEnd w:id="292"/>
      <w:bookmarkEnd w:id="293"/>
      <w:bookmarkEnd w:id="294"/>
      <w:bookmarkEnd w:id="295"/>
    </w:p>
    <w:p w14:paraId="14DEAF15" w14:textId="77777777" w:rsidR="004D0DEA" w:rsidRDefault="004D0DEA" w:rsidP="001A16D0">
      <w:pPr>
        <w:pStyle w:val="BodySubHeader"/>
      </w:pPr>
      <w:r>
        <w:t>Background</w:t>
      </w:r>
    </w:p>
    <w:p w14:paraId="3DEF81C2" w14:textId="77777777" w:rsidR="004D0DEA" w:rsidRPr="005668B1" w:rsidRDefault="004D0DEA" w:rsidP="001A16D0">
      <w:bookmarkStart w:id="296" w:name="_Toc421196916"/>
      <w:bookmarkStart w:id="297" w:name="_Toc421626782"/>
      <w:bookmarkStart w:id="298" w:name="_Toc422405898"/>
      <w:bookmarkStart w:id="299" w:name="_Toc425954306"/>
      <w:r w:rsidRPr="005668B1">
        <w:t>The ACMA’s new spectrum management suite of tools has provided the platform for the ACMA to begin development of customer self-service capacity. When fully implemented, the online portal will allow licensees, or their representatives, to be able to electronically manage their licence holdings with the ACMA. The facility will allow licensees to apply for new licences and renew, transfer, vary or surrender existing licences through the submission of information through the online portal. Licensees will also be able to manage their customer details online.</w:t>
      </w:r>
    </w:p>
    <w:p w14:paraId="2851D41B" w14:textId="77777777" w:rsidR="004D0DEA" w:rsidRPr="005668B1" w:rsidRDefault="004D0DEA" w:rsidP="004D0DEA">
      <w:pPr>
        <w:pStyle w:val="BodySubHeader"/>
      </w:pPr>
      <w:r w:rsidRPr="005668B1">
        <w:t>Government priorities</w:t>
      </w:r>
    </w:p>
    <w:p w14:paraId="6642E779" w14:textId="77777777" w:rsidR="004D0DEA" w:rsidRPr="005668B1" w:rsidRDefault="004D0DEA" w:rsidP="004D0DEA">
      <w:r w:rsidRPr="005668B1">
        <w:t xml:space="preserve">This project contributes to the </w:t>
      </w:r>
      <w:r>
        <w:t>g</w:t>
      </w:r>
      <w:r w:rsidRPr="005668B1">
        <w:t>overnment’s broader regulatory reform agenda under the red-tape reduction program by providing significant benefits for licensees. One of these benefits will be access for licensees, or a third</w:t>
      </w:r>
      <w:r>
        <w:t>-</w:t>
      </w:r>
      <w:r w:rsidRPr="005668B1">
        <w:t>party manager</w:t>
      </w:r>
      <w:r w:rsidR="000D3EE9">
        <w:t>,</w:t>
      </w:r>
      <w:r w:rsidRPr="005668B1">
        <w:t xml:space="preserve"> authorised by a licensee, to manage renewals online without receiving renewal notices from the ACMA. This is particularly useful to customers with large numbers of licences or customers who change address on a regular basis</w:t>
      </w:r>
      <w:r>
        <w:t>,</w:t>
      </w:r>
      <w:r w:rsidRPr="005668B1">
        <w:t xml:space="preserve"> such as travellers using marine radio. Other benefits include the ability to update contact person and address details online, the ability to lodge applications to vary or surrender licences online, and enhancing customers’ ability to make payments online.</w:t>
      </w:r>
    </w:p>
    <w:p w14:paraId="2FB6FABA" w14:textId="77777777" w:rsidR="004D0DEA" w:rsidRPr="005668B1" w:rsidRDefault="004D0DEA" w:rsidP="004D0DEA">
      <w:pPr>
        <w:pStyle w:val="Bodysubheader0"/>
        <w:rPr>
          <w:rFonts w:cs="Arial"/>
          <w:szCs w:val="20"/>
        </w:rPr>
      </w:pPr>
      <w:r w:rsidRPr="005668B1">
        <w:rPr>
          <w:rFonts w:cs="Arial"/>
          <w:szCs w:val="20"/>
        </w:rPr>
        <w:t>Project phase</w:t>
      </w:r>
    </w:p>
    <w:p w14:paraId="19BD8F62" w14:textId="77777777" w:rsidR="004D0DEA" w:rsidRPr="005668B1" w:rsidRDefault="004D0DEA" w:rsidP="004D0DEA">
      <w:pPr>
        <w:rPr>
          <w:rFonts w:cs="Arial"/>
          <w:szCs w:val="20"/>
        </w:rPr>
      </w:pPr>
      <w:r w:rsidRPr="005668B1">
        <w:rPr>
          <w:rFonts w:cs="Arial"/>
          <w:szCs w:val="20"/>
        </w:rPr>
        <w:t xml:space="preserve">The </w:t>
      </w:r>
      <w:r>
        <w:rPr>
          <w:rFonts w:cs="Arial"/>
          <w:szCs w:val="20"/>
        </w:rPr>
        <w:t>first phase of this project is complete</w:t>
      </w:r>
      <w:r w:rsidR="00E661ED">
        <w:rPr>
          <w:rFonts w:cs="Arial"/>
          <w:szCs w:val="20"/>
        </w:rPr>
        <w:t xml:space="preserve"> with the delivery of a suite of forms made available to APs through the AP portal in July 2016</w:t>
      </w:r>
      <w:r w:rsidR="00184327">
        <w:rPr>
          <w:rFonts w:cs="Arial"/>
          <w:szCs w:val="20"/>
        </w:rPr>
        <w:t>.</w:t>
      </w:r>
      <w:r w:rsidR="00E661ED">
        <w:rPr>
          <w:rStyle w:val="FootnoteReference"/>
          <w:rFonts w:cs="Arial"/>
          <w:szCs w:val="20"/>
        </w:rPr>
        <w:footnoteReference w:id="27"/>
      </w:r>
      <w:r w:rsidR="00E661ED">
        <w:rPr>
          <w:rFonts w:cs="Arial"/>
          <w:szCs w:val="20"/>
        </w:rPr>
        <w:t xml:space="preserve"> </w:t>
      </w:r>
      <w:r>
        <w:rPr>
          <w:rFonts w:cs="Arial"/>
          <w:szCs w:val="20"/>
        </w:rPr>
        <w:t>At the same, time online forms were made available for access by licensees through the ACMA website, which allow licensees to easily apply to surrender or transfer licences and update contact details.</w:t>
      </w:r>
    </w:p>
    <w:p w14:paraId="183265F7" w14:textId="77777777" w:rsidR="004D0DEA" w:rsidRPr="005668B1" w:rsidRDefault="004D0DEA" w:rsidP="004D0DEA">
      <w:pPr>
        <w:pStyle w:val="Bodysubheader0"/>
        <w:rPr>
          <w:rFonts w:cs="Arial"/>
          <w:szCs w:val="20"/>
        </w:rPr>
      </w:pPr>
      <w:r w:rsidRPr="005668B1">
        <w:rPr>
          <w:rFonts w:cs="Arial"/>
          <w:szCs w:val="20"/>
        </w:rPr>
        <w:t xml:space="preserve">Actions/Project </w:t>
      </w:r>
      <w:r>
        <w:rPr>
          <w:rFonts w:cs="Arial"/>
          <w:szCs w:val="20"/>
        </w:rPr>
        <w:t>t</w:t>
      </w:r>
      <w:r w:rsidRPr="005668B1">
        <w:rPr>
          <w:rFonts w:cs="Arial"/>
          <w:szCs w:val="20"/>
        </w:rPr>
        <w:t>iming</w:t>
      </w:r>
    </w:p>
    <w:p w14:paraId="607E7385" w14:textId="77777777" w:rsidR="004D0DEA" w:rsidRPr="005668B1" w:rsidRDefault="004D0DEA" w:rsidP="004D0DEA">
      <w:pPr>
        <w:rPr>
          <w:rFonts w:cs="Arial"/>
          <w:szCs w:val="20"/>
        </w:rPr>
      </w:pPr>
      <w:r w:rsidRPr="005668B1">
        <w:rPr>
          <w:rFonts w:cs="Arial"/>
          <w:szCs w:val="20"/>
        </w:rPr>
        <w:t>The project is in its initial phase of delivery</w:t>
      </w:r>
      <w:r>
        <w:rPr>
          <w:rFonts w:cs="Arial"/>
          <w:szCs w:val="20"/>
        </w:rPr>
        <w:t>,</w:t>
      </w:r>
      <w:r w:rsidRPr="005668B1">
        <w:rPr>
          <w:rFonts w:cs="Arial"/>
          <w:szCs w:val="20"/>
        </w:rPr>
        <w:t xml:space="preserve"> with the first online forms </w:t>
      </w:r>
      <w:r>
        <w:rPr>
          <w:rFonts w:cs="Arial"/>
          <w:szCs w:val="20"/>
        </w:rPr>
        <w:t>delivered</w:t>
      </w:r>
      <w:r w:rsidRPr="005668B1">
        <w:rPr>
          <w:rFonts w:cs="Arial"/>
          <w:szCs w:val="20"/>
        </w:rPr>
        <w:t xml:space="preserve"> </w:t>
      </w:r>
      <w:r>
        <w:rPr>
          <w:rFonts w:cs="Arial"/>
          <w:szCs w:val="20"/>
        </w:rPr>
        <w:t xml:space="preserve">for use by APs </w:t>
      </w:r>
      <w:r w:rsidRPr="005668B1">
        <w:rPr>
          <w:rFonts w:cs="Arial"/>
          <w:szCs w:val="20"/>
        </w:rPr>
        <w:t>in July 2016.</w:t>
      </w:r>
    </w:p>
    <w:p w14:paraId="6E229765" w14:textId="77777777" w:rsidR="004D0DEA" w:rsidRPr="004D0DEA" w:rsidRDefault="004D0DEA" w:rsidP="004D0DEA">
      <w:pPr>
        <w:keepNext/>
        <w:numPr>
          <w:ilvl w:val="0"/>
          <w:numId w:val="27"/>
        </w:numPr>
        <w:spacing w:after="160" w:line="240" w:lineRule="auto"/>
        <w:rPr>
          <w:b/>
        </w:rPr>
      </w:pPr>
      <w:r w:rsidRPr="004D0DEA">
        <w:rPr>
          <w:b/>
        </w:rPr>
        <w:t>Next steps—customer self service</w:t>
      </w:r>
    </w:p>
    <w:tbl>
      <w:tblPr>
        <w:tblStyle w:val="TableGrid"/>
        <w:tblW w:w="0" w:type="auto"/>
        <w:tblCellMar>
          <w:top w:w="57" w:type="dxa"/>
          <w:left w:w="57" w:type="dxa"/>
          <w:bottom w:w="57" w:type="dxa"/>
          <w:right w:w="57" w:type="dxa"/>
        </w:tblCellMar>
        <w:tblLook w:val="04A0" w:firstRow="1" w:lastRow="0" w:firstColumn="1" w:lastColumn="0" w:noHBand="0" w:noVBand="1"/>
        <w:tblCaption w:val="Next steps—customer self service"/>
        <w:tblDescription w:val="Includes work task/activity, the stage/phase, project details and the indicative timing."/>
      </w:tblPr>
      <w:tblGrid>
        <w:gridCol w:w="2632"/>
        <w:gridCol w:w="2009"/>
        <w:gridCol w:w="1747"/>
        <w:gridCol w:w="1273"/>
      </w:tblGrid>
      <w:tr w:rsidR="004D0DEA" w:rsidRPr="005668B1" w14:paraId="459C9CBF" w14:textId="77777777" w:rsidTr="0076286D">
        <w:trPr>
          <w:tblHeader/>
        </w:trPr>
        <w:tc>
          <w:tcPr>
            <w:tcW w:w="2632" w:type="dxa"/>
            <w:shd w:val="clear" w:color="auto" w:fill="404040" w:themeFill="text1" w:themeFillTint="BF"/>
          </w:tcPr>
          <w:p w14:paraId="4016F4FA"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009" w:type="dxa"/>
            <w:shd w:val="clear" w:color="auto" w:fill="404040" w:themeFill="text1" w:themeFillTint="BF"/>
          </w:tcPr>
          <w:p w14:paraId="4BC0FB41"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1747" w:type="dxa"/>
            <w:shd w:val="clear" w:color="auto" w:fill="404040" w:themeFill="text1" w:themeFillTint="BF"/>
          </w:tcPr>
          <w:p w14:paraId="4573BDB0"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273" w:type="dxa"/>
            <w:shd w:val="clear" w:color="auto" w:fill="404040" w:themeFill="text1" w:themeFillTint="BF"/>
          </w:tcPr>
          <w:p w14:paraId="0440D0F3"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5668B1" w14:paraId="468338EB" w14:textId="77777777" w:rsidTr="00375F63">
        <w:tc>
          <w:tcPr>
            <w:tcW w:w="2632" w:type="dxa"/>
          </w:tcPr>
          <w:p w14:paraId="24361425" w14:textId="77777777" w:rsidR="004D0DEA" w:rsidRPr="005668B1" w:rsidRDefault="004D0DEA" w:rsidP="0039046B">
            <w:pPr>
              <w:spacing w:after="120"/>
              <w:rPr>
                <w:rFonts w:cs="Arial"/>
                <w:szCs w:val="20"/>
              </w:rPr>
            </w:pPr>
            <w:r>
              <w:rPr>
                <w:rFonts w:cs="Arial"/>
                <w:szCs w:val="20"/>
              </w:rPr>
              <w:t>Device registration and 900 MHz station registration online forms</w:t>
            </w:r>
          </w:p>
        </w:tc>
        <w:tc>
          <w:tcPr>
            <w:tcW w:w="2009" w:type="dxa"/>
          </w:tcPr>
          <w:p w14:paraId="49AF913A" w14:textId="77777777" w:rsidR="004D0DEA" w:rsidRPr="005668B1" w:rsidRDefault="004D0DEA" w:rsidP="00375F63">
            <w:pPr>
              <w:rPr>
                <w:rFonts w:cs="Arial"/>
                <w:szCs w:val="20"/>
              </w:rPr>
            </w:pPr>
            <w:r>
              <w:rPr>
                <w:rFonts w:cs="Arial"/>
                <w:szCs w:val="20"/>
              </w:rPr>
              <w:t>Implementation</w:t>
            </w:r>
          </w:p>
        </w:tc>
        <w:tc>
          <w:tcPr>
            <w:tcW w:w="1747" w:type="dxa"/>
          </w:tcPr>
          <w:p w14:paraId="6F634A57" w14:textId="77777777" w:rsidR="004D0DEA" w:rsidRPr="005668B1" w:rsidRDefault="004D0DEA" w:rsidP="00375F63">
            <w:pPr>
              <w:rPr>
                <w:rFonts w:cs="Arial"/>
                <w:szCs w:val="20"/>
              </w:rPr>
            </w:pPr>
            <w:r>
              <w:rPr>
                <w:rFonts w:cs="Arial"/>
                <w:szCs w:val="20"/>
              </w:rPr>
              <w:t>Customer self service</w:t>
            </w:r>
          </w:p>
        </w:tc>
        <w:tc>
          <w:tcPr>
            <w:tcW w:w="1273" w:type="dxa"/>
          </w:tcPr>
          <w:p w14:paraId="4F27D780" w14:textId="77777777" w:rsidR="004D0DEA" w:rsidRPr="005668B1" w:rsidRDefault="004D0DEA" w:rsidP="00375F63">
            <w:pPr>
              <w:rPr>
                <w:rFonts w:cs="Arial"/>
                <w:szCs w:val="20"/>
              </w:rPr>
            </w:pPr>
            <w:r>
              <w:rPr>
                <w:rFonts w:cs="Arial"/>
                <w:szCs w:val="20"/>
              </w:rPr>
              <w:t>Q3, 2016</w:t>
            </w:r>
          </w:p>
        </w:tc>
      </w:tr>
      <w:tr w:rsidR="004D0DEA" w:rsidRPr="005668B1" w14:paraId="01E4D59B" w14:textId="77777777" w:rsidTr="00CF4F06">
        <w:tc>
          <w:tcPr>
            <w:tcW w:w="2632" w:type="dxa"/>
            <w:shd w:val="clear" w:color="auto" w:fill="F2F2F2" w:themeFill="background1" w:themeFillShade="F2"/>
          </w:tcPr>
          <w:p w14:paraId="332B6D08" w14:textId="77777777" w:rsidR="004D0DEA" w:rsidRPr="005668B1" w:rsidRDefault="004D0DEA" w:rsidP="0039046B">
            <w:pPr>
              <w:spacing w:after="120"/>
              <w:rPr>
                <w:rFonts w:cs="Arial"/>
                <w:szCs w:val="20"/>
              </w:rPr>
            </w:pPr>
            <w:r>
              <w:rPr>
                <w:rFonts w:cs="Arial"/>
                <w:szCs w:val="20"/>
              </w:rPr>
              <w:t>XML payload form available for APs</w:t>
            </w:r>
          </w:p>
        </w:tc>
        <w:tc>
          <w:tcPr>
            <w:tcW w:w="2009" w:type="dxa"/>
            <w:shd w:val="clear" w:color="auto" w:fill="F2F2F2" w:themeFill="background1" w:themeFillShade="F2"/>
          </w:tcPr>
          <w:p w14:paraId="2402A7B2" w14:textId="77777777" w:rsidR="004D0DEA" w:rsidRPr="005668B1" w:rsidRDefault="004D0DEA" w:rsidP="00375F63">
            <w:pPr>
              <w:rPr>
                <w:rFonts w:cs="Arial"/>
                <w:szCs w:val="20"/>
              </w:rPr>
            </w:pPr>
            <w:r>
              <w:rPr>
                <w:rFonts w:cs="Arial"/>
                <w:szCs w:val="20"/>
              </w:rPr>
              <w:t>Development of form</w:t>
            </w:r>
          </w:p>
        </w:tc>
        <w:tc>
          <w:tcPr>
            <w:tcW w:w="1747" w:type="dxa"/>
            <w:shd w:val="clear" w:color="auto" w:fill="F2F2F2" w:themeFill="background1" w:themeFillShade="F2"/>
          </w:tcPr>
          <w:p w14:paraId="14E81EB3" w14:textId="77777777" w:rsidR="004D0DEA" w:rsidRPr="005668B1" w:rsidRDefault="004D0DEA" w:rsidP="00375F63">
            <w:pPr>
              <w:rPr>
                <w:rFonts w:cs="Arial"/>
                <w:szCs w:val="20"/>
              </w:rPr>
            </w:pPr>
            <w:r>
              <w:rPr>
                <w:rFonts w:cs="Arial"/>
                <w:szCs w:val="20"/>
              </w:rPr>
              <w:t>Customer self service</w:t>
            </w:r>
          </w:p>
        </w:tc>
        <w:tc>
          <w:tcPr>
            <w:tcW w:w="1273" w:type="dxa"/>
            <w:shd w:val="clear" w:color="auto" w:fill="F2F2F2" w:themeFill="background1" w:themeFillShade="F2"/>
          </w:tcPr>
          <w:p w14:paraId="27EE73FF" w14:textId="77777777" w:rsidR="004D0DEA" w:rsidRPr="005668B1" w:rsidRDefault="004D0DEA" w:rsidP="00375F63">
            <w:pPr>
              <w:rPr>
                <w:rFonts w:cs="Arial"/>
                <w:szCs w:val="20"/>
              </w:rPr>
            </w:pPr>
            <w:r>
              <w:rPr>
                <w:rFonts w:cs="Arial"/>
                <w:szCs w:val="20"/>
              </w:rPr>
              <w:t>Q4, 2016</w:t>
            </w:r>
          </w:p>
        </w:tc>
      </w:tr>
      <w:tr w:rsidR="004D0DEA" w:rsidRPr="005668B1" w14:paraId="47D57CB9" w14:textId="77777777" w:rsidTr="00375F63">
        <w:tc>
          <w:tcPr>
            <w:tcW w:w="2632" w:type="dxa"/>
          </w:tcPr>
          <w:p w14:paraId="42E3583A" w14:textId="77777777" w:rsidR="004D0DEA" w:rsidRPr="005668B1" w:rsidRDefault="004D0DEA" w:rsidP="0039046B">
            <w:pPr>
              <w:spacing w:after="120"/>
              <w:rPr>
                <w:rFonts w:cs="Arial"/>
                <w:szCs w:val="20"/>
              </w:rPr>
            </w:pPr>
            <w:r>
              <w:rPr>
                <w:rFonts w:cs="Arial"/>
                <w:szCs w:val="20"/>
              </w:rPr>
              <w:t>Apparatus licence application forms available to licensees</w:t>
            </w:r>
          </w:p>
        </w:tc>
        <w:tc>
          <w:tcPr>
            <w:tcW w:w="2009" w:type="dxa"/>
          </w:tcPr>
          <w:p w14:paraId="26BC7667" w14:textId="77777777" w:rsidR="004D0DEA" w:rsidRPr="005668B1" w:rsidRDefault="004D0DEA" w:rsidP="00375F63">
            <w:pPr>
              <w:rPr>
                <w:rFonts w:cs="Arial"/>
                <w:szCs w:val="20"/>
              </w:rPr>
            </w:pPr>
            <w:r>
              <w:rPr>
                <w:rFonts w:cs="Arial"/>
                <w:szCs w:val="20"/>
              </w:rPr>
              <w:t>Development of forms</w:t>
            </w:r>
          </w:p>
        </w:tc>
        <w:tc>
          <w:tcPr>
            <w:tcW w:w="1747" w:type="dxa"/>
          </w:tcPr>
          <w:p w14:paraId="271702EB" w14:textId="77777777" w:rsidR="004D0DEA" w:rsidRPr="005668B1" w:rsidRDefault="004D0DEA" w:rsidP="00375F63">
            <w:pPr>
              <w:rPr>
                <w:rFonts w:cs="Arial"/>
                <w:szCs w:val="20"/>
              </w:rPr>
            </w:pPr>
            <w:r>
              <w:rPr>
                <w:rFonts w:cs="Arial"/>
                <w:szCs w:val="20"/>
              </w:rPr>
              <w:t>Customer self service</w:t>
            </w:r>
          </w:p>
        </w:tc>
        <w:tc>
          <w:tcPr>
            <w:tcW w:w="1273" w:type="dxa"/>
          </w:tcPr>
          <w:p w14:paraId="38D7BF5F" w14:textId="77777777" w:rsidR="004D0DEA" w:rsidRPr="005668B1" w:rsidRDefault="004D0DEA" w:rsidP="00375F63">
            <w:pPr>
              <w:rPr>
                <w:rFonts w:cs="Arial"/>
                <w:szCs w:val="20"/>
              </w:rPr>
            </w:pPr>
            <w:r>
              <w:rPr>
                <w:rFonts w:cs="Arial"/>
                <w:szCs w:val="20"/>
              </w:rPr>
              <w:t>Q1, 2017</w:t>
            </w:r>
          </w:p>
        </w:tc>
      </w:tr>
    </w:tbl>
    <w:p w14:paraId="641E9D8C" w14:textId="77777777" w:rsidR="004D0DEA" w:rsidRPr="005668B1" w:rsidRDefault="004D0DEA" w:rsidP="004D0DEA">
      <w:pPr>
        <w:pStyle w:val="ACMASpaceaftertable"/>
      </w:pPr>
    </w:p>
    <w:p w14:paraId="058EE39F" w14:textId="77777777" w:rsidR="004D0DEA" w:rsidRDefault="004D0DEA" w:rsidP="004D0DEA">
      <w:pPr>
        <w:pStyle w:val="Heading2"/>
        <w:spacing w:before="60" w:after="120"/>
        <w:rPr>
          <w:lang w:val="en-US"/>
        </w:rPr>
      </w:pPr>
      <w:bookmarkStart w:id="300" w:name="_Toc455579222"/>
      <w:bookmarkStart w:id="301" w:name="_Toc456616636"/>
      <w:bookmarkStart w:id="302" w:name="_Toc458084563"/>
      <w:bookmarkStart w:id="303" w:name="_Toc458608700"/>
      <w:bookmarkStart w:id="304" w:name="_Toc461108010"/>
      <w:bookmarkStart w:id="305" w:name="_Toc461194837"/>
      <w:bookmarkStart w:id="306" w:name="_Toc461445488"/>
      <w:bookmarkStart w:id="307" w:name="_Toc463351325"/>
      <w:r w:rsidRPr="00126974">
        <w:rPr>
          <w:lang w:val="en-US"/>
        </w:rPr>
        <w:t>Theme</w:t>
      </w:r>
      <w:r>
        <w:rPr>
          <w:lang w:val="en-US"/>
        </w:rPr>
        <w:t>—Implementing reform priorities</w:t>
      </w:r>
      <w:bookmarkEnd w:id="296"/>
      <w:bookmarkEnd w:id="297"/>
      <w:bookmarkEnd w:id="298"/>
      <w:bookmarkEnd w:id="299"/>
      <w:bookmarkEnd w:id="300"/>
      <w:bookmarkEnd w:id="301"/>
      <w:bookmarkEnd w:id="302"/>
      <w:bookmarkEnd w:id="303"/>
      <w:bookmarkEnd w:id="304"/>
      <w:bookmarkEnd w:id="305"/>
      <w:bookmarkEnd w:id="306"/>
      <w:bookmarkEnd w:id="307"/>
    </w:p>
    <w:p w14:paraId="55BF037B" w14:textId="77777777" w:rsidR="004D0DEA" w:rsidRDefault="004D0DEA" w:rsidP="004D0DEA">
      <w:pPr>
        <w:pStyle w:val="Heading3"/>
        <w:rPr>
          <w:lang w:val="en-US"/>
        </w:rPr>
      </w:pPr>
      <w:bookmarkStart w:id="308" w:name="_Toc421196917"/>
      <w:bookmarkStart w:id="309" w:name="_Toc421626783"/>
      <w:bookmarkStart w:id="310" w:name="_Toc422405899"/>
      <w:bookmarkStart w:id="311" w:name="_Toc425954307"/>
      <w:bookmarkStart w:id="312" w:name="_Toc455579223"/>
      <w:bookmarkStart w:id="313" w:name="_Toc456616637"/>
      <w:bookmarkStart w:id="314" w:name="_Toc458084564"/>
      <w:bookmarkStart w:id="315" w:name="_Toc458608701"/>
      <w:bookmarkStart w:id="316" w:name="_Toc461108011"/>
      <w:bookmarkStart w:id="317" w:name="_Toc461194838"/>
      <w:bookmarkStart w:id="318" w:name="_Toc461445489"/>
      <w:bookmarkStart w:id="319" w:name="_Toc463351326"/>
      <w:r>
        <w:rPr>
          <w:lang w:val="en-US"/>
        </w:rPr>
        <w:t>Spectrum Review</w:t>
      </w:r>
      <w:bookmarkEnd w:id="308"/>
      <w:bookmarkEnd w:id="309"/>
      <w:bookmarkEnd w:id="310"/>
      <w:bookmarkEnd w:id="311"/>
      <w:r>
        <w:rPr>
          <w:lang w:val="en-US"/>
        </w:rPr>
        <w:t xml:space="preserve"> implementation</w:t>
      </w:r>
      <w:bookmarkEnd w:id="312"/>
      <w:bookmarkEnd w:id="313"/>
      <w:bookmarkEnd w:id="314"/>
      <w:bookmarkEnd w:id="315"/>
      <w:bookmarkEnd w:id="316"/>
      <w:bookmarkEnd w:id="317"/>
      <w:bookmarkEnd w:id="318"/>
      <w:bookmarkEnd w:id="319"/>
    </w:p>
    <w:p w14:paraId="1BF572C8" w14:textId="77777777" w:rsidR="004D0DEA" w:rsidRPr="00522FDE" w:rsidRDefault="004D0DEA" w:rsidP="004D0DEA">
      <w:pPr>
        <w:pStyle w:val="BodySubHeader"/>
      </w:pPr>
      <w:bookmarkStart w:id="320" w:name="_Toc421196918"/>
      <w:bookmarkStart w:id="321" w:name="_Toc421626784"/>
      <w:bookmarkStart w:id="322" w:name="_Toc422405900"/>
      <w:bookmarkStart w:id="323" w:name="_Toc425954308"/>
      <w:bookmarkStart w:id="324" w:name="_Toc455579224"/>
      <w:bookmarkStart w:id="325" w:name="_Toc456616638"/>
      <w:bookmarkStart w:id="326" w:name="_Toc458084565"/>
      <w:r w:rsidRPr="00522FDE">
        <w:t>Background</w:t>
      </w:r>
    </w:p>
    <w:p w14:paraId="3241281E" w14:textId="77777777" w:rsidR="004D0DEA" w:rsidRPr="00742F1B" w:rsidRDefault="004D0DEA" w:rsidP="004D0DEA">
      <w:pPr>
        <w:rPr>
          <w:rFonts w:cs="Arial"/>
          <w:szCs w:val="20"/>
        </w:rPr>
      </w:pPr>
      <w:bookmarkStart w:id="327" w:name="_Toc458608702"/>
      <w:r w:rsidRPr="00490CF2">
        <w:rPr>
          <w:rFonts w:cs="Arial"/>
          <w:szCs w:val="20"/>
        </w:rPr>
        <w:t xml:space="preserve">The government’s </w:t>
      </w:r>
      <w:r>
        <w:rPr>
          <w:rFonts w:cs="Arial"/>
          <w:szCs w:val="20"/>
        </w:rPr>
        <w:t>S</w:t>
      </w:r>
      <w:r w:rsidRPr="00490CF2">
        <w:rPr>
          <w:rFonts w:cs="Arial"/>
          <w:szCs w:val="20"/>
        </w:rPr>
        <w:t xml:space="preserve">pectrum </w:t>
      </w:r>
      <w:r>
        <w:rPr>
          <w:rFonts w:cs="Arial"/>
          <w:szCs w:val="20"/>
        </w:rPr>
        <w:t>R</w:t>
      </w:r>
      <w:r w:rsidRPr="00490CF2">
        <w:rPr>
          <w:rFonts w:cs="Arial"/>
          <w:szCs w:val="20"/>
        </w:rPr>
        <w:t xml:space="preserve">eview found that </w:t>
      </w:r>
      <w:r w:rsidRPr="00742F1B">
        <w:rPr>
          <w:rFonts w:cs="Arial"/>
          <w:szCs w:val="20"/>
        </w:rPr>
        <w:t>a more flexible approach to spectrum management is necessary to meet the challenges of evolving technology and increasing demand for spectrum access. The review also found current administrative arrangements are complex and impose unnecessary costs on users.</w:t>
      </w:r>
    </w:p>
    <w:p w14:paraId="08ACC8FD" w14:textId="77777777" w:rsidR="004D0DEA" w:rsidRPr="00742F1B" w:rsidRDefault="004D0DEA" w:rsidP="004D0DEA">
      <w:r w:rsidRPr="00490CF2">
        <w:t>The government has agreed to implement</w:t>
      </w:r>
      <w:r>
        <w:t xml:space="preserve"> the</w:t>
      </w:r>
      <w:r w:rsidRPr="00490CF2">
        <w:t xml:space="preserve"> three main recommendations made by the </w:t>
      </w:r>
      <w:r>
        <w:t>S</w:t>
      </w:r>
      <w:r w:rsidRPr="00490CF2">
        <w:t xml:space="preserve">pectrum </w:t>
      </w:r>
      <w:r>
        <w:t>R</w:t>
      </w:r>
      <w:r w:rsidRPr="00490CF2">
        <w:t xml:space="preserve">eview. </w:t>
      </w:r>
    </w:p>
    <w:p w14:paraId="67A74D54" w14:textId="77777777" w:rsidR="004D0DEA" w:rsidRPr="00A55DD5" w:rsidRDefault="004D0DEA" w:rsidP="004D0DEA">
      <w:pPr>
        <w:pStyle w:val="BodySubHeader"/>
      </w:pPr>
      <w:r w:rsidRPr="00742F1B">
        <w:t>P</w:t>
      </w:r>
      <w:r w:rsidRPr="00A55DD5">
        <w:t>roject phase</w:t>
      </w:r>
    </w:p>
    <w:p w14:paraId="184E6AEE" w14:textId="77777777" w:rsidR="004D0DEA" w:rsidRPr="00742F1B" w:rsidRDefault="004D0DEA" w:rsidP="004D0DEA">
      <w:pPr>
        <w:rPr>
          <w:rFonts w:eastAsiaTheme="majorEastAsia" w:cs="Arial"/>
          <w:szCs w:val="20"/>
        </w:rPr>
      </w:pPr>
      <w:r w:rsidRPr="00490CF2">
        <w:rPr>
          <w:rFonts w:eastAsiaTheme="majorEastAsia" w:cs="Arial"/>
          <w:szCs w:val="20"/>
        </w:rPr>
        <w:t xml:space="preserve">The </w:t>
      </w:r>
      <w:r>
        <w:rPr>
          <w:rFonts w:eastAsiaTheme="majorEastAsia" w:cs="Arial"/>
          <w:szCs w:val="20"/>
        </w:rPr>
        <w:t>g</w:t>
      </w:r>
      <w:r w:rsidRPr="00490CF2">
        <w:rPr>
          <w:rFonts w:eastAsiaTheme="majorEastAsia" w:cs="Arial"/>
          <w:szCs w:val="20"/>
        </w:rPr>
        <w:t xml:space="preserve">overnment is currently implementing the </w:t>
      </w:r>
      <w:r>
        <w:rPr>
          <w:rFonts w:eastAsiaTheme="majorEastAsia" w:cs="Arial"/>
          <w:szCs w:val="20"/>
        </w:rPr>
        <w:t>S</w:t>
      </w:r>
      <w:r w:rsidRPr="00490CF2">
        <w:rPr>
          <w:rFonts w:eastAsiaTheme="majorEastAsia" w:cs="Arial"/>
          <w:szCs w:val="20"/>
        </w:rPr>
        <w:t xml:space="preserve">pectrum </w:t>
      </w:r>
      <w:r>
        <w:rPr>
          <w:rFonts w:eastAsiaTheme="majorEastAsia" w:cs="Arial"/>
          <w:szCs w:val="20"/>
        </w:rPr>
        <w:t>R</w:t>
      </w:r>
      <w:r w:rsidRPr="00490CF2">
        <w:rPr>
          <w:rFonts w:eastAsiaTheme="majorEastAsia" w:cs="Arial"/>
          <w:szCs w:val="20"/>
        </w:rPr>
        <w:t xml:space="preserve">eview recommendations in close consultation with the ACMA. On 10 March 2016, the </w:t>
      </w:r>
      <w:r>
        <w:rPr>
          <w:rFonts w:eastAsiaTheme="majorEastAsia" w:cs="Arial"/>
          <w:szCs w:val="20"/>
        </w:rPr>
        <w:t>g</w:t>
      </w:r>
      <w:r w:rsidRPr="00490CF2">
        <w:rPr>
          <w:rFonts w:eastAsiaTheme="majorEastAsia" w:cs="Arial"/>
          <w:szCs w:val="20"/>
        </w:rPr>
        <w:t xml:space="preserve">overnment released a Legislative Proposals </w:t>
      </w:r>
      <w:r>
        <w:rPr>
          <w:rFonts w:eastAsiaTheme="majorEastAsia" w:cs="Arial"/>
          <w:szCs w:val="20"/>
        </w:rPr>
        <w:t>c</w:t>
      </w:r>
      <w:r w:rsidRPr="00490CF2">
        <w:rPr>
          <w:rFonts w:eastAsiaTheme="majorEastAsia" w:cs="Arial"/>
          <w:szCs w:val="20"/>
        </w:rPr>
        <w:t xml:space="preserve">onsultation </w:t>
      </w:r>
      <w:r>
        <w:rPr>
          <w:rFonts w:eastAsiaTheme="majorEastAsia" w:cs="Arial"/>
          <w:szCs w:val="20"/>
        </w:rPr>
        <w:t>p</w:t>
      </w:r>
      <w:r w:rsidRPr="00490CF2">
        <w:rPr>
          <w:rFonts w:eastAsiaTheme="majorEastAsia" w:cs="Arial"/>
          <w:szCs w:val="20"/>
        </w:rPr>
        <w:t>aper on the proposed approach to drafting key provisions in a new Radiocommunications Act.</w:t>
      </w:r>
      <w:r w:rsidRPr="00742F1B">
        <w:rPr>
          <w:rFonts w:eastAsiaTheme="majorEastAsia" w:cs="Arial"/>
          <w:szCs w:val="20"/>
        </w:rPr>
        <w:t xml:space="preserve"> </w:t>
      </w:r>
      <w:r>
        <w:rPr>
          <w:rFonts w:eastAsiaTheme="majorEastAsia" w:cs="Arial"/>
          <w:szCs w:val="20"/>
        </w:rPr>
        <w:t>DoCA</w:t>
      </w:r>
      <w:r w:rsidRPr="00742F1B">
        <w:rPr>
          <w:rFonts w:eastAsiaTheme="majorEastAsia" w:cs="Arial"/>
          <w:szCs w:val="20"/>
        </w:rPr>
        <w:t xml:space="preserve"> has also announced plans to review spectrum pricing and public spectrum holdings. </w:t>
      </w:r>
    </w:p>
    <w:p w14:paraId="1368F705" w14:textId="6C7207D7" w:rsidR="004D0DEA" w:rsidRDefault="004D0DEA" w:rsidP="004D0DEA">
      <w:pPr>
        <w:rPr>
          <w:rFonts w:eastAsiaTheme="majorEastAsia" w:cs="Arial"/>
          <w:szCs w:val="20"/>
        </w:rPr>
      </w:pPr>
      <w:r w:rsidRPr="00742F1B">
        <w:rPr>
          <w:rFonts w:eastAsiaTheme="majorEastAsia" w:cs="Arial"/>
          <w:szCs w:val="20"/>
        </w:rPr>
        <w:t xml:space="preserve">The ACMA expects the </w:t>
      </w:r>
      <w:r w:rsidR="00A839AF" w:rsidRPr="00742F1B">
        <w:rPr>
          <w:rFonts w:eastAsiaTheme="majorEastAsia" w:cs="Arial"/>
          <w:szCs w:val="20"/>
        </w:rPr>
        <w:t>implementa</w:t>
      </w:r>
      <w:r w:rsidR="00A839AF">
        <w:rPr>
          <w:rFonts w:eastAsiaTheme="majorEastAsia" w:cs="Arial"/>
          <w:szCs w:val="20"/>
        </w:rPr>
        <w:t>t</w:t>
      </w:r>
      <w:r w:rsidR="00A839AF" w:rsidRPr="00742F1B">
        <w:rPr>
          <w:rFonts w:eastAsiaTheme="majorEastAsia" w:cs="Arial"/>
          <w:szCs w:val="20"/>
        </w:rPr>
        <w:t>ion</w:t>
      </w:r>
      <w:r w:rsidR="0094720C">
        <w:rPr>
          <w:rFonts w:eastAsiaTheme="majorEastAsia" w:cs="Arial"/>
          <w:szCs w:val="20"/>
        </w:rPr>
        <w:t xml:space="preserve"> of</w:t>
      </w:r>
      <w:r w:rsidRPr="00742F1B">
        <w:rPr>
          <w:rFonts w:eastAsiaTheme="majorEastAsia" w:cs="Arial"/>
          <w:szCs w:val="20"/>
        </w:rPr>
        <w:t xml:space="preserve"> the new radiocommunications legislation</w:t>
      </w:r>
      <w:r w:rsidRPr="00182845">
        <w:rPr>
          <w:rFonts w:eastAsiaTheme="majorEastAsia" w:cs="Arial"/>
          <w:szCs w:val="20"/>
        </w:rPr>
        <w:t xml:space="preserve"> will be progressed over a number years, </w:t>
      </w:r>
      <w:r w:rsidR="0094720C">
        <w:rPr>
          <w:rFonts w:eastAsiaTheme="majorEastAsia" w:cs="Arial"/>
          <w:szCs w:val="20"/>
        </w:rPr>
        <w:t xml:space="preserve">ensuring an orderly </w:t>
      </w:r>
      <w:r w:rsidRPr="00182845">
        <w:rPr>
          <w:rFonts w:eastAsiaTheme="majorEastAsia" w:cs="Arial"/>
          <w:szCs w:val="20"/>
        </w:rPr>
        <w:t>transition</w:t>
      </w:r>
      <w:r w:rsidR="0094720C">
        <w:rPr>
          <w:rFonts w:eastAsiaTheme="majorEastAsia" w:cs="Arial"/>
          <w:szCs w:val="20"/>
        </w:rPr>
        <w:t xml:space="preserve"> to the new arrangements can be worked through with affected parties</w:t>
      </w:r>
      <w:r w:rsidRPr="00182845">
        <w:rPr>
          <w:rFonts w:eastAsiaTheme="majorEastAsia" w:cs="Arial"/>
          <w:szCs w:val="20"/>
        </w:rPr>
        <w:t xml:space="preserve">. </w:t>
      </w:r>
    </w:p>
    <w:p w14:paraId="3CD92407" w14:textId="77777777" w:rsidR="004D0DEA" w:rsidRPr="00182845" w:rsidRDefault="004D0DEA" w:rsidP="004D0DEA">
      <w:pPr>
        <w:pStyle w:val="BodySubHeader"/>
      </w:pPr>
      <w:r w:rsidRPr="00182845">
        <w:t xml:space="preserve">Impact of the </w:t>
      </w:r>
      <w:r>
        <w:t>S</w:t>
      </w:r>
      <w:r w:rsidRPr="00182845">
        <w:t xml:space="preserve">pectrum </w:t>
      </w:r>
      <w:r>
        <w:t>R</w:t>
      </w:r>
      <w:r w:rsidRPr="00182845">
        <w:t>eview on the ACMA’s work program</w:t>
      </w:r>
    </w:p>
    <w:p w14:paraId="7147F6A2" w14:textId="77777777" w:rsidR="004D0DEA" w:rsidRPr="00182845" w:rsidRDefault="004D0DEA" w:rsidP="004D0DEA">
      <w:pPr>
        <w:rPr>
          <w:rFonts w:eastAsiaTheme="majorEastAsia" w:cs="Arial"/>
          <w:szCs w:val="20"/>
        </w:rPr>
      </w:pPr>
      <w:r w:rsidRPr="00182845">
        <w:rPr>
          <w:rFonts w:eastAsiaTheme="majorEastAsia" w:cs="Arial"/>
          <w:szCs w:val="20"/>
        </w:rPr>
        <w:t xml:space="preserve">The </w:t>
      </w:r>
      <w:r>
        <w:rPr>
          <w:rFonts w:eastAsiaTheme="majorEastAsia" w:cs="Arial"/>
          <w:szCs w:val="20"/>
        </w:rPr>
        <w:t>S</w:t>
      </w:r>
      <w:r w:rsidRPr="00182845">
        <w:rPr>
          <w:rFonts w:eastAsiaTheme="majorEastAsia" w:cs="Arial"/>
          <w:szCs w:val="20"/>
        </w:rPr>
        <w:t xml:space="preserve">pectrum </w:t>
      </w:r>
      <w:r>
        <w:rPr>
          <w:rFonts w:eastAsiaTheme="majorEastAsia" w:cs="Arial"/>
          <w:szCs w:val="20"/>
        </w:rPr>
        <w:t>R</w:t>
      </w:r>
      <w:r w:rsidRPr="00182845">
        <w:rPr>
          <w:rFonts w:eastAsiaTheme="majorEastAsia" w:cs="Arial"/>
          <w:szCs w:val="20"/>
        </w:rPr>
        <w:t>eview reforms will have implications across the ACMA’s spectrum management functions, with changes expected in areas including licensing, pricing, compliance and enforcement, device supply schemes and management of broadcasting and public spectrum. It is also likely that the ACMA’s work program will be affected in ways that are not predictable at this point in time.</w:t>
      </w:r>
    </w:p>
    <w:p w14:paraId="70CD99BD" w14:textId="3CF6118D" w:rsidR="004D0DEA" w:rsidRPr="00182845" w:rsidRDefault="004D0DEA" w:rsidP="004D0DEA">
      <w:pPr>
        <w:rPr>
          <w:rFonts w:cs="Arial"/>
          <w:szCs w:val="20"/>
        </w:rPr>
      </w:pPr>
      <w:r w:rsidRPr="00182845">
        <w:rPr>
          <w:rFonts w:eastAsiaTheme="majorEastAsia" w:cs="Arial"/>
          <w:szCs w:val="20"/>
        </w:rPr>
        <w:t xml:space="preserve">Early on, the ACMA expects the main focus will be on implementing transitional arrangements and establishing </w:t>
      </w:r>
      <w:r w:rsidR="00F05197">
        <w:rPr>
          <w:rFonts w:eastAsiaTheme="majorEastAsia" w:cs="Arial"/>
          <w:szCs w:val="20"/>
        </w:rPr>
        <w:t>improved</w:t>
      </w:r>
      <w:r w:rsidR="00F05197" w:rsidRPr="00182845">
        <w:rPr>
          <w:rFonts w:eastAsiaTheme="majorEastAsia" w:cs="Arial"/>
          <w:szCs w:val="20"/>
        </w:rPr>
        <w:t xml:space="preserve"> </w:t>
      </w:r>
      <w:r w:rsidRPr="00182845">
        <w:rPr>
          <w:rFonts w:eastAsiaTheme="majorEastAsia" w:cs="Arial"/>
          <w:szCs w:val="20"/>
        </w:rPr>
        <w:t xml:space="preserve">systems for the licensing and allocation of spectrum, with other </w:t>
      </w:r>
      <w:r w:rsidR="00F05197">
        <w:rPr>
          <w:rFonts w:eastAsiaTheme="majorEastAsia" w:cs="Arial"/>
          <w:szCs w:val="20"/>
        </w:rPr>
        <w:t>activities</w:t>
      </w:r>
      <w:r w:rsidR="00F05197" w:rsidRPr="00182845">
        <w:rPr>
          <w:rFonts w:eastAsiaTheme="majorEastAsia" w:cs="Arial"/>
          <w:szCs w:val="20"/>
        </w:rPr>
        <w:t xml:space="preserve"> </w:t>
      </w:r>
      <w:r w:rsidRPr="00182845">
        <w:rPr>
          <w:rFonts w:eastAsiaTheme="majorEastAsia" w:cs="Arial"/>
          <w:szCs w:val="20"/>
        </w:rPr>
        <w:t>likely to include changes to pricing stemming from the</w:t>
      </w:r>
      <w:r w:rsidR="00F05197">
        <w:rPr>
          <w:rFonts w:eastAsiaTheme="majorEastAsia" w:cs="Arial"/>
          <w:szCs w:val="20"/>
        </w:rPr>
        <w:t xml:space="preserve"> government’s spectrum</w:t>
      </w:r>
      <w:r w:rsidRPr="00182845">
        <w:rPr>
          <w:rFonts w:eastAsiaTheme="majorEastAsia" w:cs="Arial"/>
          <w:szCs w:val="20"/>
        </w:rPr>
        <w:t xml:space="preserve"> pricing review, the introduction of new graduated compliance and enforcement measures and more streamlined equipment rules. As experience with the new framework grows, the ACMA expects to facilitate further opportunities for reform; for example, for spectrum users to be more involved in spectrum management. The review suggests developments such as these will be achieved through greater use of market principles and mechanisms in spectrum management.</w:t>
      </w:r>
      <w:r w:rsidRPr="00182845" w:rsidDel="00BF6F13">
        <w:rPr>
          <w:rFonts w:eastAsiaTheme="majorEastAsia" w:cs="Arial"/>
          <w:szCs w:val="20"/>
        </w:rPr>
        <w:t xml:space="preserve"> </w:t>
      </w:r>
    </w:p>
    <w:p w14:paraId="1A8FCF4A" w14:textId="77777777" w:rsidR="004D0DEA" w:rsidRPr="00522FDE" w:rsidRDefault="004D0DEA" w:rsidP="004D0DEA">
      <w:pPr>
        <w:pStyle w:val="BodySubHeader"/>
      </w:pPr>
      <w:r w:rsidRPr="00522FDE">
        <w:t>Actions</w:t>
      </w:r>
    </w:p>
    <w:p w14:paraId="1A100574" w14:textId="77777777" w:rsidR="004D0DEA" w:rsidRPr="00522FDE" w:rsidRDefault="004D0DEA" w:rsidP="004D0DEA">
      <w:pPr>
        <w:spacing w:after="80"/>
        <w:rPr>
          <w:rFonts w:eastAsiaTheme="majorEastAsia"/>
        </w:rPr>
      </w:pPr>
      <w:r>
        <w:rPr>
          <w:rFonts w:eastAsiaTheme="majorEastAsia"/>
        </w:rPr>
        <w:t>The ACMA’s</w:t>
      </w:r>
      <w:r w:rsidRPr="00522FDE">
        <w:rPr>
          <w:rFonts w:eastAsiaTheme="majorEastAsia"/>
        </w:rPr>
        <w:t xml:space="preserve"> planning and timetabling </w:t>
      </w:r>
      <w:r>
        <w:rPr>
          <w:rFonts w:eastAsiaTheme="majorEastAsia"/>
        </w:rPr>
        <w:t xml:space="preserve">of </w:t>
      </w:r>
      <w:r w:rsidRPr="00522FDE">
        <w:rPr>
          <w:rFonts w:eastAsiaTheme="majorEastAsia"/>
        </w:rPr>
        <w:t>the work invol</w:t>
      </w:r>
      <w:r>
        <w:rPr>
          <w:rFonts w:eastAsiaTheme="majorEastAsia"/>
        </w:rPr>
        <w:t>ved in implementing the reforms will reflect the scheduling and outcomes of related processes, including:</w:t>
      </w:r>
    </w:p>
    <w:p w14:paraId="73ADF620" w14:textId="77777777" w:rsidR="004D0DEA" w:rsidRPr="00933B36" w:rsidRDefault="004D0DEA" w:rsidP="004D0DEA">
      <w:pPr>
        <w:pStyle w:val="ListBullet"/>
        <w:rPr>
          <w:rFonts w:eastAsiaTheme="minorHAnsi"/>
        </w:rPr>
      </w:pPr>
      <w:r>
        <w:rPr>
          <w:rFonts w:eastAsiaTheme="minorHAnsi"/>
        </w:rPr>
        <w:t>t</w:t>
      </w:r>
      <w:r w:rsidRPr="00933B36">
        <w:rPr>
          <w:rFonts w:eastAsiaTheme="minorHAnsi"/>
        </w:rPr>
        <w:t>he drafting of the new Radiocommunications Bill (and related transitional provisions)</w:t>
      </w:r>
    </w:p>
    <w:p w14:paraId="73C8124C" w14:textId="77777777" w:rsidR="004D0DEA" w:rsidRPr="00933B36" w:rsidRDefault="004D0DEA" w:rsidP="004D0DEA">
      <w:pPr>
        <w:pStyle w:val="ListBullet"/>
        <w:rPr>
          <w:rFonts w:eastAsiaTheme="minorHAnsi"/>
        </w:rPr>
      </w:pPr>
      <w:r>
        <w:rPr>
          <w:rFonts w:eastAsiaTheme="minorHAnsi"/>
        </w:rPr>
        <w:t>t</w:t>
      </w:r>
      <w:r w:rsidRPr="00933B36">
        <w:rPr>
          <w:rFonts w:eastAsiaTheme="minorHAnsi"/>
        </w:rPr>
        <w:t>he spectrum pricing review</w:t>
      </w:r>
    </w:p>
    <w:p w14:paraId="5D72E45F" w14:textId="77777777" w:rsidR="004D0DEA" w:rsidRPr="00933B36" w:rsidRDefault="004D0DEA" w:rsidP="004D0DEA">
      <w:pPr>
        <w:pStyle w:val="ListBullet"/>
        <w:rPr>
          <w:rFonts w:eastAsiaTheme="minorHAnsi"/>
        </w:rPr>
      </w:pPr>
      <w:r>
        <w:rPr>
          <w:rFonts w:eastAsiaTheme="minorHAnsi"/>
        </w:rPr>
        <w:t>t</w:t>
      </w:r>
      <w:r w:rsidRPr="00933B36">
        <w:rPr>
          <w:rFonts w:eastAsiaTheme="minorHAnsi"/>
        </w:rPr>
        <w:t>he review of government spectrum holdings</w:t>
      </w:r>
    </w:p>
    <w:p w14:paraId="1BAFE69B" w14:textId="77777777" w:rsidR="004D0DEA" w:rsidRPr="00FF1AAB" w:rsidRDefault="004D0DEA" w:rsidP="004D0DEA">
      <w:pPr>
        <w:pStyle w:val="ListBullet"/>
        <w:rPr>
          <w:rFonts w:eastAsiaTheme="majorEastAsia"/>
        </w:rPr>
      </w:pPr>
      <w:r>
        <w:rPr>
          <w:rFonts w:eastAsiaTheme="majorEastAsia"/>
        </w:rPr>
        <w:t>t</w:t>
      </w:r>
      <w:r w:rsidRPr="00933B36">
        <w:rPr>
          <w:rFonts w:eastAsiaTheme="majorEastAsia"/>
        </w:rPr>
        <w:t xml:space="preserve">he drafting of </w:t>
      </w:r>
      <w:r>
        <w:rPr>
          <w:rFonts w:eastAsiaTheme="majorEastAsia"/>
        </w:rPr>
        <w:t>m</w:t>
      </w:r>
      <w:r w:rsidRPr="00933B36">
        <w:rPr>
          <w:rFonts w:eastAsiaTheme="majorEastAsia"/>
        </w:rPr>
        <w:t>inisterial policy statements identifying the government’s strategic priorities for certain aspects</w:t>
      </w:r>
      <w:r w:rsidRPr="00522FDE">
        <w:rPr>
          <w:rFonts w:eastAsiaTheme="majorEastAsia"/>
        </w:rPr>
        <w:t xml:space="preserve"> of spectrum </w:t>
      </w:r>
      <w:r>
        <w:rPr>
          <w:rFonts w:eastAsiaTheme="majorEastAsia"/>
        </w:rPr>
        <w:t>management</w:t>
      </w:r>
    </w:p>
    <w:p w14:paraId="462E96D5" w14:textId="77777777" w:rsidR="004D0DEA" w:rsidRPr="00522FDE" w:rsidRDefault="004D0DEA" w:rsidP="004D0DEA">
      <w:pPr>
        <w:pStyle w:val="ListBulletLast"/>
        <w:rPr>
          <w:rFonts w:eastAsiaTheme="majorEastAsia"/>
        </w:rPr>
      </w:pPr>
      <w:r>
        <w:rPr>
          <w:rFonts w:eastAsiaTheme="majorEastAsia"/>
        </w:rPr>
        <w:t>stakeholder consultation.</w:t>
      </w:r>
    </w:p>
    <w:p w14:paraId="045D5102" w14:textId="77777777" w:rsidR="004D0DEA" w:rsidRPr="00522FDE" w:rsidRDefault="004D0DEA" w:rsidP="004D0DEA">
      <w:pPr>
        <w:rPr>
          <w:rFonts w:eastAsiaTheme="majorEastAsia"/>
        </w:rPr>
      </w:pPr>
      <w:r>
        <w:rPr>
          <w:rFonts w:eastAsiaTheme="majorEastAsia"/>
        </w:rPr>
        <w:t xml:space="preserve">The ACMA will be responsible for developing and administering the arrangements for spectrum management under the new Act. Initially, this will involve giving practical effect to transitional provisions intended to provide certainty and predictability in relation to existing licences and licensing processes underway at the time the new legislation comes into effect. </w:t>
      </w:r>
    </w:p>
    <w:p w14:paraId="0AF97539" w14:textId="77777777" w:rsidR="004D0DEA" w:rsidRDefault="004D0DEA" w:rsidP="004D0DEA">
      <w:pPr>
        <w:rPr>
          <w:rFonts w:eastAsiaTheme="majorEastAsia"/>
        </w:rPr>
      </w:pPr>
      <w:r>
        <w:rPr>
          <w:rFonts w:eastAsiaTheme="majorEastAsia"/>
        </w:rPr>
        <w:t>The ACMA’s</w:t>
      </w:r>
      <w:r w:rsidRPr="00522FDE">
        <w:rPr>
          <w:rFonts w:eastAsiaTheme="majorEastAsia"/>
        </w:rPr>
        <w:t xml:space="preserve"> work plan for </w:t>
      </w:r>
      <w:r>
        <w:rPr>
          <w:rFonts w:eastAsiaTheme="majorEastAsia"/>
        </w:rPr>
        <w:t>implementing</w:t>
      </w:r>
      <w:r w:rsidRPr="00522FDE">
        <w:rPr>
          <w:rFonts w:eastAsiaTheme="majorEastAsia"/>
        </w:rPr>
        <w:t xml:space="preserve"> the reforms </w:t>
      </w:r>
      <w:r>
        <w:rPr>
          <w:rFonts w:eastAsiaTheme="majorEastAsia"/>
        </w:rPr>
        <w:t>will be developed in close consultation with stakeholders</w:t>
      </w:r>
      <w:r w:rsidRPr="00522FDE">
        <w:rPr>
          <w:rFonts w:eastAsiaTheme="majorEastAsia"/>
        </w:rPr>
        <w:t xml:space="preserve">. </w:t>
      </w:r>
      <w:r>
        <w:rPr>
          <w:rFonts w:eastAsiaTheme="majorEastAsia"/>
        </w:rPr>
        <w:t xml:space="preserve">The Spectrum Review recommends that the ACMA produce an annual work program </w:t>
      </w:r>
      <w:r>
        <w:t>clearly setting out its priorities for spectrum management over three to five years, with a focus on the upcoming 12 months. A draft ACMA annual work plan is expected to be released for public consultation during the transition to the new Act, outlining much of the work to operationalise the new legislation over the following years</w:t>
      </w:r>
      <w:r w:rsidRPr="00522FDE">
        <w:rPr>
          <w:rFonts w:eastAsiaTheme="majorEastAsia"/>
        </w:rPr>
        <w:t>.</w:t>
      </w:r>
    </w:p>
    <w:p w14:paraId="1F12C7BA" w14:textId="77777777" w:rsidR="004D0DEA" w:rsidRPr="00522FDE" w:rsidRDefault="004D0DEA" w:rsidP="004D0DEA">
      <w:pPr>
        <w:pStyle w:val="BodySubHeader"/>
      </w:pPr>
      <w:r w:rsidRPr="00522FDE">
        <w:t>Project timing</w:t>
      </w:r>
    </w:p>
    <w:p w14:paraId="2E84F101" w14:textId="30E95A6A" w:rsidR="004D0DEA" w:rsidRDefault="004D0DEA" w:rsidP="004D0DEA">
      <w:pPr>
        <w:rPr>
          <w:rFonts w:eastAsiaTheme="majorEastAsia" w:cs="Arial"/>
        </w:rPr>
      </w:pPr>
      <w:r w:rsidRPr="00522FDE">
        <w:rPr>
          <w:rFonts w:eastAsiaTheme="majorEastAsia" w:cs="Arial"/>
        </w:rPr>
        <w:t xml:space="preserve">The ACMA expects </w:t>
      </w:r>
      <w:r>
        <w:rPr>
          <w:rFonts w:eastAsiaTheme="majorEastAsia" w:cs="Arial"/>
        </w:rPr>
        <w:t>the</w:t>
      </w:r>
      <w:r w:rsidRPr="00522FDE">
        <w:rPr>
          <w:rFonts w:eastAsiaTheme="majorEastAsia" w:cs="Arial"/>
        </w:rPr>
        <w:t xml:space="preserve"> work </w:t>
      </w:r>
      <w:r>
        <w:rPr>
          <w:rFonts w:eastAsiaTheme="majorEastAsia" w:cs="Arial"/>
        </w:rPr>
        <w:t xml:space="preserve">of implementing the new radiocommunications legislation </w:t>
      </w:r>
      <w:r w:rsidRPr="00522FDE">
        <w:rPr>
          <w:rFonts w:eastAsiaTheme="majorEastAsia" w:cs="Arial"/>
        </w:rPr>
        <w:t xml:space="preserve">will be progressed over a number years. </w:t>
      </w:r>
    </w:p>
    <w:p w14:paraId="3D1E8350" w14:textId="77777777" w:rsidR="004D0DEA" w:rsidRPr="004D0DEA" w:rsidRDefault="004D0DEA" w:rsidP="00A839AF">
      <w:pPr>
        <w:keepNext/>
        <w:numPr>
          <w:ilvl w:val="0"/>
          <w:numId w:val="27"/>
        </w:numPr>
        <w:spacing w:after="160" w:line="240" w:lineRule="auto"/>
        <w:rPr>
          <w:b/>
        </w:rPr>
      </w:pPr>
      <w:r w:rsidRPr="004D0DEA">
        <w:rPr>
          <w:b/>
        </w:rPr>
        <w:t>Next steps—Spectrum Review implementation</w:t>
      </w:r>
    </w:p>
    <w:tbl>
      <w:tblPr>
        <w:tblStyle w:val="TableGrid"/>
        <w:tblW w:w="9351" w:type="dxa"/>
        <w:tblLayout w:type="fixed"/>
        <w:tblCellMar>
          <w:top w:w="57" w:type="dxa"/>
          <w:left w:w="57" w:type="dxa"/>
          <w:bottom w:w="57" w:type="dxa"/>
          <w:right w:w="57" w:type="dxa"/>
        </w:tblCellMar>
        <w:tblLook w:val="04A0" w:firstRow="1" w:lastRow="0" w:firstColumn="1" w:lastColumn="0" w:noHBand="0" w:noVBand="1"/>
        <w:tblCaption w:val="Next steps—Spectrum Review implementation"/>
        <w:tblDescription w:val="Includes work task/activity, the stage/phase, project details and the indicative timing."/>
      </w:tblPr>
      <w:tblGrid>
        <w:gridCol w:w="2689"/>
        <w:gridCol w:w="2976"/>
        <w:gridCol w:w="2127"/>
        <w:gridCol w:w="1559"/>
      </w:tblGrid>
      <w:tr w:rsidR="004D0DEA" w:rsidRPr="005668B1" w14:paraId="3AF45E7F" w14:textId="77777777" w:rsidTr="0076286D">
        <w:trPr>
          <w:tblHeader/>
        </w:trPr>
        <w:tc>
          <w:tcPr>
            <w:tcW w:w="2689" w:type="dxa"/>
            <w:shd w:val="clear" w:color="auto" w:fill="404040" w:themeFill="text1" w:themeFillTint="BF"/>
          </w:tcPr>
          <w:p w14:paraId="56A066A2"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976" w:type="dxa"/>
            <w:shd w:val="clear" w:color="auto" w:fill="404040" w:themeFill="text1" w:themeFillTint="BF"/>
          </w:tcPr>
          <w:p w14:paraId="628E3522"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2127" w:type="dxa"/>
            <w:shd w:val="clear" w:color="auto" w:fill="404040" w:themeFill="text1" w:themeFillTint="BF"/>
          </w:tcPr>
          <w:p w14:paraId="049942DB"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559" w:type="dxa"/>
            <w:shd w:val="clear" w:color="auto" w:fill="404040" w:themeFill="text1" w:themeFillTint="BF"/>
          </w:tcPr>
          <w:p w14:paraId="06A67573"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5668B1" w14:paraId="347BA9BB" w14:textId="77777777" w:rsidTr="000C6823">
        <w:tc>
          <w:tcPr>
            <w:tcW w:w="2689" w:type="dxa"/>
          </w:tcPr>
          <w:p w14:paraId="4BD9FDEF" w14:textId="77777777" w:rsidR="004D0DEA" w:rsidRPr="005668B1" w:rsidRDefault="004D0DEA" w:rsidP="00A839AF">
            <w:pPr>
              <w:spacing w:after="120"/>
              <w:rPr>
                <w:rFonts w:cs="Arial"/>
                <w:b/>
                <w:szCs w:val="20"/>
              </w:rPr>
            </w:pPr>
            <w:r>
              <w:rPr>
                <w:szCs w:val="20"/>
              </w:rPr>
              <w:t>Working with DoCA on the draft Radiocommunications Bill </w:t>
            </w:r>
          </w:p>
        </w:tc>
        <w:tc>
          <w:tcPr>
            <w:tcW w:w="2976" w:type="dxa"/>
          </w:tcPr>
          <w:p w14:paraId="7892F4D0" w14:textId="691ABE86" w:rsidR="004D0DEA" w:rsidRPr="00A839AF" w:rsidRDefault="004D0DEA" w:rsidP="00A839AF">
            <w:pPr>
              <w:spacing w:after="120"/>
              <w:rPr>
                <w:szCs w:val="20"/>
              </w:rPr>
            </w:pPr>
            <w:r>
              <w:rPr>
                <w:szCs w:val="20"/>
              </w:rPr>
              <w:t>Minister to release exposure</w:t>
            </w:r>
            <w:r w:rsidR="006C391D">
              <w:rPr>
                <w:szCs w:val="20"/>
              </w:rPr>
              <w:t xml:space="preserve"> draft</w:t>
            </w:r>
            <w:r w:rsidR="00A839AF">
              <w:rPr>
                <w:szCs w:val="20"/>
              </w:rPr>
              <w:t xml:space="preserve"> Radiocommunications Bill</w:t>
            </w:r>
            <w:r>
              <w:rPr>
                <w:szCs w:val="20"/>
              </w:rPr>
              <w:t xml:space="preserve"> </w:t>
            </w:r>
          </w:p>
        </w:tc>
        <w:tc>
          <w:tcPr>
            <w:tcW w:w="2127" w:type="dxa"/>
          </w:tcPr>
          <w:p w14:paraId="38C6B850" w14:textId="77777777" w:rsidR="004D0DEA" w:rsidRPr="005668B1" w:rsidRDefault="004D0DEA" w:rsidP="00A839AF">
            <w:pPr>
              <w:spacing w:after="120"/>
              <w:rPr>
                <w:rFonts w:cs="Arial"/>
                <w:b/>
                <w:szCs w:val="20"/>
              </w:rPr>
            </w:pPr>
            <w:r>
              <w:rPr>
                <w:szCs w:val="20"/>
              </w:rPr>
              <w:t xml:space="preserve">New </w:t>
            </w:r>
            <w:r w:rsidR="000C6823">
              <w:rPr>
                <w:szCs w:val="20"/>
              </w:rPr>
              <w:t>Radiocommunications</w:t>
            </w:r>
            <w:r>
              <w:rPr>
                <w:szCs w:val="20"/>
              </w:rPr>
              <w:t xml:space="preserve"> Act</w:t>
            </w:r>
          </w:p>
        </w:tc>
        <w:tc>
          <w:tcPr>
            <w:tcW w:w="1559" w:type="dxa"/>
          </w:tcPr>
          <w:p w14:paraId="3A99AC81" w14:textId="6DA0F1B6" w:rsidR="004D0DEA" w:rsidRPr="00C02A6C" w:rsidRDefault="004D0DEA" w:rsidP="00A839AF">
            <w:pPr>
              <w:spacing w:after="120"/>
              <w:rPr>
                <w:rFonts w:cs="Arial"/>
                <w:szCs w:val="20"/>
              </w:rPr>
            </w:pPr>
            <w:r w:rsidRPr="00C02A6C">
              <w:rPr>
                <w:rFonts w:cs="Arial"/>
                <w:szCs w:val="20"/>
              </w:rPr>
              <w:t xml:space="preserve">In accordance with </w:t>
            </w:r>
            <w:r>
              <w:rPr>
                <w:rFonts w:cs="Arial"/>
                <w:szCs w:val="20"/>
              </w:rPr>
              <w:t xml:space="preserve">DoCA </w:t>
            </w:r>
            <w:r w:rsidR="006C391D">
              <w:rPr>
                <w:rFonts w:cs="Arial"/>
                <w:szCs w:val="20"/>
              </w:rPr>
              <w:t>timelines</w:t>
            </w:r>
          </w:p>
        </w:tc>
      </w:tr>
      <w:tr w:rsidR="004D0DEA" w:rsidRPr="005668B1" w14:paraId="525BC803" w14:textId="77777777" w:rsidTr="000C6823">
        <w:tc>
          <w:tcPr>
            <w:tcW w:w="2689" w:type="dxa"/>
            <w:shd w:val="clear" w:color="auto" w:fill="F2F2F2" w:themeFill="background1" w:themeFillShade="F2"/>
          </w:tcPr>
          <w:p w14:paraId="072B2EBF" w14:textId="77777777" w:rsidR="004D0DEA" w:rsidRPr="005668B1" w:rsidRDefault="004D0DEA" w:rsidP="00A839AF">
            <w:pPr>
              <w:spacing w:after="120"/>
              <w:rPr>
                <w:rFonts w:cs="Arial"/>
                <w:szCs w:val="20"/>
              </w:rPr>
            </w:pPr>
            <w:r>
              <w:rPr>
                <w:szCs w:val="20"/>
              </w:rPr>
              <w:t>Advice to department on associated reviews on pricing and Commonwealth holdings</w:t>
            </w:r>
          </w:p>
        </w:tc>
        <w:tc>
          <w:tcPr>
            <w:tcW w:w="2976" w:type="dxa"/>
            <w:shd w:val="clear" w:color="auto" w:fill="F2F2F2" w:themeFill="background1" w:themeFillShade="F2"/>
          </w:tcPr>
          <w:p w14:paraId="1EAD17A0" w14:textId="17C3AFF0" w:rsidR="004D0DEA" w:rsidRPr="005668B1" w:rsidRDefault="004D0DEA" w:rsidP="00375F63">
            <w:pPr>
              <w:spacing w:after="0"/>
              <w:rPr>
                <w:rFonts w:cs="Arial"/>
                <w:szCs w:val="20"/>
              </w:rPr>
            </w:pPr>
            <w:r>
              <w:rPr>
                <w:szCs w:val="20"/>
              </w:rPr>
              <w:t>Minister to report back to Cabinet on outcomes of pricing review, review of Commonwealth holdings</w:t>
            </w:r>
          </w:p>
        </w:tc>
        <w:tc>
          <w:tcPr>
            <w:tcW w:w="2127" w:type="dxa"/>
            <w:shd w:val="clear" w:color="auto" w:fill="F2F2F2" w:themeFill="background1" w:themeFillShade="F2"/>
          </w:tcPr>
          <w:p w14:paraId="71701E7A" w14:textId="05CF1469" w:rsidR="004D0DEA" w:rsidRPr="005668B1" w:rsidRDefault="004D0DEA" w:rsidP="00AA40EB">
            <w:pPr>
              <w:spacing w:after="120"/>
              <w:rPr>
                <w:rFonts w:cs="Arial"/>
                <w:szCs w:val="20"/>
              </w:rPr>
            </w:pPr>
            <w:r>
              <w:rPr>
                <w:szCs w:val="20"/>
              </w:rPr>
              <w:t xml:space="preserve">Departmental </w:t>
            </w:r>
            <w:r w:rsidR="006C391D">
              <w:rPr>
                <w:szCs w:val="20"/>
              </w:rPr>
              <w:t>r</w:t>
            </w:r>
            <w:r>
              <w:rPr>
                <w:szCs w:val="20"/>
              </w:rPr>
              <w:t>eviews</w:t>
            </w:r>
            <w:r w:rsidR="0081354C">
              <w:rPr>
                <w:szCs w:val="20"/>
              </w:rPr>
              <w:t xml:space="preserve"> of spectrum pricing and Commonwealth government spectrum</w:t>
            </w:r>
          </w:p>
        </w:tc>
        <w:tc>
          <w:tcPr>
            <w:tcW w:w="1559" w:type="dxa"/>
            <w:shd w:val="clear" w:color="auto" w:fill="F2F2F2" w:themeFill="background1" w:themeFillShade="F2"/>
          </w:tcPr>
          <w:p w14:paraId="754E27DA" w14:textId="77777777" w:rsidR="004D0DEA" w:rsidRPr="005668B1" w:rsidRDefault="004D0DEA" w:rsidP="00375F63">
            <w:pPr>
              <w:spacing w:after="0"/>
              <w:rPr>
                <w:rFonts w:cs="Arial"/>
                <w:szCs w:val="20"/>
              </w:rPr>
            </w:pPr>
            <w:r>
              <w:rPr>
                <w:szCs w:val="20"/>
              </w:rPr>
              <w:t>In accordance with DoCA timelines</w:t>
            </w:r>
          </w:p>
        </w:tc>
      </w:tr>
      <w:tr w:rsidR="004D0DEA" w:rsidRPr="005668B1" w14:paraId="671702C4" w14:textId="77777777" w:rsidTr="000C6823">
        <w:trPr>
          <w:trHeight w:val="1078"/>
        </w:trPr>
        <w:tc>
          <w:tcPr>
            <w:tcW w:w="2689" w:type="dxa"/>
          </w:tcPr>
          <w:p w14:paraId="2614F1A2" w14:textId="77777777" w:rsidR="004D0DEA" w:rsidRPr="00640857" w:rsidRDefault="004D0DEA" w:rsidP="00375F63">
            <w:pPr>
              <w:spacing w:after="0"/>
              <w:rPr>
                <w:rFonts w:ascii="Calibri" w:hAnsi="Calibri"/>
                <w:szCs w:val="20"/>
              </w:rPr>
            </w:pPr>
            <w:r>
              <w:rPr>
                <w:szCs w:val="20"/>
              </w:rPr>
              <w:t>Planning for anticipated ACMA Spectrum Review implementation program</w:t>
            </w:r>
          </w:p>
        </w:tc>
        <w:tc>
          <w:tcPr>
            <w:tcW w:w="2976" w:type="dxa"/>
          </w:tcPr>
          <w:p w14:paraId="0C86A5D4" w14:textId="77777777" w:rsidR="004D0DEA" w:rsidRPr="005668B1" w:rsidRDefault="004D0DEA" w:rsidP="00375F63">
            <w:pPr>
              <w:rPr>
                <w:rFonts w:cs="Arial"/>
                <w:szCs w:val="20"/>
              </w:rPr>
            </w:pPr>
            <w:r>
              <w:rPr>
                <w:szCs w:val="20"/>
              </w:rPr>
              <w:t>Program identification</w:t>
            </w:r>
          </w:p>
        </w:tc>
        <w:tc>
          <w:tcPr>
            <w:tcW w:w="2127" w:type="dxa"/>
          </w:tcPr>
          <w:p w14:paraId="24945E8E" w14:textId="77777777" w:rsidR="004D0DEA" w:rsidRPr="005668B1" w:rsidRDefault="004D0DEA" w:rsidP="00A839AF">
            <w:pPr>
              <w:spacing w:after="120"/>
              <w:rPr>
                <w:rFonts w:cs="Arial"/>
                <w:szCs w:val="20"/>
              </w:rPr>
            </w:pPr>
            <w:r>
              <w:rPr>
                <w:szCs w:val="20"/>
              </w:rPr>
              <w:t>ACMA Spectrum Review implementation program</w:t>
            </w:r>
          </w:p>
        </w:tc>
        <w:tc>
          <w:tcPr>
            <w:tcW w:w="1559" w:type="dxa"/>
          </w:tcPr>
          <w:p w14:paraId="6AFC2B53" w14:textId="77777777" w:rsidR="004D0DEA" w:rsidRPr="005668B1" w:rsidRDefault="004D0DEA" w:rsidP="00375F63">
            <w:pPr>
              <w:rPr>
                <w:rFonts w:cs="Arial"/>
                <w:szCs w:val="20"/>
              </w:rPr>
            </w:pPr>
            <w:r>
              <w:rPr>
                <w:szCs w:val="20"/>
              </w:rPr>
              <w:t>Ongoing</w:t>
            </w:r>
          </w:p>
        </w:tc>
      </w:tr>
    </w:tbl>
    <w:p w14:paraId="78D1FD87" w14:textId="77777777" w:rsidR="004D0DEA" w:rsidRDefault="004D0DEA" w:rsidP="004D0DEA">
      <w:pPr>
        <w:pStyle w:val="ACMASpaceaftertable"/>
        <w:rPr>
          <w:rFonts w:eastAsiaTheme="majorEastAsia"/>
        </w:rPr>
      </w:pPr>
    </w:p>
    <w:p w14:paraId="2AF82C90" w14:textId="77777777" w:rsidR="004D0DEA" w:rsidRDefault="004D0DEA" w:rsidP="004D0DEA">
      <w:pPr>
        <w:pStyle w:val="Heading3"/>
        <w:rPr>
          <w:lang w:val="en-US"/>
        </w:rPr>
      </w:pPr>
      <w:bookmarkStart w:id="328" w:name="_Toc461108012"/>
      <w:bookmarkStart w:id="329" w:name="_Toc461194839"/>
      <w:bookmarkStart w:id="330" w:name="_Toc461445490"/>
      <w:bookmarkStart w:id="331" w:name="_Toc463351327"/>
      <w:r>
        <w:rPr>
          <w:lang w:val="en-US"/>
        </w:rPr>
        <w:t>Implementing outcomes from the 400 MHz band review</w:t>
      </w:r>
      <w:bookmarkEnd w:id="320"/>
      <w:bookmarkEnd w:id="321"/>
      <w:bookmarkEnd w:id="322"/>
      <w:bookmarkEnd w:id="323"/>
      <w:bookmarkEnd w:id="324"/>
      <w:bookmarkEnd w:id="325"/>
      <w:bookmarkEnd w:id="326"/>
      <w:bookmarkEnd w:id="327"/>
      <w:bookmarkEnd w:id="328"/>
      <w:bookmarkEnd w:id="329"/>
      <w:bookmarkEnd w:id="330"/>
      <w:bookmarkEnd w:id="331"/>
    </w:p>
    <w:p w14:paraId="0DD2685B" w14:textId="77777777" w:rsidR="004D0DEA" w:rsidRDefault="004D0DEA" w:rsidP="004D0DEA">
      <w:r w:rsidRPr="00BD2D00">
        <w:t>The new 400 MHz band arrangements</w:t>
      </w:r>
      <w:r>
        <w:t xml:space="preserve"> provide opportunities for</w:t>
      </w:r>
      <w:r w:rsidRPr="00BD2D00">
        <w:t xml:space="preserve"> </w:t>
      </w:r>
      <w:r>
        <w:t xml:space="preserve">more effective use of the band and </w:t>
      </w:r>
      <w:r w:rsidRPr="00BD2D00">
        <w:t xml:space="preserve">facilitate the implementation of a nationally-harmonised and interoperable system of government radio networks. Advances in government radio interoperability are leading to considerable efficiency gains in resource use and availability, particularly during natural disasters such as bushfires and floods. </w:t>
      </w:r>
    </w:p>
    <w:p w14:paraId="5BFA2EF1" w14:textId="77777777" w:rsidR="004D0DEA" w:rsidRDefault="004D0DEA" w:rsidP="0039046B">
      <w:pPr>
        <w:spacing w:after="80"/>
      </w:pPr>
      <w:r w:rsidRPr="00034B6F">
        <w:t xml:space="preserve">The 400 MHz </w:t>
      </w:r>
      <w:r>
        <w:t>i</w:t>
      </w:r>
      <w:r w:rsidRPr="00034B6F">
        <w:t xml:space="preserve">mplementation </w:t>
      </w:r>
      <w:r>
        <w:t>began in 2011 with the release of a new 400 MHz band plan. It detailed a staged implementation approach consisting of three key milestones</w:t>
      </w:r>
      <w:r>
        <w:rPr>
          <w:rStyle w:val="FootnoteReference"/>
        </w:rPr>
        <w:footnoteReference w:id="28"/>
      </w:r>
      <w:r>
        <w:t>:</w:t>
      </w:r>
    </w:p>
    <w:p w14:paraId="27E7C31F" w14:textId="77777777" w:rsidR="004D0DEA" w:rsidRDefault="004D0DEA" w:rsidP="00075007">
      <w:pPr>
        <w:pStyle w:val="ListBullet"/>
      </w:pPr>
      <w:r>
        <w:t>Milestone 1: Reduce bandwidth in high- and medium-density areas and within 100 </w:t>
      </w:r>
      <w:r>
        <w:rPr>
          <w:rFonts w:cs="Arial"/>
          <w:szCs w:val="20"/>
        </w:rPr>
        <w:t>kilometres</w:t>
      </w:r>
      <w:r w:rsidRPr="00BD2D00">
        <w:rPr>
          <w:rFonts w:cs="Arial"/>
          <w:szCs w:val="20"/>
        </w:rPr>
        <w:t xml:space="preserve"> </w:t>
      </w:r>
      <w:r>
        <w:t>of these areas</w:t>
      </w:r>
      <w:r>
        <w:rPr>
          <w:rStyle w:val="FootnoteReference"/>
        </w:rPr>
        <w:footnoteReference w:id="29"/>
      </w:r>
      <w:r>
        <w:t>, reduce power of some systems and clear certain parts of the 400 MHz band to prepare for future milestones.</w:t>
      </w:r>
    </w:p>
    <w:p w14:paraId="01354180" w14:textId="77777777" w:rsidR="004D0DEA" w:rsidRDefault="004D0DEA" w:rsidP="00A839AF">
      <w:pPr>
        <w:pStyle w:val="ListBullet"/>
        <w:keepNext/>
        <w:keepLines/>
      </w:pPr>
      <w:r>
        <w:t>Milestone 2: Move to a 10 MHz frequency split and harmonise government services in parts of 450–470 MHz.</w:t>
      </w:r>
    </w:p>
    <w:p w14:paraId="731E78AE" w14:textId="77777777" w:rsidR="004D0DEA" w:rsidRPr="00034B6F" w:rsidRDefault="004D0DEA" w:rsidP="00A839AF">
      <w:pPr>
        <w:pStyle w:val="ListBulletLast"/>
        <w:keepNext/>
        <w:keepLines/>
      </w:pPr>
      <w:r>
        <w:t>Milestone 3: Harmonise remaining government services in the rest of the band.</w:t>
      </w:r>
    </w:p>
    <w:p w14:paraId="7308995B" w14:textId="77777777" w:rsidR="004D0DEA" w:rsidRPr="00BD2D00" w:rsidRDefault="004D0DEA" w:rsidP="004D0DEA">
      <w:pPr>
        <w:pStyle w:val="BodySubHeader"/>
      </w:pPr>
      <w:r w:rsidRPr="00BD2D00">
        <w:t>Project phase</w:t>
      </w:r>
    </w:p>
    <w:p w14:paraId="2BF01DE3" w14:textId="77777777" w:rsidR="004D0DEA" w:rsidRPr="00BD2D00" w:rsidRDefault="004D0DEA" w:rsidP="004D0DEA">
      <w:pPr>
        <w:rPr>
          <w:rFonts w:cs="Arial"/>
          <w:szCs w:val="20"/>
        </w:rPr>
      </w:pPr>
      <w:r w:rsidRPr="00BD2D00">
        <w:rPr>
          <w:rFonts w:cs="Arial"/>
          <w:szCs w:val="20"/>
        </w:rPr>
        <w:t>As at mid-2016</w:t>
      </w:r>
      <w:r>
        <w:rPr>
          <w:rFonts w:cs="Arial"/>
          <w:szCs w:val="20"/>
        </w:rPr>
        <w:t>,</w:t>
      </w:r>
      <w:r w:rsidRPr="00BD2D00">
        <w:rPr>
          <w:rFonts w:cs="Arial"/>
          <w:szCs w:val="20"/>
        </w:rPr>
        <w:t xml:space="preserve"> the project is approximately half complete, with Milestone 3 underway in high</w:t>
      </w:r>
      <w:r>
        <w:rPr>
          <w:rFonts w:cs="Arial"/>
          <w:szCs w:val="20"/>
        </w:rPr>
        <w:t>-</w:t>
      </w:r>
      <w:r w:rsidRPr="00BD2D00">
        <w:rPr>
          <w:rFonts w:cs="Arial"/>
          <w:szCs w:val="20"/>
        </w:rPr>
        <w:t xml:space="preserve"> and medium</w:t>
      </w:r>
      <w:r>
        <w:rPr>
          <w:rFonts w:cs="Arial"/>
          <w:szCs w:val="20"/>
        </w:rPr>
        <w:t>-</w:t>
      </w:r>
      <w:r w:rsidRPr="00BD2D00">
        <w:rPr>
          <w:rFonts w:cs="Arial"/>
          <w:szCs w:val="20"/>
        </w:rPr>
        <w:t xml:space="preserve">density areas and within 100 </w:t>
      </w:r>
      <w:r>
        <w:rPr>
          <w:rFonts w:cs="Arial"/>
          <w:szCs w:val="20"/>
        </w:rPr>
        <w:t>kilometres</w:t>
      </w:r>
      <w:r w:rsidRPr="00BD2D00">
        <w:rPr>
          <w:rFonts w:cs="Arial"/>
          <w:szCs w:val="20"/>
        </w:rPr>
        <w:t xml:space="preserve"> of these areas, and Milestone 2 underway in low</w:t>
      </w:r>
      <w:r>
        <w:rPr>
          <w:rFonts w:cs="Arial"/>
          <w:szCs w:val="20"/>
        </w:rPr>
        <w:t>-</w:t>
      </w:r>
      <w:r w:rsidRPr="00BD2D00">
        <w:rPr>
          <w:rFonts w:cs="Arial"/>
          <w:szCs w:val="20"/>
        </w:rPr>
        <w:t xml:space="preserve"> and remote</w:t>
      </w:r>
      <w:r>
        <w:rPr>
          <w:rFonts w:cs="Arial"/>
          <w:szCs w:val="20"/>
        </w:rPr>
        <w:t>-</w:t>
      </w:r>
      <w:r w:rsidRPr="00BD2D00">
        <w:rPr>
          <w:rFonts w:cs="Arial"/>
          <w:szCs w:val="20"/>
        </w:rPr>
        <w:t>density areas.</w:t>
      </w:r>
    </w:p>
    <w:p w14:paraId="35B7619C" w14:textId="77777777" w:rsidR="004D0DEA" w:rsidRPr="00BD2D00" w:rsidRDefault="004D0DEA" w:rsidP="004D0DEA">
      <w:pPr>
        <w:pStyle w:val="BodySubHeader"/>
      </w:pPr>
      <w:r w:rsidRPr="00BD2D00">
        <w:t>Action</w:t>
      </w:r>
    </w:p>
    <w:p w14:paraId="572876D6" w14:textId="77777777" w:rsidR="004D0DEA" w:rsidRPr="00BD2D00" w:rsidRDefault="004D0DEA" w:rsidP="004D0DEA">
      <w:pPr>
        <w:rPr>
          <w:b/>
          <w:i/>
        </w:rPr>
      </w:pPr>
      <w:r w:rsidRPr="00BD2D00">
        <w:t>The next step of the project is to implement Milestone 3, which runs through 2019, for licensees in low</w:t>
      </w:r>
      <w:r>
        <w:t>-</w:t>
      </w:r>
      <w:r w:rsidRPr="00BD2D00">
        <w:t xml:space="preserve"> and remote</w:t>
      </w:r>
      <w:r>
        <w:t>-</w:t>
      </w:r>
      <w:r w:rsidRPr="00BD2D00">
        <w:t>density areas. Stakeholder support, engagement and awareness</w:t>
      </w:r>
      <w:r>
        <w:t>-</w:t>
      </w:r>
      <w:r w:rsidRPr="00BD2D00">
        <w:t>raising activities will continue in the interim.</w:t>
      </w:r>
    </w:p>
    <w:p w14:paraId="4663CF6D" w14:textId="77777777" w:rsidR="004D0DEA" w:rsidRPr="004D0DEA" w:rsidRDefault="001A16D0" w:rsidP="001A16D0">
      <w:pPr>
        <w:pStyle w:val="ACMATableHeader"/>
        <w:keepNext/>
      </w:pPr>
      <w:r>
        <w:t>Next s</w:t>
      </w:r>
      <w:r w:rsidR="004D0DEA" w:rsidRPr="004D0DEA">
        <w:t xml:space="preserve">teps—implementing </w:t>
      </w:r>
      <w:r w:rsidR="004D0DEA" w:rsidRPr="0039046B">
        <w:t>outcomes</w:t>
      </w:r>
      <w:r w:rsidR="004D0DEA" w:rsidRPr="004D0DEA">
        <w:t xml:space="preserve"> from the 400 MHz band review</w:t>
      </w:r>
    </w:p>
    <w:tbl>
      <w:tblPr>
        <w:tblStyle w:val="TableGrid"/>
        <w:tblW w:w="0" w:type="auto"/>
        <w:tblCellMar>
          <w:top w:w="57" w:type="dxa"/>
          <w:left w:w="57" w:type="dxa"/>
          <w:bottom w:w="57" w:type="dxa"/>
          <w:right w:w="57" w:type="dxa"/>
        </w:tblCellMar>
        <w:tblLook w:val="04A0" w:firstRow="1" w:lastRow="0" w:firstColumn="1" w:lastColumn="0" w:noHBand="0" w:noVBand="1"/>
        <w:tblCaption w:val="Next steps—implementing outcomes from the 400 MHz band review"/>
        <w:tblDescription w:val="Includes work task/activity, the stage/phase, project details and the indicative timing."/>
      </w:tblPr>
      <w:tblGrid>
        <w:gridCol w:w="2508"/>
        <w:gridCol w:w="1785"/>
        <w:gridCol w:w="1995"/>
        <w:gridCol w:w="1373"/>
      </w:tblGrid>
      <w:tr w:rsidR="004D0DEA" w:rsidRPr="005668B1" w14:paraId="257BCC8B" w14:textId="77777777" w:rsidTr="0076286D">
        <w:trPr>
          <w:tblHeader/>
        </w:trPr>
        <w:tc>
          <w:tcPr>
            <w:tcW w:w="5524" w:type="dxa"/>
            <w:shd w:val="clear" w:color="auto" w:fill="404040" w:themeFill="text1" w:themeFillTint="BF"/>
          </w:tcPr>
          <w:p w14:paraId="7E1960B6"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976" w:type="dxa"/>
            <w:shd w:val="clear" w:color="auto" w:fill="404040" w:themeFill="text1" w:themeFillTint="BF"/>
          </w:tcPr>
          <w:p w14:paraId="2EA01756"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3261" w:type="dxa"/>
            <w:shd w:val="clear" w:color="auto" w:fill="404040" w:themeFill="text1" w:themeFillTint="BF"/>
          </w:tcPr>
          <w:p w14:paraId="4EAC0367"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2187" w:type="dxa"/>
            <w:shd w:val="clear" w:color="auto" w:fill="404040" w:themeFill="text1" w:themeFillTint="BF"/>
          </w:tcPr>
          <w:p w14:paraId="380B52FF"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5668B1" w14:paraId="641BF317" w14:textId="77777777" w:rsidTr="00375F63">
        <w:tc>
          <w:tcPr>
            <w:tcW w:w="5524" w:type="dxa"/>
          </w:tcPr>
          <w:p w14:paraId="1962A40D" w14:textId="77777777" w:rsidR="004D0DEA" w:rsidRPr="005668B1" w:rsidRDefault="004D0DEA" w:rsidP="00375F63">
            <w:pPr>
              <w:spacing w:after="0"/>
              <w:rPr>
                <w:rFonts w:cs="Arial"/>
                <w:szCs w:val="20"/>
              </w:rPr>
            </w:pPr>
            <w:r>
              <w:rPr>
                <w:rFonts w:cs="Arial"/>
                <w:szCs w:val="20"/>
              </w:rPr>
              <w:t>Transition of Milestone 2 ‘exceptions’</w:t>
            </w:r>
          </w:p>
        </w:tc>
        <w:tc>
          <w:tcPr>
            <w:tcW w:w="2976" w:type="dxa"/>
          </w:tcPr>
          <w:p w14:paraId="783C38FF" w14:textId="77777777" w:rsidR="004D0DEA" w:rsidRPr="005668B1" w:rsidRDefault="004D0DEA" w:rsidP="00375F63">
            <w:pPr>
              <w:rPr>
                <w:rFonts w:cs="Arial"/>
                <w:szCs w:val="20"/>
              </w:rPr>
            </w:pPr>
            <w:r>
              <w:rPr>
                <w:rFonts w:cs="Arial"/>
                <w:szCs w:val="20"/>
              </w:rPr>
              <w:t>Milestone 2</w:t>
            </w:r>
          </w:p>
        </w:tc>
        <w:tc>
          <w:tcPr>
            <w:tcW w:w="3261" w:type="dxa"/>
          </w:tcPr>
          <w:p w14:paraId="39638A45" w14:textId="77777777" w:rsidR="004D0DEA" w:rsidRPr="005668B1" w:rsidRDefault="004D0DEA" w:rsidP="0039046B">
            <w:pPr>
              <w:spacing w:after="120"/>
              <w:rPr>
                <w:rFonts w:cs="Arial"/>
                <w:szCs w:val="20"/>
              </w:rPr>
            </w:pPr>
            <w:r>
              <w:rPr>
                <w:rFonts w:cs="Arial"/>
                <w:szCs w:val="20"/>
              </w:rPr>
              <w:t>400 MHz implementation</w:t>
            </w:r>
          </w:p>
        </w:tc>
        <w:tc>
          <w:tcPr>
            <w:tcW w:w="2187" w:type="dxa"/>
          </w:tcPr>
          <w:p w14:paraId="3ABC47D1" w14:textId="77777777" w:rsidR="004D0DEA" w:rsidRPr="005668B1" w:rsidRDefault="004D0DEA" w:rsidP="0039046B">
            <w:pPr>
              <w:spacing w:after="120"/>
              <w:rPr>
                <w:rFonts w:cs="Arial"/>
                <w:szCs w:val="20"/>
              </w:rPr>
            </w:pPr>
            <w:r>
              <w:rPr>
                <w:rFonts w:cs="Arial"/>
                <w:szCs w:val="20"/>
              </w:rPr>
              <w:t>Dec 16 – Jun 17</w:t>
            </w:r>
          </w:p>
        </w:tc>
      </w:tr>
      <w:tr w:rsidR="004D0DEA" w:rsidRPr="005668B1" w14:paraId="361C8A0B" w14:textId="77777777" w:rsidTr="00CF4F06">
        <w:tc>
          <w:tcPr>
            <w:tcW w:w="5524" w:type="dxa"/>
            <w:shd w:val="clear" w:color="auto" w:fill="F2F2F2" w:themeFill="background1" w:themeFillShade="F2"/>
          </w:tcPr>
          <w:p w14:paraId="1F49B537" w14:textId="77777777" w:rsidR="004D0DEA" w:rsidRPr="005668B1" w:rsidRDefault="004D0DEA" w:rsidP="00375F63">
            <w:pPr>
              <w:rPr>
                <w:rFonts w:cs="Arial"/>
                <w:szCs w:val="20"/>
              </w:rPr>
            </w:pPr>
            <w:r>
              <w:rPr>
                <w:rFonts w:cs="Arial"/>
                <w:szCs w:val="20"/>
              </w:rPr>
              <w:t>Transition commenced</w:t>
            </w:r>
          </w:p>
        </w:tc>
        <w:tc>
          <w:tcPr>
            <w:tcW w:w="2976" w:type="dxa"/>
            <w:shd w:val="clear" w:color="auto" w:fill="F2F2F2" w:themeFill="background1" w:themeFillShade="F2"/>
          </w:tcPr>
          <w:p w14:paraId="69B9BC1F" w14:textId="77777777" w:rsidR="004D0DEA" w:rsidRPr="005668B1" w:rsidRDefault="004D0DEA" w:rsidP="00375F63">
            <w:pPr>
              <w:rPr>
                <w:rFonts w:cs="Arial"/>
                <w:szCs w:val="20"/>
              </w:rPr>
            </w:pPr>
            <w:r>
              <w:rPr>
                <w:rFonts w:cs="Arial"/>
                <w:szCs w:val="20"/>
              </w:rPr>
              <w:t>Milestone 3</w:t>
            </w:r>
          </w:p>
        </w:tc>
        <w:tc>
          <w:tcPr>
            <w:tcW w:w="3261" w:type="dxa"/>
            <w:shd w:val="clear" w:color="auto" w:fill="F2F2F2" w:themeFill="background1" w:themeFillShade="F2"/>
          </w:tcPr>
          <w:p w14:paraId="1572D37F" w14:textId="77777777" w:rsidR="004D0DEA" w:rsidRPr="005668B1" w:rsidRDefault="004D0DEA" w:rsidP="0039046B">
            <w:pPr>
              <w:spacing w:after="120"/>
              <w:rPr>
                <w:rFonts w:cs="Arial"/>
                <w:szCs w:val="20"/>
              </w:rPr>
            </w:pPr>
            <w:r>
              <w:rPr>
                <w:rFonts w:cs="Arial"/>
                <w:szCs w:val="20"/>
              </w:rPr>
              <w:t>400 MHz implementation</w:t>
            </w:r>
          </w:p>
        </w:tc>
        <w:tc>
          <w:tcPr>
            <w:tcW w:w="2187" w:type="dxa"/>
            <w:shd w:val="clear" w:color="auto" w:fill="F2F2F2" w:themeFill="background1" w:themeFillShade="F2"/>
          </w:tcPr>
          <w:p w14:paraId="712867A1" w14:textId="77777777" w:rsidR="004D0DEA" w:rsidRPr="005668B1" w:rsidRDefault="004D0DEA" w:rsidP="00375F63">
            <w:pPr>
              <w:spacing w:after="0"/>
              <w:rPr>
                <w:rFonts w:cs="Arial"/>
                <w:szCs w:val="20"/>
              </w:rPr>
            </w:pPr>
            <w:r>
              <w:rPr>
                <w:rFonts w:cs="Arial"/>
                <w:szCs w:val="20"/>
              </w:rPr>
              <w:t>December 2017</w:t>
            </w:r>
          </w:p>
        </w:tc>
      </w:tr>
      <w:tr w:rsidR="004D0DEA" w:rsidRPr="005668B1" w14:paraId="1D845B4C" w14:textId="77777777" w:rsidTr="00375F63">
        <w:tc>
          <w:tcPr>
            <w:tcW w:w="5524" w:type="dxa"/>
          </w:tcPr>
          <w:p w14:paraId="7FE899E4" w14:textId="77777777" w:rsidR="004D0DEA" w:rsidRPr="005668B1" w:rsidRDefault="004D0DEA" w:rsidP="0039046B">
            <w:pPr>
              <w:spacing w:after="120"/>
              <w:rPr>
                <w:rFonts w:cs="Arial"/>
                <w:szCs w:val="20"/>
              </w:rPr>
            </w:pPr>
            <w:r>
              <w:rPr>
                <w:rFonts w:cs="Arial"/>
                <w:szCs w:val="20"/>
              </w:rPr>
              <w:t>Stakeholder support, engagement and awareness programs</w:t>
            </w:r>
          </w:p>
        </w:tc>
        <w:tc>
          <w:tcPr>
            <w:tcW w:w="2976" w:type="dxa"/>
          </w:tcPr>
          <w:p w14:paraId="1964AE20" w14:textId="77777777" w:rsidR="004D0DEA" w:rsidRPr="005668B1" w:rsidRDefault="004D0DEA" w:rsidP="00375F63">
            <w:pPr>
              <w:rPr>
                <w:rFonts w:cs="Arial"/>
                <w:szCs w:val="20"/>
              </w:rPr>
            </w:pPr>
            <w:r>
              <w:rPr>
                <w:rFonts w:cs="Arial"/>
                <w:szCs w:val="20"/>
              </w:rPr>
              <w:t>All</w:t>
            </w:r>
          </w:p>
        </w:tc>
        <w:tc>
          <w:tcPr>
            <w:tcW w:w="3261" w:type="dxa"/>
          </w:tcPr>
          <w:p w14:paraId="4678C37D" w14:textId="77777777" w:rsidR="004D0DEA" w:rsidRPr="005668B1" w:rsidRDefault="004D0DEA" w:rsidP="0039046B">
            <w:pPr>
              <w:spacing w:after="120"/>
              <w:rPr>
                <w:rFonts w:cs="Arial"/>
                <w:szCs w:val="20"/>
              </w:rPr>
            </w:pPr>
            <w:r>
              <w:rPr>
                <w:rFonts w:cs="Arial"/>
                <w:szCs w:val="20"/>
              </w:rPr>
              <w:t>400 MHz implementation</w:t>
            </w:r>
          </w:p>
        </w:tc>
        <w:tc>
          <w:tcPr>
            <w:tcW w:w="2187" w:type="dxa"/>
          </w:tcPr>
          <w:p w14:paraId="21F05F4A" w14:textId="77777777" w:rsidR="004D0DEA" w:rsidRPr="005668B1" w:rsidRDefault="004D0DEA" w:rsidP="00375F63">
            <w:pPr>
              <w:rPr>
                <w:rFonts w:cs="Arial"/>
                <w:szCs w:val="20"/>
              </w:rPr>
            </w:pPr>
            <w:r>
              <w:rPr>
                <w:rFonts w:cs="Arial"/>
                <w:szCs w:val="20"/>
              </w:rPr>
              <w:t>Ongoing</w:t>
            </w:r>
          </w:p>
        </w:tc>
      </w:tr>
    </w:tbl>
    <w:p w14:paraId="79AF3C09" w14:textId="77777777" w:rsidR="004D0DEA" w:rsidRDefault="004D0DEA" w:rsidP="004D0DEA">
      <w:pPr>
        <w:pStyle w:val="ACMASpaceaftertable"/>
        <w:rPr>
          <w:lang w:val="en-US"/>
        </w:rPr>
      </w:pPr>
    </w:p>
    <w:p w14:paraId="529F25C5" w14:textId="77777777" w:rsidR="004D0DEA" w:rsidRDefault="004D0DEA" w:rsidP="004D0DEA">
      <w:pPr>
        <w:pStyle w:val="Heading3"/>
        <w:rPr>
          <w:lang w:val="en-US"/>
        </w:rPr>
      </w:pPr>
      <w:bookmarkStart w:id="332" w:name="_Toc461108013"/>
      <w:bookmarkStart w:id="333" w:name="_Toc461194840"/>
      <w:bookmarkStart w:id="334" w:name="_Toc461445491"/>
      <w:bookmarkStart w:id="335" w:name="_Toc463351328"/>
      <w:r>
        <w:rPr>
          <w:lang w:val="en-US"/>
        </w:rPr>
        <w:t>Update to the Australian Radiofrequency Spectrum Plan</w:t>
      </w:r>
      <w:bookmarkEnd w:id="332"/>
      <w:bookmarkEnd w:id="333"/>
      <w:bookmarkEnd w:id="334"/>
      <w:bookmarkEnd w:id="335"/>
    </w:p>
    <w:p w14:paraId="3E78E430" w14:textId="77777777" w:rsidR="004D0DEA" w:rsidRDefault="004D0DEA" w:rsidP="004D0DEA">
      <w:pPr>
        <w:pStyle w:val="BodySubHeader"/>
      </w:pPr>
      <w:r>
        <w:t>Background</w:t>
      </w:r>
    </w:p>
    <w:p w14:paraId="3ED6D550" w14:textId="77777777" w:rsidR="004D0DEA" w:rsidRPr="0070712F" w:rsidRDefault="004D0DEA" w:rsidP="004D0DEA">
      <w:pPr>
        <w:rPr>
          <w:rFonts w:cs="Arial"/>
          <w:b/>
          <w:i/>
          <w:szCs w:val="20"/>
        </w:rPr>
      </w:pPr>
      <w:r>
        <w:t xml:space="preserve">The ACMA has commenced the process of updating the </w:t>
      </w:r>
      <w:r w:rsidRPr="00136DEC">
        <w:rPr>
          <w:i/>
        </w:rPr>
        <w:t>Australian Radiofrequency Spectrum Plan 2013</w:t>
      </w:r>
      <w:r>
        <w:t xml:space="preserve"> (Spectrum Plan) to take account of changes arising from the ITU WRC-15.</w:t>
      </w:r>
    </w:p>
    <w:p w14:paraId="52C229AA" w14:textId="77777777" w:rsidR="004D0DEA" w:rsidRDefault="004D0DEA" w:rsidP="004D0DEA">
      <w:r w:rsidRPr="00C369F8">
        <w:t>The Spectrum Plan, which is prepared under section 30 of the Act, divides the Australian radiofrequency spectrum into frequency bands and specifies the general purposes for which the bands may be used. The aim of the Spectrum Plan is to provide a comprehensive framework within which many types of services are able to operate, in part by preventing harmful interference between services. It includes</w:t>
      </w:r>
      <w:r>
        <w:t xml:space="preserve"> (among other things) the ITU treaty-level Radio </w:t>
      </w:r>
      <w:r w:rsidRPr="00E1331D">
        <w:t>Regulations’ Table of Allocations</w:t>
      </w:r>
      <w:r w:rsidR="00E01920">
        <w:t xml:space="preserve"> </w:t>
      </w:r>
      <w:r w:rsidRPr="00E1331D">
        <w:t>and the Australian Table of Allocations.</w:t>
      </w:r>
    </w:p>
    <w:p w14:paraId="7DC54329" w14:textId="77777777" w:rsidR="004D0DEA" w:rsidRDefault="004D0DEA" w:rsidP="004D0DEA">
      <w:r>
        <w:t>The Spectrum Plan is updated every three or four years, following each ITU WRC, to ensure it reflects changes to the Radio Regulations agreed at the previous WRC. The last WRC was held from 2–27 November 2015. Consequently, the references in the Spectrum Plan to the Radio Regulation Table of Allocations (and consequently the Australian Table of Allocations), and the International Footnotes, will become outdated on 1 January 2017.</w:t>
      </w:r>
    </w:p>
    <w:p w14:paraId="13AE6506" w14:textId="2E28FA31" w:rsidR="004D0DEA" w:rsidRDefault="004D0DEA" w:rsidP="004D0DEA">
      <w:r>
        <w:t xml:space="preserve">The process leading to ratification of the changes agreed at WRC is being undertaken by DoCA and will be subject to a separate process. </w:t>
      </w:r>
    </w:p>
    <w:p w14:paraId="246644AA" w14:textId="77777777" w:rsidR="004D0DEA" w:rsidRPr="00640857" w:rsidRDefault="004D0DEA" w:rsidP="004D0DEA">
      <w:r>
        <w:t>The 2013 Spectrum Plan is the current version and can be found on the ACMA website.</w:t>
      </w:r>
    </w:p>
    <w:p w14:paraId="0264EB0E" w14:textId="77777777" w:rsidR="004D0DEA" w:rsidRPr="004D0DEA" w:rsidRDefault="004D0DEA" w:rsidP="0039046B">
      <w:pPr>
        <w:pStyle w:val="ACMATableHeader"/>
      </w:pPr>
      <w:r w:rsidRPr="004D0DEA">
        <w:t xml:space="preserve">Next </w:t>
      </w:r>
      <w:r w:rsidR="00075007">
        <w:t>s</w:t>
      </w:r>
      <w:r w:rsidRPr="004D0DEA">
        <w:t>teps—update to the Spectrum Plan</w:t>
      </w:r>
    </w:p>
    <w:tbl>
      <w:tblPr>
        <w:tblStyle w:val="TableGrid"/>
        <w:tblW w:w="9675" w:type="dxa"/>
        <w:tblCellMar>
          <w:top w:w="57" w:type="dxa"/>
          <w:left w:w="57" w:type="dxa"/>
          <w:bottom w:w="57" w:type="dxa"/>
          <w:right w:w="57" w:type="dxa"/>
        </w:tblCellMar>
        <w:tblLook w:val="04A0" w:firstRow="1" w:lastRow="0" w:firstColumn="1" w:lastColumn="0" w:noHBand="0" w:noVBand="1"/>
        <w:tblCaption w:val="Next steps—update to the Spectrum Plan"/>
        <w:tblDescription w:val="Includes work task/activity, the stage/phase, project details and the indicative timing."/>
      </w:tblPr>
      <w:tblGrid>
        <w:gridCol w:w="3580"/>
        <w:gridCol w:w="2126"/>
        <w:gridCol w:w="2103"/>
        <w:gridCol w:w="1866"/>
      </w:tblGrid>
      <w:tr w:rsidR="004D0DEA" w:rsidRPr="005668B1" w14:paraId="35FC2C9F" w14:textId="77777777" w:rsidTr="002B3DF6">
        <w:trPr>
          <w:tblHeader/>
        </w:trPr>
        <w:tc>
          <w:tcPr>
            <w:tcW w:w="3580" w:type="dxa"/>
            <w:shd w:val="clear" w:color="auto" w:fill="404040" w:themeFill="text1" w:themeFillTint="BF"/>
          </w:tcPr>
          <w:p w14:paraId="749A1B86" w14:textId="77777777" w:rsidR="004D0DEA" w:rsidRPr="0039046B" w:rsidRDefault="004D0DEA" w:rsidP="0039046B">
            <w:pPr>
              <w:pStyle w:val="TableHeading"/>
              <w:rPr>
                <w:b w:val="0"/>
                <w:color w:val="FFFFFF" w:themeColor="background1"/>
              </w:rPr>
            </w:pPr>
            <w:r w:rsidRPr="0039046B">
              <w:rPr>
                <w:color w:val="FFFFFF" w:themeColor="background1"/>
              </w:rPr>
              <w:t>Work task/activity</w:t>
            </w:r>
          </w:p>
        </w:tc>
        <w:tc>
          <w:tcPr>
            <w:tcW w:w="2126" w:type="dxa"/>
            <w:shd w:val="clear" w:color="auto" w:fill="404040" w:themeFill="text1" w:themeFillTint="BF"/>
          </w:tcPr>
          <w:p w14:paraId="571EE0A9" w14:textId="77777777" w:rsidR="004D0DEA" w:rsidRPr="0039046B" w:rsidRDefault="004D0DEA" w:rsidP="0039046B">
            <w:pPr>
              <w:pStyle w:val="TableHeading"/>
              <w:rPr>
                <w:b w:val="0"/>
                <w:color w:val="FFFFFF" w:themeColor="background1"/>
              </w:rPr>
            </w:pPr>
            <w:r w:rsidRPr="0039046B">
              <w:rPr>
                <w:color w:val="FFFFFF" w:themeColor="background1"/>
              </w:rPr>
              <w:t>Stage/phase</w:t>
            </w:r>
          </w:p>
        </w:tc>
        <w:tc>
          <w:tcPr>
            <w:tcW w:w="2103" w:type="dxa"/>
            <w:shd w:val="clear" w:color="auto" w:fill="404040" w:themeFill="text1" w:themeFillTint="BF"/>
          </w:tcPr>
          <w:p w14:paraId="569DA369" w14:textId="77777777" w:rsidR="004D0DEA" w:rsidRPr="0039046B" w:rsidRDefault="004D0DEA" w:rsidP="0039046B">
            <w:pPr>
              <w:pStyle w:val="TableHeading"/>
              <w:rPr>
                <w:b w:val="0"/>
                <w:color w:val="FFFFFF" w:themeColor="background1"/>
              </w:rPr>
            </w:pPr>
            <w:r w:rsidRPr="0039046B">
              <w:rPr>
                <w:color w:val="FFFFFF" w:themeColor="background1"/>
              </w:rPr>
              <w:t>Project</w:t>
            </w:r>
          </w:p>
        </w:tc>
        <w:tc>
          <w:tcPr>
            <w:tcW w:w="1866" w:type="dxa"/>
            <w:shd w:val="clear" w:color="auto" w:fill="404040" w:themeFill="text1" w:themeFillTint="BF"/>
          </w:tcPr>
          <w:p w14:paraId="7892E22F" w14:textId="77777777" w:rsidR="004D0DEA" w:rsidRPr="0039046B" w:rsidRDefault="004D0DEA" w:rsidP="0039046B">
            <w:pPr>
              <w:pStyle w:val="TableHeading"/>
              <w:rPr>
                <w:b w:val="0"/>
                <w:color w:val="FFFFFF" w:themeColor="background1"/>
              </w:rPr>
            </w:pPr>
            <w:r w:rsidRPr="0039046B">
              <w:rPr>
                <w:color w:val="FFFFFF" w:themeColor="background1"/>
              </w:rPr>
              <w:t>Timing</w:t>
            </w:r>
          </w:p>
        </w:tc>
      </w:tr>
      <w:tr w:rsidR="004D0DEA" w:rsidRPr="005668B1" w14:paraId="1E330FF0" w14:textId="77777777" w:rsidTr="002B3DF6">
        <w:tc>
          <w:tcPr>
            <w:tcW w:w="3580" w:type="dxa"/>
          </w:tcPr>
          <w:p w14:paraId="264899DE" w14:textId="77777777" w:rsidR="004D0DEA" w:rsidRPr="005668B1" w:rsidRDefault="004D0DEA" w:rsidP="0039046B">
            <w:pPr>
              <w:spacing w:after="120"/>
              <w:rPr>
                <w:rFonts w:cs="Arial"/>
                <w:szCs w:val="20"/>
              </w:rPr>
            </w:pPr>
            <w:r>
              <w:rPr>
                <w:rFonts w:cs="Arial"/>
                <w:szCs w:val="20"/>
              </w:rPr>
              <w:t>Implementation of changes made to the ITU-R Radio Regulations at WRC-15 as appropriate</w:t>
            </w:r>
          </w:p>
        </w:tc>
        <w:tc>
          <w:tcPr>
            <w:tcW w:w="2126" w:type="dxa"/>
          </w:tcPr>
          <w:p w14:paraId="4A43A5C6" w14:textId="77777777" w:rsidR="004D0DEA" w:rsidRPr="005668B1" w:rsidRDefault="004D0DEA" w:rsidP="0039046B">
            <w:pPr>
              <w:spacing w:after="120"/>
              <w:rPr>
                <w:rFonts w:cs="Arial"/>
                <w:szCs w:val="20"/>
              </w:rPr>
            </w:pPr>
            <w:r>
              <w:rPr>
                <w:rFonts w:cs="Arial"/>
                <w:szCs w:val="20"/>
              </w:rPr>
              <w:t>Preparation of consultation documentation</w:t>
            </w:r>
          </w:p>
        </w:tc>
        <w:tc>
          <w:tcPr>
            <w:tcW w:w="2103" w:type="dxa"/>
          </w:tcPr>
          <w:p w14:paraId="203B8BC0" w14:textId="77777777" w:rsidR="004D0DEA" w:rsidRPr="005668B1" w:rsidRDefault="004D0DEA" w:rsidP="0039046B">
            <w:pPr>
              <w:spacing w:after="120"/>
              <w:rPr>
                <w:rFonts w:cs="Arial"/>
                <w:szCs w:val="20"/>
              </w:rPr>
            </w:pPr>
            <w:r>
              <w:rPr>
                <w:rFonts w:cs="Arial"/>
                <w:szCs w:val="20"/>
              </w:rPr>
              <w:t>Release of 2017 Spectrum Plan</w:t>
            </w:r>
          </w:p>
        </w:tc>
        <w:tc>
          <w:tcPr>
            <w:tcW w:w="1866" w:type="dxa"/>
          </w:tcPr>
          <w:p w14:paraId="276D1107" w14:textId="77777777" w:rsidR="004D0DEA" w:rsidRPr="005668B1" w:rsidRDefault="004D0DEA" w:rsidP="0039046B">
            <w:pPr>
              <w:spacing w:after="120"/>
              <w:rPr>
                <w:rFonts w:cs="Arial"/>
                <w:szCs w:val="20"/>
              </w:rPr>
            </w:pPr>
            <w:r>
              <w:rPr>
                <w:rFonts w:cs="Arial"/>
                <w:szCs w:val="20"/>
              </w:rPr>
              <w:t>January 2017</w:t>
            </w:r>
          </w:p>
        </w:tc>
      </w:tr>
    </w:tbl>
    <w:p w14:paraId="27F72E39" w14:textId="77777777" w:rsidR="004D0DEA" w:rsidRPr="0039046B" w:rsidRDefault="004D0DEA" w:rsidP="004D0DEA">
      <w:pPr>
        <w:pStyle w:val="ACMASpaceaftertable"/>
      </w:pPr>
    </w:p>
    <w:p w14:paraId="50B517D9" w14:textId="77777777" w:rsidR="004D0DEA" w:rsidRPr="00640857" w:rsidRDefault="004D0DEA" w:rsidP="009F24AF">
      <w:pPr>
        <w:pStyle w:val="Heading2"/>
      </w:pPr>
      <w:bookmarkStart w:id="336" w:name="_Toc461108014"/>
      <w:bookmarkStart w:id="337" w:name="_Toc461194841"/>
      <w:bookmarkStart w:id="338" w:name="_Toc461445492"/>
      <w:bookmarkStart w:id="339" w:name="_Toc463351329"/>
      <w:r w:rsidRPr="00640857">
        <w:t>Band-by band projects 2016</w:t>
      </w:r>
      <w:r>
        <w:t>–</w:t>
      </w:r>
      <w:r w:rsidRPr="00640857">
        <w:t>17</w:t>
      </w:r>
      <w:bookmarkEnd w:id="336"/>
      <w:bookmarkEnd w:id="337"/>
      <w:bookmarkEnd w:id="338"/>
      <w:bookmarkEnd w:id="339"/>
    </w:p>
    <w:tbl>
      <w:tblPr>
        <w:tblW w:w="9639" w:type="dxa"/>
        <w:tblInd w:w="8" w:type="dxa"/>
        <w:tblLayout w:type="fixed"/>
        <w:tblCellMar>
          <w:top w:w="57" w:type="dxa"/>
          <w:left w:w="57" w:type="dxa"/>
          <w:bottom w:w="57" w:type="dxa"/>
          <w:right w:w="57" w:type="dxa"/>
        </w:tblCellMar>
        <w:tblLook w:val="04A0" w:firstRow="1" w:lastRow="0" w:firstColumn="1" w:lastColumn="0" w:noHBand="0" w:noVBand="1"/>
        <w:tblCaption w:val="2015-16 Band-by-band work program"/>
        <w:tblDescription w:val="Includes frequency ranges, work task, outline of the project, the priority and expected completion time frame."/>
      </w:tblPr>
      <w:tblGrid>
        <w:gridCol w:w="1702"/>
        <w:gridCol w:w="1849"/>
        <w:gridCol w:w="3094"/>
        <w:gridCol w:w="1151"/>
        <w:gridCol w:w="1843"/>
      </w:tblGrid>
      <w:tr w:rsidR="004D0DEA" w14:paraId="3EE55A5B" w14:textId="77777777" w:rsidTr="002B3DF6">
        <w:trPr>
          <w:cantSplit/>
          <w:tblHeader/>
        </w:trPr>
        <w:tc>
          <w:tcPr>
            <w:tcW w:w="1702" w:type="dxa"/>
            <w:tcBorders>
              <w:top w:val="nil"/>
              <w:left w:val="single" w:sz="8" w:space="0" w:color="auto"/>
              <w:bottom w:val="single" w:sz="8" w:space="0" w:color="auto"/>
              <w:right w:val="single" w:sz="8" w:space="0" w:color="auto"/>
            </w:tcBorders>
            <w:shd w:val="clear" w:color="auto" w:fill="404040" w:themeFill="text1" w:themeFillTint="BF"/>
            <w:tcMar>
              <w:top w:w="0" w:type="dxa"/>
              <w:left w:w="108" w:type="dxa"/>
              <w:bottom w:w="0" w:type="dxa"/>
              <w:right w:w="108" w:type="dxa"/>
            </w:tcMar>
          </w:tcPr>
          <w:p w14:paraId="4E60C330" w14:textId="77777777" w:rsidR="004D0DEA" w:rsidRPr="005C3603" w:rsidRDefault="004D0DEA" w:rsidP="00375F63">
            <w:pPr>
              <w:pStyle w:val="TableHeading"/>
              <w:spacing w:before="60" w:after="60"/>
              <w:rPr>
                <w:color w:val="FFFFFF" w:themeColor="background1"/>
                <w:lang w:eastAsia="en-US"/>
              </w:rPr>
            </w:pPr>
            <w:r w:rsidRPr="00D40970">
              <w:rPr>
                <w:color w:val="FFFFFF" w:themeColor="background1"/>
              </w:rPr>
              <w:t>Frequency range</w:t>
            </w:r>
          </w:p>
        </w:tc>
        <w:tc>
          <w:tcPr>
            <w:tcW w:w="1849" w:type="dxa"/>
            <w:tcBorders>
              <w:top w:val="nil"/>
              <w:left w:val="nil"/>
              <w:bottom w:val="single" w:sz="8" w:space="0" w:color="auto"/>
              <w:right w:val="single" w:sz="8" w:space="0" w:color="auto"/>
            </w:tcBorders>
            <w:shd w:val="clear" w:color="auto" w:fill="404040" w:themeFill="text1" w:themeFillTint="BF"/>
            <w:tcMar>
              <w:top w:w="0" w:type="dxa"/>
              <w:left w:w="108" w:type="dxa"/>
              <w:bottom w:w="0" w:type="dxa"/>
              <w:right w:w="108" w:type="dxa"/>
            </w:tcMar>
          </w:tcPr>
          <w:p w14:paraId="712CDCBB" w14:textId="77777777" w:rsidR="004D0DEA" w:rsidRPr="005C3603" w:rsidRDefault="004D0DEA" w:rsidP="00375F63">
            <w:pPr>
              <w:pStyle w:val="TableHeading"/>
              <w:spacing w:before="60" w:after="60"/>
              <w:rPr>
                <w:b w:val="0"/>
                <w:color w:val="FFFFFF" w:themeColor="background1"/>
                <w:lang w:eastAsia="en-US"/>
              </w:rPr>
            </w:pPr>
            <w:r w:rsidRPr="00D40970">
              <w:rPr>
                <w:color w:val="FFFFFF" w:themeColor="background1"/>
              </w:rPr>
              <w:t>Work task</w:t>
            </w:r>
          </w:p>
        </w:tc>
        <w:tc>
          <w:tcPr>
            <w:tcW w:w="3094" w:type="dxa"/>
            <w:tcBorders>
              <w:top w:val="nil"/>
              <w:left w:val="nil"/>
              <w:bottom w:val="single" w:sz="8" w:space="0" w:color="auto"/>
              <w:right w:val="single" w:sz="8" w:space="0" w:color="auto"/>
            </w:tcBorders>
            <w:shd w:val="clear" w:color="auto" w:fill="404040" w:themeFill="text1" w:themeFillTint="BF"/>
            <w:tcMar>
              <w:top w:w="0" w:type="dxa"/>
              <w:left w:w="108" w:type="dxa"/>
              <w:bottom w:w="0" w:type="dxa"/>
              <w:right w:w="108" w:type="dxa"/>
            </w:tcMar>
          </w:tcPr>
          <w:p w14:paraId="611CD909" w14:textId="77777777" w:rsidR="004D0DEA" w:rsidRPr="005C3603" w:rsidRDefault="004D0DEA" w:rsidP="00375F63">
            <w:pPr>
              <w:pStyle w:val="TableHeading"/>
              <w:spacing w:before="60" w:after="60"/>
              <w:rPr>
                <w:color w:val="FFFFFF" w:themeColor="background1"/>
                <w:lang w:eastAsia="en-US"/>
              </w:rPr>
            </w:pPr>
            <w:r w:rsidRPr="00D40970">
              <w:rPr>
                <w:color w:val="FFFFFF" w:themeColor="background1"/>
              </w:rPr>
              <w:t>Outline</w:t>
            </w:r>
          </w:p>
        </w:tc>
        <w:tc>
          <w:tcPr>
            <w:tcW w:w="1151" w:type="dxa"/>
            <w:tcBorders>
              <w:top w:val="nil"/>
              <w:left w:val="nil"/>
              <w:bottom w:val="single" w:sz="8" w:space="0" w:color="auto"/>
              <w:right w:val="single" w:sz="8" w:space="0" w:color="auto"/>
            </w:tcBorders>
            <w:shd w:val="clear" w:color="auto" w:fill="404040" w:themeFill="text1" w:themeFillTint="BF"/>
            <w:tcMar>
              <w:top w:w="0" w:type="dxa"/>
              <w:left w:w="108" w:type="dxa"/>
              <w:bottom w:w="0" w:type="dxa"/>
              <w:right w:w="108" w:type="dxa"/>
            </w:tcMar>
          </w:tcPr>
          <w:p w14:paraId="2ABF05B6" w14:textId="77777777" w:rsidR="004D0DEA" w:rsidRPr="005C3603" w:rsidRDefault="004D0DEA" w:rsidP="00375F63">
            <w:pPr>
              <w:pStyle w:val="TableHeading"/>
              <w:spacing w:before="60" w:after="60"/>
              <w:rPr>
                <w:color w:val="FFFFFF" w:themeColor="background1"/>
                <w:lang w:eastAsia="en-US"/>
              </w:rPr>
            </w:pPr>
            <w:r w:rsidRPr="00D40970">
              <w:rPr>
                <w:color w:val="FFFFFF" w:themeColor="background1"/>
              </w:rPr>
              <w:t>Priority</w:t>
            </w:r>
          </w:p>
        </w:tc>
        <w:tc>
          <w:tcPr>
            <w:tcW w:w="1843" w:type="dxa"/>
            <w:tcBorders>
              <w:top w:val="nil"/>
              <w:left w:val="nil"/>
              <w:bottom w:val="single" w:sz="8" w:space="0" w:color="auto"/>
              <w:right w:val="single" w:sz="8" w:space="0" w:color="auto"/>
            </w:tcBorders>
            <w:shd w:val="clear" w:color="auto" w:fill="404040" w:themeFill="text1" w:themeFillTint="BF"/>
            <w:tcMar>
              <w:top w:w="0" w:type="dxa"/>
              <w:left w:w="108" w:type="dxa"/>
              <w:bottom w:w="0" w:type="dxa"/>
              <w:right w:w="108" w:type="dxa"/>
            </w:tcMar>
          </w:tcPr>
          <w:p w14:paraId="7D4AEFFB" w14:textId="77777777" w:rsidR="004D0DEA" w:rsidRPr="005C3603" w:rsidRDefault="004D0DEA" w:rsidP="00375F63">
            <w:pPr>
              <w:pStyle w:val="TableHeading"/>
              <w:spacing w:before="60" w:after="60"/>
              <w:rPr>
                <w:color w:val="FFFFFF" w:themeColor="background1"/>
                <w:lang w:eastAsia="en-US"/>
              </w:rPr>
            </w:pPr>
            <w:r w:rsidRPr="00D40970">
              <w:rPr>
                <w:color w:val="FFFFFF" w:themeColor="background1"/>
              </w:rPr>
              <w:t>Expected completion time frame</w:t>
            </w:r>
          </w:p>
        </w:tc>
      </w:tr>
      <w:tr w:rsidR="004D0DEA" w14:paraId="718C0768"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7FC83DBB" w14:textId="77777777" w:rsidR="004D0DEA" w:rsidRDefault="004D0DEA" w:rsidP="0039046B">
            <w:pPr>
              <w:spacing w:after="120"/>
              <w:rPr>
                <w:lang w:eastAsia="en-US"/>
              </w:rPr>
            </w:pPr>
            <w:r>
              <w:rPr>
                <w:lang w:eastAsia="en-US"/>
              </w:rPr>
              <w:t xml:space="preserve">174–230 MHz </w:t>
            </w:r>
          </w:p>
        </w:tc>
        <w:tc>
          <w:tcPr>
            <w:tcW w:w="1849"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3FF5259F" w14:textId="77777777" w:rsidR="004D0DEA" w:rsidRDefault="004D0DEA" w:rsidP="0039046B">
            <w:pPr>
              <w:spacing w:after="120"/>
              <w:rPr>
                <w:lang w:eastAsia="en-US"/>
              </w:rPr>
            </w:pPr>
            <w:r w:rsidRPr="00D66407">
              <w:rPr>
                <w:lang w:eastAsia="en-US"/>
              </w:rPr>
              <w:t>Planning for rollout of digital radio in regional areas of Australia</w:t>
            </w:r>
          </w:p>
        </w:tc>
        <w:tc>
          <w:tcPr>
            <w:tcW w:w="309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3AB113D0" w14:textId="77777777" w:rsidR="004D0DEA" w:rsidRDefault="004D0DEA" w:rsidP="0039046B">
            <w:pPr>
              <w:spacing w:after="120"/>
              <w:rPr>
                <w:rFonts w:ascii="Times New Roman" w:hAnsi="Times New Roman"/>
                <w:sz w:val="24"/>
                <w:lang w:eastAsia="en-US"/>
              </w:rPr>
            </w:pPr>
            <w:r w:rsidRPr="005C3603">
              <w:t xml:space="preserve">Planning for digital radio services outside mainland state capitals will be informed by the considerations of the Digital Radio Planning Committee for Regional Australia, as recommended by the </w:t>
            </w:r>
            <w:r>
              <w:t>DoCA</w:t>
            </w:r>
            <w:r w:rsidRPr="005C3603">
              <w:t xml:space="preserve"> Digital Radio Report</w:t>
            </w:r>
            <w:r>
              <w:rPr>
                <w:lang w:eastAsia="en-US"/>
              </w:rPr>
              <w:t>. The government expects the committee to give priority to the permanent licencing of digital radio services in Canberra and Darwin</w:t>
            </w:r>
            <w:r w:rsidR="00451524">
              <w:rPr>
                <w:lang w:eastAsia="en-US"/>
              </w:rPr>
              <w:t>.</w:t>
            </w:r>
          </w:p>
        </w:tc>
        <w:tc>
          <w:tcPr>
            <w:tcW w:w="115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3651DE3E" w14:textId="77777777" w:rsidR="004D0DEA" w:rsidRDefault="004D0DEA" w:rsidP="0039046B">
            <w:pPr>
              <w:spacing w:after="120"/>
              <w:rPr>
                <w:lang w:eastAsia="en-US"/>
              </w:rPr>
            </w:pPr>
            <w:r>
              <w:rPr>
                <w:lang w:eastAsia="en-US"/>
              </w:rPr>
              <w:t>High</w:t>
            </w:r>
          </w:p>
        </w:tc>
        <w:tc>
          <w:tcPr>
            <w:tcW w:w="184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7DC7B587" w14:textId="77777777" w:rsidR="004D0DEA" w:rsidRDefault="004D0DEA" w:rsidP="0039046B">
            <w:pPr>
              <w:spacing w:after="120"/>
              <w:rPr>
                <w:lang w:eastAsia="en-US"/>
              </w:rPr>
            </w:pPr>
            <w:r>
              <w:rPr>
                <w:lang w:eastAsia="en-US"/>
              </w:rPr>
              <w:t>Possible in 2017, however, the time frame for completion will be informed by the deliberation of the Digital Radio Planning Committee for Regional Australia and the passage by parliament of any necessary minor legislative amendments</w:t>
            </w:r>
          </w:p>
        </w:tc>
      </w:tr>
      <w:tr w:rsidR="004D0DEA" w14:paraId="466E5CB6" w14:textId="77777777" w:rsidTr="002B3DF6">
        <w:trPr>
          <w:cantSplit/>
          <w:trHeight w:val="1062"/>
        </w:trPr>
        <w:tc>
          <w:tcPr>
            <w:tcW w:w="1702" w:type="dxa"/>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24051B4B" w14:textId="77777777" w:rsidR="004D0DEA" w:rsidRDefault="004D0DEA" w:rsidP="0039046B">
            <w:pPr>
              <w:spacing w:after="120"/>
              <w:rPr>
                <w:lang w:eastAsia="en-US"/>
              </w:rPr>
            </w:pPr>
            <w:r w:rsidRPr="00B93333">
              <w:t>403–520 MHz</w:t>
            </w:r>
          </w:p>
        </w:tc>
        <w:tc>
          <w:tcPr>
            <w:tcW w:w="1849"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72F4BF1F" w14:textId="77777777" w:rsidR="004D0DEA" w:rsidRPr="001F57D0" w:rsidRDefault="00D67EC2" w:rsidP="0039046B">
            <w:pPr>
              <w:spacing w:after="120"/>
              <w:rPr>
                <w:b/>
                <w:lang w:eastAsia="en-US"/>
              </w:rPr>
            </w:pPr>
            <w:hyperlink r:id="rId81" w:history="1">
              <w:r w:rsidR="004D0DEA" w:rsidRPr="00B93333">
                <w:rPr>
                  <w:color w:val="0000FF"/>
                  <w:u w:val="single"/>
                </w:rPr>
                <w:t xml:space="preserve">400 MHz </w:t>
              </w:r>
            </w:hyperlink>
            <w:r w:rsidR="004D0DEA">
              <w:rPr>
                <w:color w:val="0000FF"/>
                <w:u w:val="single"/>
              </w:rPr>
              <w:t>implementation changes</w:t>
            </w:r>
          </w:p>
        </w:tc>
        <w:tc>
          <w:tcPr>
            <w:tcW w:w="3094"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3254EEEA" w14:textId="60FDB934" w:rsidR="004D0DEA" w:rsidRPr="001F57D0" w:rsidRDefault="004D0DEA" w:rsidP="00C62277">
            <w:pPr>
              <w:spacing w:after="120"/>
            </w:pPr>
            <w:r>
              <w:t>Licensees to make changes as per Milestone 2 requirements (RDA/LDA) and Milestone 3 requirements (</w:t>
            </w:r>
            <w:r w:rsidR="00C62277">
              <w:t>HDA</w:t>
            </w:r>
            <w:r>
              <w:t>/MDA)</w:t>
            </w:r>
            <w:r w:rsidR="0006468B">
              <w:t>.</w:t>
            </w:r>
          </w:p>
        </w:tc>
        <w:tc>
          <w:tcPr>
            <w:tcW w:w="1151"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7F5E5B26" w14:textId="77777777" w:rsidR="004D0DEA" w:rsidRDefault="004D0DEA" w:rsidP="0039046B">
            <w:pPr>
              <w:spacing w:after="120"/>
              <w:rPr>
                <w:lang w:eastAsia="en-US"/>
              </w:rPr>
            </w:pPr>
            <w:r w:rsidRPr="00B93333">
              <w:t xml:space="preserve">High </w:t>
            </w:r>
          </w:p>
        </w:tc>
        <w:tc>
          <w:tcPr>
            <w:tcW w:w="1843"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61DBC055" w14:textId="77777777" w:rsidR="004D0DEA" w:rsidRDefault="004D0DEA" w:rsidP="0039046B">
            <w:pPr>
              <w:spacing w:after="120"/>
              <w:rPr>
                <w:lang w:eastAsia="en-US"/>
              </w:rPr>
            </w:pPr>
            <w:r>
              <w:t>Mid-2017</w:t>
            </w:r>
          </w:p>
        </w:tc>
      </w:tr>
      <w:tr w:rsidR="004D0DEA" w14:paraId="76A61C58"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12E7982C" w14:textId="77777777" w:rsidR="004D0DEA" w:rsidRPr="00CE1447" w:rsidRDefault="004D0DEA" w:rsidP="0039046B">
            <w:pPr>
              <w:spacing w:after="120"/>
              <w:rPr>
                <w:lang w:eastAsia="en-US"/>
              </w:rPr>
            </w:pPr>
            <w:r w:rsidRPr="00CE1447">
              <w:rPr>
                <w:lang w:val="de-DE"/>
              </w:rPr>
              <w:t>803</w:t>
            </w:r>
            <w:r w:rsidRPr="00CE1447">
              <w:t>–</w:t>
            </w:r>
            <w:r w:rsidRPr="00CE1447">
              <w:rPr>
                <w:lang w:val="de-DE"/>
              </w:rPr>
              <w:t>960 MHz</w:t>
            </w:r>
          </w:p>
        </w:tc>
        <w:tc>
          <w:tcPr>
            <w:tcW w:w="1849"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59C59298" w14:textId="77777777" w:rsidR="004D0DEA" w:rsidRPr="00CE1447" w:rsidRDefault="00D67EC2" w:rsidP="0039046B">
            <w:pPr>
              <w:spacing w:after="120"/>
              <w:rPr>
                <w:b/>
                <w:lang w:eastAsia="en-US"/>
              </w:rPr>
            </w:pPr>
            <w:hyperlink r:id="rId82" w:history="1">
              <w:r w:rsidR="004D0DEA" w:rsidRPr="00327646">
                <w:rPr>
                  <w:rStyle w:val="Hyperlink"/>
                  <w:rFonts w:eastAsiaTheme="majorEastAsia" w:cs="Arial"/>
                  <w:szCs w:val="20"/>
                </w:rPr>
                <w:t xml:space="preserve">Outcomes </w:t>
              </w:r>
              <w:r w:rsidR="004D0DEA" w:rsidRPr="00373009">
                <w:rPr>
                  <w:rStyle w:val="Hyperlink"/>
                  <w:rFonts w:eastAsiaTheme="majorEastAsia" w:cs="Arial"/>
                  <w:szCs w:val="20"/>
                </w:rPr>
                <w:t>of the</w:t>
              </w:r>
              <w:r w:rsidR="004D0DEA" w:rsidRPr="00327646">
                <w:rPr>
                  <w:rStyle w:val="Hyperlink"/>
                  <w:rFonts w:eastAsiaTheme="majorEastAsia" w:cs="Arial"/>
                  <w:szCs w:val="20"/>
                </w:rPr>
                <w:t xml:space="preserve"> review </w:t>
              </w:r>
              <w:r w:rsidR="004D0DEA" w:rsidRPr="00373009">
                <w:rPr>
                  <w:rStyle w:val="Hyperlink"/>
                  <w:rFonts w:eastAsiaTheme="majorEastAsia" w:cs="Arial"/>
                  <w:szCs w:val="20"/>
                </w:rPr>
                <w:t>of the</w:t>
              </w:r>
              <w:r w:rsidR="004D0DEA" w:rsidRPr="00CE1447">
                <w:rPr>
                  <w:rStyle w:val="Hyperlink"/>
                  <w:rFonts w:eastAsiaTheme="majorEastAsia" w:cs="Arial"/>
                  <w:szCs w:val="20"/>
                </w:rPr>
                <w:t xml:space="preserve"> band 803–960 MHz</w:t>
              </w:r>
            </w:hyperlink>
          </w:p>
        </w:tc>
        <w:tc>
          <w:tcPr>
            <w:tcW w:w="309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0B95BD6B" w14:textId="77777777" w:rsidR="004D0DEA" w:rsidRDefault="004D0DEA" w:rsidP="0039046B">
            <w:pPr>
              <w:spacing w:after="120"/>
              <w:rPr>
                <w:rFonts w:cs="Arial"/>
              </w:rPr>
            </w:pPr>
            <w:r>
              <w:rPr>
                <w:rFonts w:cs="Arial"/>
              </w:rPr>
              <w:t xml:space="preserve">Implement outcomes of the band review. Implementation plan contained in the </w:t>
            </w:r>
            <w:hyperlink r:id="rId83" w:history="1">
              <w:r>
                <w:rPr>
                  <w:rStyle w:val="Hyperlink"/>
                  <w:rFonts w:cs="Arial"/>
                </w:rPr>
                <w:t>decision paper</w:t>
              </w:r>
            </w:hyperlink>
            <w:r>
              <w:rPr>
                <w:rFonts w:cs="Arial"/>
              </w:rPr>
              <w:t xml:space="preserve">. 2016–17 will include transition of single frequency and studio-to-transmitter links to new arrangements (completion date </w:t>
            </w:r>
            <w:r w:rsidRPr="00F36D7D">
              <w:rPr>
                <w:rFonts w:cs="Arial"/>
              </w:rPr>
              <w:t>mid-2019).</w:t>
            </w:r>
          </w:p>
          <w:p w14:paraId="0A907071" w14:textId="77777777" w:rsidR="004D0DEA" w:rsidRPr="00CE1447" w:rsidRDefault="004D0DEA" w:rsidP="0039046B">
            <w:pPr>
              <w:spacing w:after="120"/>
            </w:pPr>
            <w:r>
              <w:rPr>
                <w:rFonts w:cs="Arial"/>
              </w:rPr>
              <w:t>Separate from the implementation, a preferred approach on a potential reconfiguration method for the 890–915/935–960 MHz band is expected to be released by the end of 2016</w:t>
            </w:r>
            <w:r w:rsidR="0006468B">
              <w:rPr>
                <w:rFonts w:cs="Arial"/>
              </w:rPr>
              <w:t>.</w:t>
            </w:r>
          </w:p>
        </w:tc>
        <w:tc>
          <w:tcPr>
            <w:tcW w:w="115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623645DD" w14:textId="77777777" w:rsidR="004D0DEA" w:rsidRPr="00CE1447" w:rsidRDefault="004D0DEA" w:rsidP="0039046B">
            <w:pPr>
              <w:spacing w:after="120"/>
              <w:rPr>
                <w:lang w:eastAsia="en-US"/>
              </w:rPr>
            </w:pPr>
            <w:r w:rsidRPr="00CE1447">
              <w:rPr>
                <w:rFonts w:cs="Arial"/>
                <w:lang w:val="de-DE"/>
              </w:rPr>
              <w:t>High</w:t>
            </w:r>
          </w:p>
        </w:tc>
        <w:tc>
          <w:tcPr>
            <w:tcW w:w="184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57230C92" w14:textId="77777777" w:rsidR="004D0DEA" w:rsidRDefault="004D0DEA" w:rsidP="0039046B">
            <w:pPr>
              <w:spacing w:after="120"/>
              <w:rPr>
                <w:lang w:eastAsia="en-US"/>
              </w:rPr>
            </w:pPr>
            <w:r w:rsidRPr="00327646">
              <w:rPr>
                <w:rFonts w:cs="Arial"/>
                <w:lang w:val="de-DE"/>
              </w:rPr>
              <w:t>Staged im</w:t>
            </w:r>
            <w:r w:rsidRPr="00373009">
              <w:rPr>
                <w:rFonts w:cs="Arial"/>
                <w:lang w:val="de-DE"/>
              </w:rPr>
              <w:t xml:space="preserve">plementation to </w:t>
            </w:r>
            <w:r>
              <w:rPr>
                <w:rFonts w:cs="Arial"/>
                <w:lang w:val="de-DE"/>
              </w:rPr>
              <w:t>m</w:t>
            </w:r>
            <w:r w:rsidRPr="00373009">
              <w:rPr>
                <w:rFonts w:cs="Arial"/>
                <w:lang w:val="de-DE"/>
              </w:rPr>
              <w:t>id</w:t>
            </w:r>
            <w:r>
              <w:rPr>
                <w:rFonts w:cs="Arial"/>
                <w:lang w:val="de-DE"/>
              </w:rPr>
              <w:t>-</w:t>
            </w:r>
            <w:r w:rsidRPr="00373009">
              <w:rPr>
                <w:rFonts w:cs="Arial"/>
                <w:lang w:val="de-DE"/>
              </w:rPr>
              <w:t>2024</w:t>
            </w:r>
          </w:p>
        </w:tc>
      </w:tr>
      <w:tr w:rsidR="004D0DEA" w14:paraId="0312B6DE"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5D9A5DF8" w14:textId="77777777" w:rsidR="004D0DEA" w:rsidRPr="005C3603" w:rsidRDefault="004D0DEA" w:rsidP="0039046B">
            <w:pPr>
              <w:spacing w:after="120"/>
            </w:pPr>
            <w:r>
              <w:t>1427–1518 MHz</w:t>
            </w:r>
          </w:p>
        </w:tc>
        <w:tc>
          <w:tcPr>
            <w:tcW w:w="1849"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0613D2A2" w14:textId="77777777" w:rsidR="004D0DEA" w:rsidRPr="005C3603" w:rsidRDefault="004D0DEA" w:rsidP="0039046B">
            <w:pPr>
              <w:spacing w:after="120"/>
              <w:rPr>
                <w:b/>
              </w:rPr>
            </w:pPr>
            <w:r w:rsidRPr="004C48F9">
              <w:t>Potential future use by mobile broadband</w:t>
            </w:r>
          </w:p>
        </w:tc>
        <w:tc>
          <w:tcPr>
            <w:tcW w:w="3094"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418434AB" w14:textId="77777777" w:rsidR="004D0DEA" w:rsidRDefault="004D0DEA" w:rsidP="0039046B">
            <w:pPr>
              <w:spacing w:after="120"/>
              <w:rPr>
                <w:lang w:val="de-DE"/>
              </w:rPr>
            </w:pPr>
            <w:r w:rsidRPr="004C48F9">
              <w:t xml:space="preserve">This band </w:t>
            </w:r>
            <w:r w:rsidRPr="009C74F0">
              <w:t>i</w:t>
            </w:r>
            <w:r>
              <w:t>s i</w:t>
            </w:r>
            <w:r w:rsidRPr="009C74F0">
              <w:t xml:space="preserve">n the </w:t>
            </w:r>
            <w:r w:rsidRPr="00FC2E2B">
              <w:rPr>
                <w:i/>
              </w:rPr>
              <w:t>initial investigation</w:t>
            </w:r>
            <w:r w:rsidRPr="009C74F0">
              <w:t xml:space="preserve"> stage of the process for consideration of additional spectrum for mobile broadband services</w:t>
            </w:r>
            <w:r w:rsidRPr="004C48F9">
              <w:t>. The 1.5</w:t>
            </w:r>
            <w:r>
              <w:t> </w:t>
            </w:r>
            <w:r w:rsidRPr="004C48F9">
              <w:t>GHz band</w:t>
            </w:r>
            <w:r>
              <w:t xml:space="preserve"> was identified for IMT at</w:t>
            </w:r>
            <w:r w:rsidRPr="004C48F9">
              <w:t xml:space="preserve"> WRC-15. </w:t>
            </w:r>
            <w:r>
              <w:t>T</w:t>
            </w:r>
            <w:r w:rsidRPr="00577F9D">
              <w:rPr>
                <w:rFonts w:cs="Arial"/>
              </w:rPr>
              <w:t xml:space="preserve">he ACMA </w:t>
            </w:r>
            <w:r>
              <w:rPr>
                <w:rFonts w:cs="Arial"/>
              </w:rPr>
              <w:t>expects to recommence consideration of this band for domestic use for mobile broadband later in 2016, with the release of a discussion paper</w:t>
            </w:r>
            <w:r w:rsidR="0006468B">
              <w:rPr>
                <w:rFonts w:cs="Arial"/>
              </w:rPr>
              <w:t>.</w:t>
            </w:r>
            <w:r>
              <w:rPr>
                <w:rFonts w:cs="Arial"/>
              </w:rPr>
              <w:t xml:space="preserve"> </w:t>
            </w:r>
          </w:p>
        </w:tc>
        <w:tc>
          <w:tcPr>
            <w:tcW w:w="1151"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07E55738" w14:textId="77777777" w:rsidR="004D0DEA" w:rsidRPr="00B93333" w:rsidRDefault="004D0DEA" w:rsidP="0039046B">
            <w:pPr>
              <w:spacing w:after="120"/>
              <w:rPr>
                <w:lang w:val="de-DE"/>
              </w:rPr>
            </w:pPr>
            <w:r>
              <w:t>High</w:t>
            </w:r>
          </w:p>
        </w:tc>
        <w:tc>
          <w:tcPr>
            <w:tcW w:w="1843"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044FC3AF" w14:textId="77777777" w:rsidR="004D0DEA" w:rsidRPr="00B93333" w:rsidRDefault="004D0DEA" w:rsidP="0039046B">
            <w:pPr>
              <w:spacing w:after="120"/>
              <w:rPr>
                <w:lang w:val="de-DE"/>
              </w:rPr>
            </w:pPr>
            <w:r w:rsidRPr="00373009">
              <w:t>Late 2017/</w:t>
            </w:r>
            <w:r>
              <w:t>e</w:t>
            </w:r>
            <w:r w:rsidRPr="00373009">
              <w:t>arly 2018</w:t>
            </w:r>
            <w:r>
              <w:t>,</w:t>
            </w:r>
            <w:r w:rsidRPr="00373009">
              <w:t xml:space="preserve"> contingent on consultation outcomes</w:t>
            </w:r>
          </w:p>
        </w:tc>
      </w:tr>
      <w:tr w:rsidR="004D0DEA" w14:paraId="35227D12"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FFE0F27" w14:textId="77777777" w:rsidR="004D0DEA" w:rsidRPr="00B93333" w:rsidRDefault="004D0DEA" w:rsidP="0039046B">
            <w:pPr>
              <w:spacing w:after="120"/>
              <w:rPr>
                <w:lang w:val="de-DE"/>
              </w:rPr>
            </w:pPr>
            <w:r w:rsidRPr="005C3603">
              <w:t>1710</w:t>
            </w:r>
            <w:r w:rsidRPr="00B93333">
              <w:rPr>
                <w:lang w:val="de-DE"/>
              </w:rPr>
              <w:t>–1712.5 MHz and 1805–1807.5 MHz (</w:t>
            </w:r>
            <w:r>
              <w:rPr>
                <w:lang w:val="de-DE"/>
              </w:rPr>
              <w:t>p</w:t>
            </w:r>
            <w:r w:rsidRPr="00B93333">
              <w:rPr>
                <w:lang w:val="de-DE"/>
              </w:rPr>
              <w:t>aired)</w:t>
            </w:r>
          </w:p>
          <w:p w14:paraId="50984753" w14:textId="77777777" w:rsidR="004D0DEA" w:rsidRDefault="004D0DEA" w:rsidP="0039046B">
            <w:pPr>
              <w:spacing w:after="120"/>
              <w:rPr>
                <w:lang w:eastAsia="en-US"/>
              </w:rPr>
            </w:pPr>
            <w:r w:rsidRPr="00B93333">
              <w:rPr>
                <w:lang w:val="de-DE"/>
              </w:rPr>
              <w:t>1770–1775 MHz and 1865–1870 MHz</w:t>
            </w:r>
          </w:p>
        </w:tc>
        <w:tc>
          <w:tcPr>
            <w:tcW w:w="184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CF52B2B" w14:textId="77777777" w:rsidR="004D0DEA" w:rsidRPr="001F57D0" w:rsidRDefault="004D0DEA" w:rsidP="0039046B">
            <w:pPr>
              <w:spacing w:after="120"/>
              <w:rPr>
                <w:b/>
                <w:lang w:eastAsia="en-US"/>
              </w:rPr>
            </w:pPr>
            <w:r>
              <w:rPr>
                <w:lang w:val="de-DE"/>
              </w:rPr>
              <w:t>Available</w:t>
            </w:r>
            <w:r w:rsidRPr="00B93333" w:rsidDel="00822B08">
              <w:rPr>
                <w:lang w:val="de-DE"/>
              </w:rPr>
              <w:t xml:space="preserve"> </w:t>
            </w:r>
            <w:r w:rsidRPr="00B93333">
              <w:rPr>
                <w:lang w:val="de-DE"/>
              </w:rPr>
              <w:t>spectrum in the 1800 MHz band—spectrum licences</w:t>
            </w:r>
          </w:p>
        </w:tc>
        <w:tc>
          <w:tcPr>
            <w:tcW w:w="309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485FFAA" w14:textId="77777777" w:rsidR="004D0DEA" w:rsidRPr="001F57D0" w:rsidRDefault="004D0DEA" w:rsidP="0039046B">
            <w:pPr>
              <w:spacing w:after="120"/>
            </w:pPr>
            <w:r>
              <w:rPr>
                <w:lang w:val="de-DE"/>
              </w:rPr>
              <w:t>Between November 2015 and February 2016, the ACMA held an auction of spectrum in the frequency ranges 1725–1785 MHz and 1820–1880 MHz in regional Australia. Six lots were left unsold: one each in Tasmania, western New South Wales, southern Queensland and Western Australia, and two in central Queensland. The ACMA has commenced preparation to allocate the 1800 MHz unsold lots via auction in 2017</w:t>
            </w:r>
            <w:r w:rsidR="0006468B">
              <w:rPr>
                <w:lang w:val="de-DE"/>
              </w:rPr>
              <w:t>.</w:t>
            </w:r>
          </w:p>
        </w:tc>
        <w:tc>
          <w:tcPr>
            <w:tcW w:w="1151"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3ADFE18" w14:textId="77777777" w:rsidR="004D0DEA" w:rsidRDefault="004D0DEA" w:rsidP="0039046B">
            <w:pPr>
              <w:spacing w:after="120"/>
              <w:rPr>
                <w:lang w:eastAsia="en-US"/>
              </w:rPr>
            </w:pPr>
            <w:r w:rsidRPr="00B93333">
              <w:rPr>
                <w:lang w:val="de-DE"/>
              </w:rPr>
              <w:t xml:space="preserve">High </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4F99052" w14:textId="77777777" w:rsidR="004D0DEA" w:rsidRDefault="00A767E6" w:rsidP="0039046B">
            <w:pPr>
              <w:spacing w:after="120"/>
              <w:rPr>
                <w:lang w:eastAsia="en-US"/>
              </w:rPr>
            </w:pPr>
            <w:r>
              <w:rPr>
                <w:lang w:val="de-DE"/>
              </w:rPr>
              <w:t xml:space="preserve">Expected </w:t>
            </w:r>
            <w:r w:rsidR="004D0DEA" w:rsidRPr="00B93333">
              <w:rPr>
                <w:lang w:val="de-DE"/>
              </w:rPr>
              <w:t>Q</w:t>
            </w:r>
            <w:r>
              <w:rPr>
                <w:lang w:val="de-DE"/>
              </w:rPr>
              <w:t>4</w:t>
            </w:r>
            <w:r w:rsidR="004D0DEA" w:rsidRPr="00B93333">
              <w:rPr>
                <w:lang w:val="de-DE"/>
              </w:rPr>
              <w:t xml:space="preserve"> 201</w:t>
            </w:r>
            <w:r w:rsidR="004D0DEA">
              <w:rPr>
                <w:lang w:val="de-DE"/>
              </w:rPr>
              <w:t>7</w:t>
            </w:r>
          </w:p>
        </w:tc>
      </w:tr>
      <w:tr w:rsidR="004D0DEA" w14:paraId="32B87015"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0724E8DE" w14:textId="77777777" w:rsidR="004D0DEA" w:rsidRPr="00B93333" w:rsidRDefault="004D0DEA" w:rsidP="0039046B">
            <w:pPr>
              <w:spacing w:after="120"/>
              <w:rPr>
                <w:lang w:val="de-DE"/>
              </w:rPr>
            </w:pPr>
            <w:r w:rsidRPr="005C3603">
              <w:t>1900</w:t>
            </w:r>
            <w:r w:rsidRPr="00B93333">
              <w:rPr>
                <w:lang w:val="de-DE"/>
              </w:rPr>
              <w:t>–1920 MHz</w:t>
            </w:r>
          </w:p>
          <w:p w14:paraId="2E065182" w14:textId="77777777" w:rsidR="004D0DEA" w:rsidRPr="00B93333" w:rsidRDefault="004D0DEA" w:rsidP="00375F63">
            <w:pPr>
              <w:spacing w:after="120"/>
              <w:rPr>
                <w:lang w:val="de-DE"/>
              </w:rPr>
            </w:pPr>
            <w:r w:rsidRPr="00B93333">
              <w:rPr>
                <w:lang w:val="de-DE"/>
              </w:rPr>
              <w:t>1920–1980 MHz</w:t>
            </w:r>
          </w:p>
          <w:p w14:paraId="4371BF4B" w14:textId="77777777" w:rsidR="004D0DEA" w:rsidRDefault="004D0DEA" w:rsidP="0039046B">
            <w:pPr>
              <w:spacing w:after="120"/>
              <w:rPr>
                <w:lang w:eastAsia="en-US"/>
              </w:rPr>
            </w:pPr>
            <w:r w:rsidRPr="00B93333">
              <w:rPr>
                <w:lang w:val="de-DE"/>
              </w:rPr>
              <w:t>2110–2170 MHz (</w:t>
            </w:r>
            <w:r>
              <w:rPr>
                <w:lang w:val="de-DE"/>
              </w:rPr>
              <w:t>p</w:t>
            </w:r>
            <w:r w:rsidRPr="00B93333">
              <w:rPr>
                <w:lang w:val="de-DE"/>
              </w:rPr>
              <w:t>aired)</w:t>
            </w:r>
          </w:p>
        </w:tc>
        <w:tc>
          <w:tcPr>
            <w:tcW w:w="1849"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7DC47CA1" w14:textId="77777777" w:rsidR="004D0DEA" w:rsidRPr="00E835EC" w:rsidRDefault="004D0DEA" w:rsidP="0039046B">
            <w:pPr>
              <w:spacing w:after="120"/>
              <w:rPr>
                <w:lang w:eastAsia="en-US"/>
              </w:rPr>
            </w:pPr>
            <w:r w:rsidRPr="00E835EC">
              <w:rPr>
                <w:lang w:val="de-DE"/>
              </w:rPr>
              <w:t xml:space="preserve">Expiring </w:t>
            </w:r>
            <w:r w:rsidRPr="00E835EC">
              <w:t>spectrum</w:t>
            </w:r>
            <w:r w:rsidRPr="00E835EC">
              <w:rPr>
                <w:lang w:val="de-DE"/>
              </w:rPr>
              <w:t xml:space="preserve"> licence process in 2 GHz band</w:t>
            </w:r>
          </w:p>
        </w:tc>
        <w:tc>
          <w:tcPr>
            <w:tcW w:w="3094"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75EE2B44" w14:textId="77777777" w:rsidR="004D0DEA" w:rsidRDefault="004D0DEA" w:rsidP="0039046B">
            <w:pPr>
              <w:spacing w:after="120"/>
              <w:rPr>
                <w:lang w:val="de-DE"/>
              </w:rPr>
            </w:pPr>
            <w:r>
              <w:rPr>
                <w:lang w:val="de-DE"/>
              </w:rPr>
              <w:t>The ACMA has commenced the r</w:t>
            </w:r>
            <w:r w:rsidRPr="00B93333">
              <w:rPr>
                <w:lang w:val="de-DE"/>
              </w:rPr>
              <w:t>eissue</w:t>
            </w:r>
            <w:r>
              <w:rPr>
                <w:lang w:val="de-DE"/>
              </w:rPr>
              <w:t xml:space="preserve"> process and/or reallocation of the spectrum licences in the 1920–1980 MHz and 2110–2170 MHz frequency range in accordance with the Act</w:t>
            </w:r>
            <w:r>
              <w:rPr>
                <w:i/>
                <w:lang w:val="de-DE"/>
              </w:rPr>
              <w:t xml:space="preserve">. </w:t>
            </w:r>
            <w:r>
              <w:rPr>
                <w:lang w:val="de-DE"/>
              </w:rPr>
              <w:t>In addition, the ACMA is in discussions with incumbent licensees on the possibility of consolidating spectrum holdings in the band</w:t>
            </w:r>
            <w:r w:rsidR="0006468B">
              <w:rPr>
                <w:lang w:val="de-DE"/>
              </w:rPr>
              <w:t>.</w:t>
            </w:r>
            <w:r>
              <w:rPr>
                <w:lang w:val="de-DE"/>
              </w:rPr>
              <w:t xml:space="preserve"> </w:t>
            </w:r>
          </w:p>
          <w:p w14:paraId="4CFEB66E" w14:textId="77777777" w:rsidR="004D0DEA" w:rsidRPr="001F57D0" w:rsidRDefault="004D0DEA" w:rsidP="0039046B">
            <w:pPr>
              <w:spacing w:after="120"/>
            </w:pPr>
            <w:r>
              <w:rPr>
                <w:lang w:val="de-DE"/>
              </w:rPr>
              <w:t>Spectrum licences in the 2 GHz band expire on 11 October 2017</w:t>
            </w:r>
            <w:r w:rsidR="0006468B">
              <w:rPr>
                <w:lang w:val="de-DE"/>
              </w:rPr>
              <w:t>.</w:t>
            </w:r>
          </w:p>
        </w:tc>
        <w:tc>
          <w:tcPr>
            <w:tcW w:w="1151"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62A974FF" w14:textId="77777777" w:rsidR="004D0DEA" w:rsidRDefault="004D0DEA" w:rsidP="0039046B">
            <w:pPr>
              <w:spacing w:after="120"/>
              <w:rPr>
                <w:lang w:eastAsia="en-US"/>
              </w:rPr>
            </w:pPr>
            <w:r w:rsidRPr="00B93333">
              <w:rPr>
                <w:lang w:val="de-DE"/>
              </w:rPr>
              <w:t xml:space="preserve">High </w:t>
            </w:r>
          </w:p>
        </w:tc>
        <w:tc>
          <w:tcPr>
            <w:tcW w:w="1843"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19FA4F14" w14:textId="77777777" w:rsidR="004D0DEA" w:rsidRDefault="004D0DEA" w:rsidP="0039046B">
            <w:pPr>
              <w:spacing w:after="120"/>
              <w:rPr>
                <w:lang w:eastAsia="en-US"/>
              </w:rPr>
            </w:pPr>
            <w:r w:rsidRPr="00B93333">
              <w:rPr>
                <w:lang w:val="de-DE"/>
              </w:rPr>
              <w:t>Q</w:t>
            </w:r>
            <w:r>
              <w:rPr>
                <w:lang w:val="de-DE"/>
              </w:rPr>
              <w:t>2</w:t>
            </w:r>
            <w:r w:rsidRPr="00B93333">
              <w:rPr>
                <w:lang w:val="de-DE"/>
              </w:rPr>
              <w:t xml:space="preserve"> 201</w:t>
            </w:r>
            <w:r>
              <w:rPr>
                <w:lang w:val="de-DE"/>
              </w:rPr>
              <w:t>7</w:t>
            </w:r>
          </w:p>
        </w:tc>
      </w:tr>
      <w:tr w:rsidR="004D0DEA" w14:paraId="1C2FC946"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68B0A9D9" w14:textId="77777777" w:rsidR="004D0DEA" w:rsidRDefault="004D0DEA" w:rsidP="0039046B">
            <w:pPr>
              <w:spacing w:after="120"/>
              <w:rPr>
                <w:lang w:eastAsia="en-US"/>
              </w:rPr>
            </w:pPr>
            <w:r w:rsidRPr="00B93333">
              <w:t>5850–5925 MHz (5.9 GHz band)</w:t>
            </w:r>
          </w:p>
        </w:tc>
        <w:tc>
          <w:tcPr>
            <w:tcW w:w="1849"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5C70C9F7" w14:textId="77777777" w:rsidR="004D0DEA" w:rsidRPr="001F57D0" w:rsidRDefault="004D0DEA" w:rsidP="0039046B">
            <w:pPr>
              <w:spacing w:after="120"/>
              <w:rPr>
                <w:b/>
                <w:lang w:eastAsia="en-US"/>
              </w:rPr>
            </w:pPr>
            <w:r>
              <w:rPr>
                <w:lang w:val="de-DE"/>
              </w:rPr>
              <w:t xml:space="preserve">Cooperative – </w:t>
            </w:r>
            <w:r w:rsidRPr="00B93333">
              <w:rPr>
                <w:lang w:val="de-DE"/>
              </w:rPr>
              <w:t>Intelligent Transport Systems (</w:t>
            </w:r>
            <w:r>
              <w:rPr>
                <w:lang w:val="de-DE"/>
              </w:rPr>
              <w:t>C-</w:t>
            </w:r>
            <w:r w:rsidRPr="00B93333">
              <w:rPr>
                <w:lang w:val="de-DE"/>
              </w:rPr>
              <w:t>ITS)</w:t>
            </w:r>
          </w:p>
        </w:tc>
        <w:tc>
          <w:tcPr>
            <w:tcW w:w="309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6E00E44A" w14:textId="77777777" w:rsidR="004D0DEA" w:rsidRPr="00B93333" w:rsidRDefault="004D0DEA" w:rsidP="0039046B">
            <w:pPr>
              <w:spacing w:after="120"/>
            </w:pPr>
            <w:r w:rsidRPr="00B93333">
              <w:t xml:space="preserve">Development of spectrum access and licensing arrangements to facilitate the introduction of </w:t>
            </w:r>
            <w:r>
              <w:t>C-</w:t>
            </w:r>
            <w:r w:rsidRPr="00B93333">
              <w:t>ITS.</w:t>
            </w:r>
          </w:p>
          <w:p w14:paraId="3342E9BD" w14:textId="77777777" w:rsidR="004D0DEA" w:rsidRPr="001F57D0" w:rsidRDefault="004D0DEA" w:rsidP="0039046B">
            <w:pPr>
              <w:spacing w:after="120"/>
            </w:pPr>
            <w:r w:rsidRPr="00B93333">
              <w:t xml:space="preserve">The ACMA released a </w:t>
            </w:r>
            <w:r>
              <w:t xml:space="preserve">draft class licence and </w:t>
            </w:r>
            <w:r w:rsidRPr="00B93333">
              <w:t xml:space="preserve">paper for </w:t>
            </w:r>
            <w:r>
              <w:t>C-</w:t>
            </w:r>
            <w:r w:rsidRPr="00B93333">
              <w:t xml:space="preserve">ITS in the </w:t>
            </w:r>
            <w:r>
              <w:t>5.9 GHz</w:t>
            </w:r>
            <w:r w:rsidRPr="00B93333">
              <w:t xml:space="preserve"> band</w:t>
            </w:r>
            <w:r>
              <w:t xml:space="preserve"> in August 2016</w:t>
            </w:r>
            <w:r w:rsidRPr="00B93333">
              <w:t xml:space="preserve">. The </w:t>
            </w:r>
            <w:r>
              <w:t>comment period closes in September 2016, with a view to having regulatory arrangements in place by 1 January 2017</w:t>
            </w:r>
            <w:r w:rsidR="0006468B">
              <w:t>.</w:t>
            </w:r>
          </w:p>
        </w:tc>
        <w:tc>
          <w:tcPr>
            <w:tcW w:w="115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290DBF12" w14:textId="77777777" w:rsidR="004D0DEA" w:rsidRDefault="004D0DEA" w:rsidP="0039046B">
            <w:pPr>
              <w:spacing w:after="120"/>
              <w:rPr>
                <w:lang w:eastAsia="en-US"/>
              </w:rPr>
            </w:pPr>
            <w:r w:rsidRPr="00B93333">
              <w:t xml:space="preserve">Medium </w:t>
            </w:r>
          </w:p>
        </w:tc>
        <w:tc>
          <w:tcPr>
            <w:tcW w:w="184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0F67CCFD" w14:textId="77777777" w:rsidR="004D0DEA" w:rsidRDefault="004D0DEA" w:rsidP="0039046B">
            <w:pPr>
              <w:spacing w:after="120"/>
              <w:rPr>
                <w:lang w:eastAsia="en-US"/>
              </w:rPr>
            </w:pPr>
            <w:r>
              <w:t>2016</w:t>
            </w:r>
          </w:p>
        </w:tc>
      </w:tr>
      <w:tr w:rsidR="00E87300" w14:paraId="202EDA77" w14:textId="77777777" w:rsidTr="002B3DF6">
        <w:trPr>
          <w:cantSplit/>
          <w:trHeight w:val="2056"/>
        </w:trPr>
        <w:tc>
          <w:tcPr>
            <w:tcW w:w="1702" w:type="dxa"/>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70494138" w14:textId="77777777" w:rsidR="00E87300" w:rsidRPr="00B93333" w:rsidRDefault="00E87300" w:rsidP="000E200B">
            <w:pPr>
              <w:spacing w:after="120"/>
            </w:pPr>
            <w:r w:rsidRPr="001F4ADC">
              <w:rPr>
                <w:lang w:val="en"/>
              </w:rPr>
              <w:t>19.7–20.2 GHz and 29.5–30.0 GHz</w:t>
            </w:r>
          </w:p>
        </w:tc>
        <w:tc>
          <w:tcPr>
            <w:tcW w:w="1849"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4557E36D" w14:textId="25703832" w:rsidR="00E87300" w:rsidRDefault="00E87300" w:rsidP="000E200B">
            <w:pPr>
              <w:spacing w:after="120"/>
              <w:rPr>
                <w:lang w:val="de-DE"/>
              </w:rPr>
            </w:pPr>
            <w:r w:rsidRPr="001F4ADC">
              <w:t>Development</w:t>
            </w:r>
            <w:r w:rsidRPr="00EC21AF">
              <w:t xml:space="preserve"> of </w:t>
            </w:r>
            <w:r w:rsidRPr="001F4ADC">
              <w:t>regulatory</w:t>
            </w:r>
            <w:r w:rsidRPr="00EC21AF">
              <w:t xml:space="preserve"> arrangements </w:t>
            </w:r>
            <w:r w:rsidRPr="001F4ADC">
              <w:t>supporting</w:t>
            </w:r>
            <w:r w:rsidR="00A839AF">
              <w:t xml:space="preserve"> E</w:t>
            </w:r>
            <w:r w:rsidRPr="00EC21AF">
              <w:t>arth stations in motion</w:t>
            </w:r>
            <w:r>
              <w:t xml:space="preserve"> (ESIMs)</w:t>
            </w:r>
          </w:p>
        </w:tc>
        <w:tc>
          <w:tcPr>
            <w:tcW w:w="3094"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57BC9D98" w14:textId="77777777" w:rsidR="00E87300" w:rsidRDefault="00E87300" w:rsidP="000E200B">
            <w:pPr>
              <w:spacing w:after="120"/>
              <w:rPr>
                <w:b/>
                <w:bCs/>
                <w:lang w:val="en"/>
              </w:rPr>
            </w:pPr>
            <w:r>
              <w:rPr>
                <w:rFonts w:cs="Arial"/>
              </w:rPr>
              <w:t>The ACMA has commenced the process of i</w:t>
            </w:r>
            <w:r w:rsidRPr="009E400F">
              <w:t xml:space="preserve">mplementing </w:t>
            </w:r>
            <w:r>
              <w:t xml:space="preserve">regulatory </w:t>
            </w:r>
            <w:r w:rsidRPr="009E400F">
              <w:t xml:space="preserve">arrangements for ESIMs communicating with geostationary space stations in the fixed-satellite service </w:t>
            </w:r>
            <w:r>
              <w:t>in accordance with</w:t>
            </w:r>
            <w:r w:rsidRPr="001F4ADC">
              <w:rPr>
                <w:lang w:val="en"/>
              </w:rPr>
              <w:t xml:space="preserve"> ITU Resolution </w:t>
            </w:r>
            <w:r w:rsidRPr="001F4ADC">
              <w:rPr>
                <w:b/>
                <w:bCs/>
                <w:lang w:val="en"/>
              </w:rPr>
              <w:t>156 (WRC-15)</w:t>
            </w:r>
            <w:r w:rsidRPr="00A839AF">
              <w:rPr>
                <w:bCs/>
                <w:lang w:val="en"/>
              </w:rPr>
              <w:t>.</w:t>
            </w:r>
          </w:p>
          <w:p w14:paraId="79F6B79E" w14:textId="77777777" w:rsidR="00E87300" w:rsidRPr="00B93333" w:rsidRDefault="00E87300" w:rsidP="000E200B">
            <w:pPr>
              <w:spacing w:after="120"/>
            </w:pPr>
            <w:r w:rsidRPr="009E400F">
              <w:t>See IFC 12/2016 Regulatory arrangements for stations in motion.</w:t>
            </w:r>
          </w:p>
        </w:tc>
        <w:tc>
          <w:tcPr>
            <w:tcW w:w="1151"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08EF1BB7" w14:textId="77777777" w:rsidR="00E87300" w:rsidRPr="00B93333" w:rsidRDefault="00E87300" w:rsidP="000E200B">
            <w:pPr>
              <w:spacing w:after="120"/>
            </w:pPr>
            <w:r>
              <w:t>Medium</w:t>
            </w:r>
          </w:p>
        </w:tc>
        <w:tc>
          <w:tcPr>
            <w:tcW w:w="1843" w:type="dxa"/>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580703EF" w14:textId="5D28AE5A" w:rsidR="00E87300" w:rsidRDefault="00E87300" w:rsidP="000E200B">
            <w:pPr>
              <w:spacing w:after="120"/>
            </w:pPr>
            <w:r>
              <w:t>Q4</w:t>
            </w:r>
            <w:r w:rsidR="00A839AF">
              <w:t>,</w:t>
            </w:r>
            <w:r>
              <w:t xml:space="preserve"> 2017</w:t>
            </w:r>
          </w:p>
        </w:tc>
      </w:tr>
    </w:tbl>
    <w:p w14:paraId="407FDDA0" w14:textId="77777777" w:rsidR="004D0DEA" w:rsidRPr="003A0272" w:rsidRDefault="004D0DEA" w:rsidP="0039046B">
      <w:pPr>
        <w:pStyle w:val="ACMASpaceaftertable"/>
      </w:pPr>
    </w:p>
    <w:p w14:paraId="0466072A" w14:textId="77777777" w:rsidR="004D0DEA" w:rsidRPr="00640857" w:rsidRDefault="004D0DEA" w:rsidP="009F24AF">
      <w:pPr>
        <w:pStyle w:val="Heading2"/>
      </w:pPr>
      <w:bookmarkStart w:id="340" w:name="_Toc461108015"/>
      <w:bookmarkStart w:id="341" w:name="_Toc461194842"/>
      <w:bookmarkStart w:id="342" w:name="_Toc461445493"/>
      <w:bookmarkStart w:id="343" w:name="_Toc463351330"/>
      <w:r w:rsidRPr="00640857">
        <w:t>Regulato</w:t>
      </w:r>
      <w:r w:rsidR="00971D54">
        <w:t>ry and service-</w:t>
      </w:r>
      <w:r w:rsidRPr="00640857">
        <w:t>planning projects 2016</w:t>
      </w:r>
      <w:r>
        <w:t>–</w:t>
      </w:r>
      <w:r w:rsidRPr="00640857">
        <w:t>17</w:t>
      </w:r>
      <w:bookmarkEnd w:id="340"/>
      <w:bookmarkEnd w:id="341"/>
      <w:bookmarkEnd w:id="342"/>
      <w:bookmarkEnd w:id="343"/>
    </w:p>
    <w:tbl>
      <w:tblPr>
        <w:tblStyle w:val="TableGrid2"/>
        <w:tblW w:w="9760" w:type="dxa"/>
        <w:tblInd w:w="147" w:type="dxa"/>
        <w:tblBorders>
          <w:left w:val="none" w:sz="0" w:space="0" w:color="auto"/>
          <w:bottom w:val="none" w:sz="0" w:space="0" w:color="auto"/>
          <w:right w:val="none" w:sz="0" w:space="0" w:color="auto"/>
        </w:tblBorders>
        <w:tblLayout w:type="fixed"/>
        <w:tblCellMar>
          <w:top w:w="57" w:type="dxa"/>
          <w:left w:w="57" w:type="dxa"/>
          <w:bottom w:w="57" w:type="dxa"/>
          <w:right w:w="57" w:type="dxa"/>
        </w:tblCellMar>
        <w:tblLook w:val="04A0" w:firstRow="1" w:lastRow="0" w:firstColumn="1" w:lastColumn="0" w:noHBand="0" w:noVBand="1"/>
        <w:tblCaption w:val="2015-16 Regulatory and service planning work programs"/>
        <w:tblDescription w:val="Includes work task, outline of the project, the status, priority and expected completion time frame."/>
      </w:tblPr>
      <w:tblGrid>
        <w:gridCol w:w="1732"/>
        <w:gridCol w:w="4059"/>
        <w:gridCol w:w="1044"/>
        <w:gridCol w:w="1134"/>
        <w:gridCol w:w="1791"/>
      </w:tblGrid>
      <w:tr w:rsidR="004D0DEA" w:rsidRPr="004C48F9" w14:paraId="09111F6C" w14:textId="77777777" w:rsidTr="00184327">
        <w:trPr>
          <w:trHeight w:val="342"/>
          <w:tblHeader/>
        </w:trPr>
        <w:tc>
          <w:tcPr>
            <w:tcW w:w="1732"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592D8709" w14:textId="77777777" w:rsidR="004D0DEA" w:rsidRPr="005425F5" w:rsidRDefault="004D0DEA" w:rsidP="0039046B">
            <w:pPr>
              <w:pStyle w:val="TableHeading"/>
              <w:spacing w:before="60" w:after="60"/>
              <w:rPr>
                <w:color w:val="FFFFFF" w:themeColor="background1"/>
                <w:highlight w:val="black"/>
              </w:rPr>
            </w:pPr>
            <w:r w:rsidRPr="0039046B">
              <w:rPr>
                <w:color w:val="FFFFFF" w:themeColor="background1"/>
              </w:rPr>
              <w:t>Work task</w:t>
            </w:r>
          </w:p>
        </w:tc>
        <w:tc>
          <w:tcPr>
            <w:tcW w:w="4059"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42A247A0" w14:textId="77777777" w:rsidR="004D0DEA" w:rsidRPr="005425F5" w:rsidRDefault="004D0DEA" w:rsidP="0039046B">
            <w:pPr>
              <w:pStyle w:val="TableHeading"/>
              <w:spacing w:before="60" w:after="60"/>
              <w:rPr>
                <w:color w:val="FFFFFF" w:themeColor="background1"/>
                <w:highlight w:val="black"/>
              </w:rPr>
            </w:pPr>
            <w:r w:rsidRPr="0039046B">
              <w:rPr>
                <w:color w:val="FFFFFF" w:themeColor="background1"/>
              </w:rPr>
              <w:t>Outline</w:t>
            </w:r>
          </w:p>
        </w:tc>
        <w:tc>
          <w:tcPr>
            <w:tcW w:w="1044"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66A2996B" w14:textId="77777777" w:rsidR="004D0DEA" w:rsidRPr="0039046B" w:rsidRDefault="004D0DEA" w:rsidP="0039046B">
            <w:pPr>
              <w:pStyle w:val="TableHeading"/>
              <w:spacing w:before="60" w:after="60"/>
              <w:rPr>
                <w:color w:val="FFFFFF" w:themeColor="background1"/>
              </w:rPr>
            </w:pPr>
            <w:r w:rsidRPr="0039046B">
              <w:rPr>
                <w:color w:val="FFFFFF" w:themeColor="background1"/>
              </w:rPr>
              <w:t>Status</w:t>
            </w:r>
          </w:p>
        </w:tc>
        <w:tc>
          <w:tcPr>
            <w:tcW w:w="1134"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06E484FA" w14:textId="77777777" w:rsidR="004D0DEA" w:rsidRPr="0039046B" w:rsidRDefault="004D0DEA" w:rsidP="0039046B">
            <w:pPr>
              <w:pStyle w:val="TableHeading"/>
              <w:spacing w:before="60" w:after="60"/>
              <w:rPr>
                <w:color w:val="FFFFFF" w:themeColor="background1"/>
              </w:rPr>
            </w:pPr>
            <w:r w:rsidRPr="0039046B">
              <w:rPr>
                <w:color w:val="FFFFFF" w:themeColor="background1"/>
              </w:rPr>
              <w:t>Priority</w:t>
            </w:r>
          </w:p>
        </w:tc>
        <w:tc>
          <w:tcPr>
            <w:tcW w:w="1791"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07CE1BE7" w14:textId="77777777" w:rsidR="004D0DEA" w:rsidRPr="005425F5" w:rsidRDefault="004D0DEA" w:rsidP="0039046B">
            <w:pPr>
              <w:pStyle w:val="TableHeading"/>
              <w:spacing w:before="60" w:after="60"/>
              <w:rPr>
                <w:color w:val="FFFFFF" w:themeColor="background1"/>
              </w:rPr>
            </w:pPr>
            <w:r w:rsidRPr="0039046B">
              <w:rPr>
                <w:color w:val="FFFFFF" w:themeColor="background1"/>
              </w:rPr>
              <w:t>Expected completion time frame</w:t>
            </w:r>
          </w:p>
        </w:tc>
      </w:tr>
      <w:tr w:rsidR="004D0DEA" w:rsidRPr="00552992" w14:paraId="093C801B"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auto"/>
          </w:tcPr>
          <w:p w14:paraId="70EF360B" w14:textId="77777777" w:rsidR="004D0DEA" w:rsidRPr="00552992" w:rsidRDefault="004D0DEA" w:rsidP="0039046B">
            <w:pPr>
              <w:spacing w:after="120"/>
              <w:rPr>
                <w:rFonts w:cs="Arial"/>
              </w:rPr>
            </w:pPr>
            <w:r w:rsidRPr="00552992">
              <w:rPr>
                <w:rFonts w:cs="Arial"/>
              </w:rPr>
              <w:t>Australian Radiofrequency Spectrum Plan</w:t>
            </w:r>
          </w:p>
        </w:tc>
        <w:tc>
          <w:tcPr>
            <w:tcW w:w="4059" w:type="dxa"/>
            <w:tcBorders>
              <w:top w:val="single" w:sz="4" w:space="0" w:color="auto"/>
              <w:left w:val="single" w:sz="4" w:space="0" w:color="auto"/>
              <w:bottom w:val="single" w:sz="4" w:space="0" w:color="auto"/>
              <w:right w:val="single" w:sz="4" w:space="0" w:color="auto"/>
            </w:tcBorders>
            <w:shd w:val="clear" w:color="auto" w:fill="auto"/>
          </w:tcPr>
          <w:p w14:paraId="23F92C99" w14:textId="77777777" w:rsidR="004D0DEA" w:rsidRPr="00184327" w:rsidRDefault="004D0DEA" w:rsidP="0039046B">
            <w:pPr>
              <w:spacing w:after="120"/>
            </w:pPr>
            <w:r w:rsidRPr="00184327">
              <w:t xml:space="preserve">The ACMA is considering changes to the </w:t>
            </w:r>
            <w:r w:rsidRPr="00184327">
              <w:rPr>
                <w:i/>
              </w:rPr>
              <w:t>Australian Radiofrequency Spectrum Plan 2013</w:t>
            </w:r>
            <w:r w:rsidRPr="00184327">
              <w:t xml:space="preserve"> as a result of changes made to international frequency allocations at WRC-15</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auto"/>
          </w:tcPr>
          <w:p w14:paraId="2930B2F0"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4D745C" w14:textId="77777777" w:rsidR="004D0DEA" w:rsidRPr="00552992" w:rsidRDefault="004D0DEA" w:rsidP="0039046B">
            <w:pPr>
              <w:spacing w:after="120"/>
              <w:rPr>
                <w:rFonts w:cs="Arial"/>
              </w:rPr>
            </w:pPr>
            <w:r w:rsidRPr="00552992">
              <w:rPr>
                <w:rFonts w:cs="Arial"/>
              </w:rPr>
              <w:t>High</w:t>
            </w:r>
          </w:p>
        </w:tc>
        <w:tc>
          <w:tcPr>
            <w:tcW w:w="1791" w:type="dxa"/>
            <w:tcBorders>
              <w:top w:val="single" w:sz="4" w:space="0" w:color="auto"/>
              <w:left w:val="single" w:sz="4" w:space="0" w:color="auto"/>
              <w:bottom w:val="single" w:sz="4" w:space="0" w:color="auto"/>
              <w:right w:val="single" w:sz="4" w:space="0" w:color="auto"/>
            </w:tcBorders>
            <w:shd w:val="clear" w:color="auto" w:fill="auto"/>
          </w:tcPr>
          <w:p w14:paraId="5275B8B9" w14:textId="77777777" w:rsidR="004D0DEA" w:rsidRPr="00552992" w:rsidRDefault="004D0DEA" w:rsidP="0039046B">
            <w:pPr>
              <w:spacing w:after="120"/>
              <w:rPr>
                <w:rFonts w:cs="Arial"/>
              </w:rPr>
            </w:pPr>
            <w:r w:rsidRPr="00552992">
              <w:rPr>
                <w:rFonts w:cs="Arial"/>
              </w:rPr>
              <w:t>Planned release of 1 January 2017</w:t>
            </w:r>
          </w:p>
        </w:tc>
      </w:tr>
      <w:tr w:rsidR="004D0DEA" w:rsidRPr="00552992" w14:paraId="314CFA0D" w14:textId="77777777" w:rsidTr="00A839AF">
        <w:trPr>
          <w:trHeight w:val="385"/>
        </w:trPr>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10B38B0" w14:textId="77777777" w:rsidR="004D0DEA" w:rsidRPr="00552992" w:rsidRDefault="004D0DEA" w:rsidP="0039046B">
            <w:pPr>
              <w:spacing w:after="120"/>
            </w:pPr>
            <w:r w:rsidRPr="00552992">
              <w:t>Review of taxation arrangements for Ka-band spectrum for satellite use</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8AB092" w14:textId="77777777" w:rsidR="004D0DEA" w:rsidRPr="00184327" w:rsidRDefault="004D0DEA" w:rsidP="0039046B">
            <w:pPr>
              <w:spacing w:after="120"/>
              <w:rPr>
                <w:rFonts w:cs="Arial"/>
                <w:lang w:val="de-DE"/>
              </w:rPr>
            </w:pPr>
            <w:r w:rsidRPr="00184327">
              <w:rPr>
                <w:rFonts w:cs="Arial"/>
                <w:lang w:val="de-DE"/>
              </w:rPr>
              <w:t>The ACMA has previously flagged a review of apparatus licence taxation arrangements for satellite services</w:t>
            </w:r>
            <w:r w:rsidR="0006468B">
              <w:rPr>
                <w:rFonts w:cs="Arial"/>
                <w:lang w:val="de-DE"/>
              </w:rPr>
              <w:t>.</w:t>
            </w:r>
          </w:p>
          <w:p w14:paraId="21A4BBF7" w14:textId="77777777" w:rsidR="004D0DEA" w:rsidRPr="00184327" w:rsidRDefault="004D0DEA" w:rsidP="0039046B">
            <w:pPr>
              <w:spacing w:after="120"/>
              <w:rPr>
                <w:rFonts w:cs="Arial"/>
                <w:lang w:val="de-DE"/>
              </w:rPr>
            </w:pPr>
            <w:r w:rsidRPr="00184327">
              <w:rPr>
                <w:rFonts w:cs="Arial"/>
                <w:lang w:val="de-DE"/>
              </w:rPr>
              <w:t>The ACMA’s review will focus on the Ka-band and will include a review of the basis of the taxes, and the application of the generalised tax formula to satellite services</w:t>
            </w:r>
            <w:r w:rsidR="0006468B">
              <w:rPr>
                <w:rFonts w:cs="Arial"/>
                <w:lang w:val="de-DE"/>
              </w:rPr>
              <w:t>.</w:t>
            </w:r>
          </w:p>
          <w:p w14:paraId="47CBADEC" w14:textId="77777777" w:rsidR="004D0DEA" w:rsidRPr="00184327" w:rsidRDefault="004D0DEA" w:rsidP="0039046B">
            <w:pPr>
              <w:spacing w:after="120"/>
              <w:rPr>
                <w:rFonts w:cs="Arial"/>
                <w:lang w:val="de-DE"/>
              </w:rPr>
            </w:pPr>
            <w:r w:rsidRPr="00184327">
              <w:rPr>
                <w:rFonts w:cs="Arial"/>
                <w:lang w:val="de-DE"/>
              </w:rPr>
              <w:t>The ACMA commissioned a report by Plum Consulting about apparatus licence taxation arrangements. The ACMA has received this report and expects to consult on a range of proposals. Lessons learned in this review may be carried over to other satellite bands in future</w:t>
            </w:r>
            <w:r w:rsidR="0006468B">
              <w:rPr>
                <w:rFonts w:cs="Arial"/>
                <w:lang w:val="de-DE"/>
              </w:rPr>
              <w:t>.</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DC239A" w14:textId="77777777" w:rsidR="004D0DEA" w:rsidRPr="00552992" w:rsidRDefault="004D0DEA" w:rsidP="0039046B">
            <w:pPr>
              <w:spacing w:after="120"/>
            </w:pPr>
            <w:r w:rsidRPr="00552992">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74EC839" w14:textId="77777777" w:rsidR="004D0DEA" w:rsidRPr="00552992" w:rsidRDefault="004D0DEA" w:rsidP="0039046B">
            <w:pPr>
              <w:spacing w:after="120"/>
            </w:pPr>
            <w:r w:rsidRPr="00552992">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4642786" w14:textId="77777777" w:rsidR="004D0DEA" w:rsidRPr="00552992" w:rsidRDefault="004D0DEA" w:rsidP="0039046B">
            <w:pPr>
              <w:spacing w:after="120"/>
            </w:pPr>
            <w:r w:rsidRPr="00552992">
              <w:t>Review to be completed in Q2</w:t>
            </w:r>
            <w:r>
              <w:t>,</w:t>
            </w:r>
            <w:r w:rsidRPr="00552992">
              <w:t xml:space="preserve"> 2016</w:t>
            </w:r>
          </w:p>
        </w:tc>
      </w:tr>
      <w:tr w:rsidR="004D0DEA" w:rsidRPr="00552992" w14:paraId="208F53DB"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auto"/>
          </w:tcPr>
          <w:p w14:paraId="71218B4D" w14:textId="77777777" w:rsidR="004D0DEA" w:rsidRPr="00552992" w:rsidRDefault="004D0DEA" w:rsidP="0039046B">
            <w:pPr>
              <w:spacing w:after="120"/>
            </w:pPr>
            <w:r w:rsidRPr="00552992">
              <w:t>Methodology for implementing opportunity cost pricing in appropriate bands</w:t>
            </w:r>
          </w:p>
        </w:tc>
        <w:tc>
          <w:tcPr>
            <w:tcW w:w="4059" w:type="dxa"/>
            <w:tcBorders>
              <w:top w:val="single" w:sz="4" w:space="0" w:color="auto"/>
              <w:left w:val="single" w:sz="4" w:space="0" w:color="auto"/>
              <w:bottom w:val="single" w:sz="4" w:space="0" w:color="auto"/>
              <w:right w:val="single" w:sz="4" w:space="0" w:color="auto"/>
            </w:tcBorders>
            <w:shd w:val="clear" w:color="auto" w:fill="auto"/>
          </w:tcPr>
          <w:p w14:paraId="2EEA0D39" w14:textId="77777777" w:rsidR="004D0DEA" w:rsidRPr="00552992" w:rsidRDefault="004D0DEA" w:rsidP="0039046B">
            <w:pPr>
              <w:spacing w:after="120"/>
              <w:rPr>
                <w:rFonts w:cs="Arial"/>
                <w:lang w:val="de-DE"/>
              </w:rPr>
            </w:pPr>
            <w:r w:rsidRPr="00552992">
              <w:rPr>
                <w:rFonts w:cs="Arial"/>
              </w:rPr>
              <w:t xml:space="preserve">In January 2010, the ACMA decided to consider the use of opportunity cost pricing for annual fees for administratively allocated spectrum. </w:t>
            </w:r>
            <w:r w:rsidRPr="00552992">
              <w:t>Reviews of taxation arrangements will normally be aligned with major licensing, planning and allocation processes conducted by the ACMA. This will allow the ACMA to focus its resources to projects that have a high priority across the agency. The first will be the 400 MHz band review</w:t>
            </w:r>
            <w:r w:rsidR="0006468B">
              <w:t>.</w:t>
            </w:r>
            <w:r w:rsidRPr="00552992">
              <w:t xml:space="preserve"> </w:t>
            </w:r>
          </w:p>
        </w:tc>
        <w:tc>
          <w:tcPr>
            <w:tcW w:w="1044" w:type="dxa"/>
            <w:tcBorders>
              <w:top w:val="single" w:sz="4" w:space="0" w:color="auto"/>
              <w:left w:val="single" w:sz="4" w:space="0" w:color="auto"/>
              <w:bottom w:val="single" w:sz="4" w:space="0" w:color="auto"/>
              <w:right w:val="single" w:sz="4" w:space="0" w:color="auto"/>
            </w:tcBorders>
            <w:shd w:val="clear" w:color="auto" w:fill="auto"/>
          </w:tcPr>
          <w:p w14:paraId="640A0E1C" w14:textId="77777777" w:rsidR="004D0DEA" w:rsidRPr="00552992" w:rsidRDefault="004D0DEA" w:rsidP="0039046B">
            <w:pPr>
              <w:spacing w:after="120"/>
            </w:pPr>
            <w:r w:rsidRPr="00552992">
              <w:t>Active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0CC302B" w14:textId="77777777" w:rsidR="004D0DEA" w:rsidRPr="00552992" w:rsidRDefault="004D0DEA" w:rsidP="0039046B">
            <w:pPr>
              <w:spacing w:after="120"/>
            </w:pPr>
            <w:r w:rsidRPr="00552992">
              <w:t>Medium</w:t>
            </w:r>
          </w:p>
        </w:tc>
        <w:tc>
          <w:tcPr>
            <w:tcW w:w="1791" w:type="dxa"/>
            <w:tcBorders>
              <w:top w:val="single" w:sz="4" w:space="0" w:color="auto"/>
              <w:left w:val="single" w:sz="4" w:space="0" w:color="auto"/>
              <w:bottom w:val="single" w:sz="4" w:space="0" w:color="auto"/>
              <w:right w:val="single" w:sz="4" w:space="0" w:color="auto"/>
            </w:tcBorders>
            <w:shd w:val="clear" w:color="auto" w:fill="auto"/>
          </w:tcPr>
          <w:p w14:paraId="6460E651" w14:textId="77777777" w:rsidR="004D0DEA" w:rsidRPr="00552992" w:rsidRDefault="004D0DEA" w:rsidP="0039046B">
            <w:pPr>
              <w:spacing w:after="120"/>
            </w:pPr>
            <w:r w:rsidRPr="00552992">
              <w:t>The ACMA expects to make announcements about the taxation arrangements for high-density areas of this band in 2016–17</w:t>
            </w:r>
            <w:r w:rsidR="0006468B">
              <w:t>.</w:t>
            </w:r>
            <w:r w:rsidRPr="00552992">
              <w:t xml:space="preserve"> </w:t>
            </w:r>
          </w:p>
          <w:p w14:paraId="7470A5A3" w14:textId="77777777" w:rsidR="004D0DEA" w:rsidRPr="00552992" w:rsidRDefault="004D0DEA" w:rsidP="0039046B">
            <w:pPr>
              <w:spacing w:after="120"/>
            </w:pPr>
            <w:r w:rsidRPr="00552992">
              <w:t>Further consultation about high-density areas will be undertaken over the next three years</w:t>
            </w:r>
            <w:r w:rsidR="0006468B">
              <w:t>.</w:t>
            </w:r>
          </w:p>
        </w:tc>
      </w:tr>
      <w:tr w:rsidR="004D0DEA" w:rsidRPr="00552992" w14:paraId="6E7FE0BA"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90B2EE" w14:textId="77777777" w:rsidR="004D0DEA" w:rsidRPr="00552992" w:rsidRDefault="004D0DEA" w:rsidP="0039046B">
            <w:pPr>
              <w:spacing w:after="120"/>
              <w:rPr>
                <w:rFonts w:cs="Arial"/>
                <w:b/>
              </w:rPr>
            </w:pPr>
            <w:r w:rsidRPr="00552992">
              <w:rPr>
                <w:rFonts w:cs="Arial"/>
              </w:rPr>
              <w:t>Mobile phone jammer trial at Goulburn Correctional Complex</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B2D1B0C" w14:textId="77777777" w:rsidR="004D0DEA" w:rsidRPr="00552992" w:rsidRDefault="004D0DEA" w:rsidP="00A40947">
            <w:pPr>
              <w:spacing w:after="120"/>
            </w:pPr>
            <w:r w:rsidRPr="00552992">
              <w:t xml:space="preserve">The ACMA </w:t>
            </w:r>
            <w:r w:rsidR="00A40947">
              <w:t>has facilitated</w:t>
            </w:r>
            <w:r w:rsidRPr="00552992">
              <w:t xml:space="preserve"> a trial of mobile phone jammers at the Goulburn Correctional Complex, NSW. A trial at Goulburn Correctional Complex will allow all stakeholders to assess the interference risk of a mobile phone jammer in a correctional facility in a medium-density area. The ACMA conducted public consultation on this proposal in May–June 2016.</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7352E1"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F3F726E" w14:textId="77777777" w:rsidR="004D0DEA" w:rsidRPr="00552992" w:rsidRDefault="004D0DEA" w:rsidP="0039046B">
            <w:pPr>
              <w:spacing w:after="12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15C6FE" w14:textId="77777777" w:rsidR="004D0DEA" w:rsidRPr="00552992" w:rsidRDefault="004D0DEA" w:rsidP="0039046B">
            <w:pPr>
              <w:spacing w:after="120"/>
              <w:rPr>
                <w:rFonts w:cs="Arial"/>
              </w:rPr>
            </w:pPr>
            <w:r w:rsidRPr="00552992">
              <w:rPr>
                <w:rFonts w:cs="Arial"/>
              </w:rPr>
              <w:t>Likely to commence</w:t>
            </w:r>
            <w:r>
              <w:rPr>
                <w:rFonts w:cs="Arial"/>
              </w:rPr>
              <w:t xml:space="preserve"> </w:t>
            </w:r>
            <w:r w:rsidRPr="00552992">
              <w:rPr>
                <w:rFonts w:cs="Arial"/>
              </w:rPr>
              <w:t>in the 2016</w:t>
            </w:r>
            <w:r>
              <w:rPr>
                <w:rFonts w:cs="Arial"/>
              </w:rPr>
              <w:t>–</w:t>
            </w:r>
            <w:r w:rsidRPr="00552992">
              <w:rPr>
                <w:rFonts w:cs="Arial"/>
              </w:rPr>
              <w:t>17 financial year</w:t>
            </w:r>
          </w:p>
        </w:tc>
      </w:tr>
      <w:tr w:rsidR="004D0DEA" w:rsidRPr="00D67A3D" w14:paraId="09EADC5D"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auto"/>
          </w:tcPr>
          <w:p w14:paraId="3ADD3356" w14:textId="77777777" w:rsidR="004D0DEA" w:rsidRPr="00552992" w:rsidRDefault="004D0DEA" w:rsidP="00375F63">
            <w:pPr>
              <w:spacing w:after="0"/>
              <w:rPr>
                <w:rFonts w:cs="Arial"/>
                <w:b/>
              </w:rPr>
            </w:pPr>
            <w:r w:rsidRPr="00552992">
              <w:rPr>
                <w:rFonts w:cs="Arial"/>
              </w:rPr>
              <w:t>Mobile phone jammer trial at Lithgow Correctional Centre</w:t>
            </w:r>
          </w:p>
        </w:tc>
        <w:tc>
          <w:tcPr>
            <w:tcW w:w="4059" w:type="dxa"/>
            <w:tcBorders>
              <w:top w:val="single" w:sz="4" w:space="0" w:color="auto"/>
              <w:left w:val="single" w:sz="4" w:space="0" w:color="auto"/>
              <w:bottom w:val="single" w:sz="4" w:space="0" w:color="auto"/>
              <w:right w:val="single" w:sz="4" w:space="0" w:color="auto"/>
            </w:tcBorders>
            <w:shd w:val="clear" w:color="auto" w:fill="auto"/>
          </w:tcPr>
          <w:p w14:paraId="53073625" w14:textId="77777777" w:rsidR="004D0DEA" w:rsidRPr="00552992" w:rsidRDefault="004D0DEA" w:rsidP="0039046B">
            <w:pPr>
              <w:spacing w:after="120"/>
            </w:pPr>
            <w:r w:rsidRPr="00552992">
              <w:t>Since 2013, at the request of Corrective Services NSW (CSNSW), the ACMA has facilitated a trial of mobile phone jammers at Lithgow Correctional Centre in NSW. The aim of this trial is to assess whether the benefits of the use of mobile phone jammers in correctional facilities can be realised without the risk to the operation of mobile phone networks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auto"/>
          </w:tcPr>
          <w:p w14:paraId="56B5035B"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94E92B2"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auto"/>
          </w:tcPr>
          <w:p w14:paraId="565EB24B" w14:textId="77777777" w:rsidR="004D0DEA" w:rsidRPr="00D67A3D" w:rsidRDefault="004D0DEA" w:rsidP="00375F63">
            <w:pPr>
              <w:spacing w:after="0"/>
              <w:rPr>
                <w:rFonts w:cs="Arial"/>
              </w:rPr>
            </w:pPr>
            <w:r>
              <w:rPr>
                <w:rFonts w:cs="Arial"/>
              </w:rPr>
              <w:t>Ongoing—trial is e</w:t>
            </w:r>
            <w:r w:rsidRPr="00552992">
              <w:rPr>
                <w:rFonts w:cs="Arial"/>
              </w:rPr>
              <w:t>xtended to November 2018</w:t>
            </w:r>
          </w:p>
        </w:tc>
      </w:tr>
      <w:tr w:rsidR="004D0DEA" w:rsidRPr="00552992" w14:paraId="3A90FB9E"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2148B98" w14:textId="77777777" w:rsidR="004D0DEA" w:rsidRPr="00552992" w:rsidRDefault="004D0DEA" w:rsidP="00375F63">
            <w:pPr>
              <w:spacing w:after="0"/>
            </w:pPr>
            <w:r w:rsidRPr="00552992">
              <w:t>LIPD class licence</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93BF559" w14:textId="77777777" w:rsidR="004D0DEA" w:rsidRPr="00552992" w:rsidRDefault="004D0DEA" w:rsidP="0039046B">
            <w:pPr>
              <w:spacing w:after="120"/>
            </w:pPr>
            <w:r w:rsidRPr="00552992">
              <w:t>The LIPD class licence was remade in May 2016 to include updates to support new devices. The ACMA is monitoring emerging technology developments for consideration of possible fu</w:t>
            </w:r>
            <w:r w:rsidRPr="00552992" w:rsidDel="001D227C">
              <w:t>t</w:t>
            </w:r>
            <w:r w:rsidRPr="00552992">
              <w:t>ure reviews and updates to the class licence and conditions for operation, frequency bands and radiated power limits</w:t>
            </w:r>
            <w:r w:rsidR="0006468B">
              <w:t>.</w:t>
            </w:r>
            <w:r w:rsidRPr="00552992">
              <w:t xml:space="preserve"> </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403AD6" w14:textId="77777777" w:rsidR="004D0DEA" w:rsidRPr="00552992" w:rsidRDefault="004D0DEA" w:rsidP="00375F63">
            <w:pPr>
              <w:spacing w:after="0"/>
            </w:pPr>
            <w:r w:rsidRPr="00552992">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1E05F9" w14:textId="77777777" w:rsidR="004D0DEA" w:rsidRPr="00552992" w:rsidRDefault="004D0DEA" w:rsidP="00375F63">
            <w:pPr>
              <w:spacing w:after="0"/>
            </w:pPr>
            <w:r w:rsidRPr="00552992">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D80051" w14:textId="77777777" w:rsidR="004D0DEA" w:rsidRPr="00552992" w:rsidRDefault="004D0DEA" w:rsidP="00375F63">
            <w:pPr>
              <w:spacing w:after="0"/>
            </w:pPr>
            <w:r w:rsidRPr="00552992">
              <w:t>Ongoing</w:t>
            </w:r>
            <w:r>
              <w:t>—</w:t>
            </w:r>
            <w:r w:rsidRPr="00552992">
              <w:t>next update anticipated in 2017</w:t>
            </w:r>
          </w:p>
        </w:tc>
      </w:tr>
      <w:tr w:rsidR="004D0DEA" w:rsidRPr="00552992" w14:paraId="624E807D"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auto"/>
          </w:tcPr>
          <w:p w14:paraId="6711AE38" w14:textId="77777777" w:rsidR="004D0DEA" w:rsidRPr="00552992" w:rsidRDefault="004D0DEA" w:rsidP="00375F63">
            <w:pPr>
              <w:spacing w:after="0"/>
              <w:rPr>
                <w:rFonts w:cs="Arial"/>
              </w:rPr>
            </w:pPr>
            <w:r w:rsidRPr="00552992">
              <w:rPr>
                <w:rFonts w:cs="Arial"/>
              </w:rPr>
              <w:t>SPECTRA warranty changes</w:t>
            </w:r>
          </w:p>
        </w:tc>
        <w:tc>
          <w:tcPr>
            <w:tcW w:w="4059" w:type="dxa"/>
            <w:tcBorders>
              <w:top w:val="single" w:sz="4" w:space="0" w:color="auto"/>
              <w:left w:val="single" w:sz="4" w:space="0" w:color="auto"/>
              <w:bottom w:val="single" w:sz="4" w:space="0" w:color="auto"/>
              <w:right w:val="single" w:sz="4" w:space="0" w:color="auto"/>
            </w:tcBorders>
            <w:shd w:val="clear" w:color="auto" w:fill="auto"/>
          </w:tcPr>
          <w:p w14:paraId="2C5581AC" w14:textId="77777777" w:rsidR="004D0DEA" w:rsidRPr="00552992" w:rsidRDefault="004D0DEA" w:rsidP="0039046B">
            <w:pPr>
              <w:spacing w:after="120"/>
            </w:pPr>
            <w:r w:rsidRPr="00552992">
              <w:t>Ongoing program of work to enhance and improve SPECTRA over the warranty period</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auto"/>
          </w:tcPr>
          <w:p w14:paraId="675C6977"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46ED18" w14:textId="77777777" w:rsidR="004D0DEA" w:rsidRPr="00552992" w:rsidRDefault="004D0DEA" w:rsidP="00375F63">
            <w:pPr>
              <w:spacing w:after="0"/>
              <w:rPr>
                <w:rFonts w:cs="Arial"/>
              </w:rPr>
            </w:pPr>
            <w:r w:rsidRPr="00552992">
              <w:rPr>
                <w:rFonts w:cs="Arial"/>
              </w:rPr>
              <w:t>High</w:t>
            </w:r>
          </w:p>
        </w:tc>
        <w:tc>
          <w:tcPr>
            <w:tcW w:w="1791" w:type="dxa"/>
            <w:tcBorders>
              <w:top w:val="single" w:sz="4" w:space="0" w:color="auto"/>
              <w:left w:val="single" w:sz="4" w:space="0" w:color="auto"/>
              <w:bottom w:val="single" w:sz="4" w:space="0" w:color="auto"/>
              <w:right w:val="single" w:sz="4" w:space="0" w:color="auto"/>
            </w:tcBorders>
            <w:shd w:val="clear" w:color="auto" w:fill="auto"/>
          </w:tcPr>
          <w:p w14:paraId="3F029D04" w14:textId="77777777" w:rsidR="004D0DEA" w:rsidRPr="00552992" w:rsidRDefault="004D0DEA" w:rsidP="00375F63">
            <w:pPr>
              <w:spacing w:after="0"/>
              <w:rPr>
                <w:rFonts w:cs="Arial"/>
              </w:rPr>
            </w:pPr>
            <w:r w:rsidRPr="00552992">
              <w:rPr>
                <w:rFonts w:cs="Arial"/>
              </w:rPr>
              <w:t>August 2017</w:t>
            </w:r>
          </w:p>
        </w:tc>
      </w:tr>
      <w:tr w:rsidR="004D0DEA" w:rsidRPr="00552992" w14:paraId="5147746C"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8A413AC" w14:textId="77777777" w:rsidR="004D0DEA" w:rsidRPr="00552992" w:rsidRDefault="004D0DEA" w:rsidP="00375F63">
            <w:pPr>
              <w:spacing w:after="0"/>
              <w:rPr>
                <w:rFonts w:cs="Arial"/>
              </w:rPr>
            </w:pPr>
            <w:r w:rsidRPr="00552992">
              <w:rPr>
                <w:rFonts w:cs="Arial"/>
              </w:rPr>
              <w:t>Review of arrangements of 5</w:t>
            </w:r>
            <w:r>
              <w:rPr>
                <w:rFonts w:cs="Arial"/>
              </w:rPr>
              <w:t> </w:t>
            </w:r>
            <w:r w:rsidRPr="00552992">
              <w:rPr>
                <w:rFonts w:cs="Arial"/>
              </w:rPr>
              <w:t>GHz RLANs</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993ACA3" w14:textId="77777777" w:rsidR="004D0DEA" w:rsidRPr="00552992" w:rsidRDefault="004D0DEA" w:rsidP="0039046B">
            <w:pPr>
              <w:spacing w:after="120"/>
            </w:pPr>
            <w:r w:rsidRPr="00552992">
              <w:t>Investigation into potential new and/or updated arrangements for 5 GHz RLANs with the view to determining potential for future update to the LIPD class licence</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152CC7F"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07BF177"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DEB2717" w14:textId="77777777" w:rsidR="004D0DEA" w:rsidRPr="00552992" w:rsidRDefault="004D0DEA" w:rsidP="00375F63">
            <w:pPr>
              <w:spacing w:after="0"/>
              <w:rPr>
                <w:rFonts w:cs="Arial"/>
              </w:rPr>
            </w:pPr>
            <w:r w:rsidRPr="00552992">
              <w:rPr>
                <w:rFonts w:cs="Arial"/>
              </w:rPr>
              <w:t>Q1</w:t>
            </w:r>
            <w:r>
              <w:rPr>
                <w:rFonts w:cs="Arial"/>
              </w:rPr>
              <w:t>,</w:t>
            </w:r>
            <w:r w:rsidRPr="00552992">
              <w:rPr>
                <w:rFonts w:cs="Arial"/>
              </w:rPr>
              <w:t xml:space="preserve"> 2017</w:t>
            </w:r>
          </w:p>
        </w:tc>
      </w:tr>
      <w:tr w:rsidR="004D0DEA" w:rsidRPr="00552992" w14:paraId="27A0867D" w14:textId="77777777" w:rsidTr="00184327">
        <w:tc>
          <w:tcPr>
            <w:tcW w:w="1732" w:type="dxa"/>
            <w:tcBorders>
              <w:top w:val="single" w:sz="4" w:space="0" w:color="auto"/>
              <w:left w:val="single" w:sz="4" w:space="0" w:color="auto"/>
              <w:bottom w:val="single" w:sz="4" w:space="0" w:color="auto"/>
              <w:right w:val="single" w:sz="4" w:space="0" w:color="auto"/>
            </w:tcBorders>
            <w:shd w:val="clear" w:color="auto" w:fill="auto"/>
          </w:tcPr>
          <w:p w14:paraId="3D4A2F9F" w14:textId="77777777" w:rsidR="004D0DEA" w:rsidRPr="00552992" w:rsidRDefault="004D0DEA" w:rsidP="00375F63">
            <w:pPr>
              <w:spacing w:after="0"/>
              <w:rPr>
                <w:rFonts w:cs="Arial"/>
              </w:rPr>
            </w:pPr>
            <w:r w:rsidRPr="00552992">
              <w:rPr>
                <w:rFonts w:cs="Arial"/>
              </w:rPr>
              <w:t>Review of frequency coordination in fixed satellite services</w:t>
            </w:r>
          </w:p>
        </w:tc>
        <w:tc>
          <w:tcPr>
            <w:tcW w:w="4059" w:type="dxa"/>
            <w:tcBorders>
              <w:top w:val="single" w:sz="4" w:space="0" w:color="auto"/>
              <w:left w:val="single" w:sz="4" w:space="0" w:color="auto"/>
              <w:bottom w:val="single" w:sz="4" w:space="0" w:color="auto"/>
              <w:right w:val="single" w:sz="4" w:space="0" w:color="auto"/>
            </w:tcBorders>
            <w:shd w:val="clear" w:color="auto" w:fill="auto"/>
          </w:tcPr>
          <w:p w14:paraId="6211BF2D" w14:textId="77777777" w:rsidR="004D0DEA" w:rsidRPr="00552992" w:rsidRDefault="004D0DEA" w:rsidP="0039046B">
            <w:pPr>
              <w:spacing w:after="120"/>
            </w:pPr>
            <w:r w:rsidRPr="00552992">
              <w:t>Review of frequency coordination requirements between apparatus</w:t>
            </w:r>
            <w:r>
              <w:t>-</w:t>
            </w:r>
            <w:r w:rsidRPr="00552992">
              <w:t xml:space="preserve">licensed microwave fixed point-to-point links and </w:t>
            </w:r>
            <w:r>
              <w:t>E</w:t>
            </w:r>
            <w:r w:rsidRPr="00552992">
              <w:t>arth stations in the fixed satellite services communicating with geostationary satellite in the 6 and 6.7 GHz fixed point-to-point bands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auto"/>
          </w:tcPr>
          <w:p w14:paraId="5DE00813"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A29BDD"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auto"/>
          </w:tcPr>
          <w:p w14:paraId="57425AC1" w14:textId="77777777" w:rsidR="004D0DEA" w:rsidRPr="00552992" w:rsidRDefault="004D0DEA" w:rsidP="00375F63">
            <w:pPr>
              <w:spacing w:after="0"/>
              <w:rPr>
                <w:rFonts w:cs="Arial"/>
              </w:rPr>
            </w:pPr>
            <w:r w:rsidRPr="00552992">
              <w:rPr>
                <w:rFonts w:cs="Arial"/>
              </w:rPr>
              <w:t>Q1</w:t>
            </w:r>
            <w:r>
              <w:rPr>
                <w:rFonts w:cs="Arial"/>
              </w:rPr>
              <w:t>,</w:t>
            </w:r>
            <w:r w:rsidRPr="00552992">
              <w:rPr>
                <w:rFonts w:cs="Arial"/>
              </w:rPr>
              <w:t xml:space="preserve"> 2017</w:t>
            </w:r>
          </w:p>
        </w:tc>
      </w:tr>
      <w:tr w:rsidR="00586C86" w:rsidRPr="00552992" w14:paraId="73729D09" w14:textId="77777777" w:rsidTr="000E200B">
        <w:trPr>
          <w:trHeight w:val="669"/>
        </w:trPr>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4544439" w14:textId="77777777" w:rsidR="00586C86" w:rsidRPr="00552992" w:rsidRDefault="00586C86" w:rsidP="000E200B">
            <w:pPr>
              <w:spacing w:after="120"/>
              <w:rPr>
                <w:rFonts w:cs="Arial"/>
              </w:rPr>
            </w:pPr>
            <w:r>
              <w:rPr>
                <w:rFonts w:cs="Arial"/>
              </w:rPr>
              <w:t>Implementation of Spectrum Review outcomes</w:t>
            </w:r>
            <w:r>
              <w:t xml:space="preserve"> </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FCA1E3E" w14:textId="56C533EF" w:rsidR="00586C86" w:rsidRPr="00552992" w:rsidRDefault="00586C86" w:rsidP="000E200B">
            <w:pPr>
              <w:spacing w:after="120"/>
              <w:rPr>
                <w:rFonts w:cs="Arial"/>
              </w:rPr>
            </w:pPr>
            <w:r>
              <w:rPr>
                <w:rFonts w:cs="Arial"/>
              </w:rPr>
              <w:t>Development of the policy framework</w:t>
            </w:r>
            <w:r w:rsidR="00804AF2">
              <w:rPr>
                <w:rFonts w:cs="Arial"/>
              </w:rPr>
              <w:t xml:space="preserve"> to implement the government’s Spectrum R</w:t>
            </w:r>
            <w:r>
              <w:rPr>
                <w:rFonts w:cs="Arial"/>
              </w:rPr>
              <w:t>eview outcomes when the new arrangements are in place</w:t>
            </w:r>
            <w:r w:rsidR="00A839AF">
              <w:rPr>
                <w:rFonts w:cs="Arial"/>
              </w:rPr>
              <w:t>.</w:t>
            </w:r>
            <w:r>
              <w:rPr>
                <w:rFonts w:cs="Arial"/>
              </w:rPr>
              <w:t xml:space="preserve"> </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F6FAB4" w14:textId="77777777" w:rsidR="00586C86" w:rsidRPr="00552992" w:rsidRDefault="00586C86" w:rsidP="000E200B">
            <w:pPr>
              <w:spacing w:after="0"/>
              <w:rPr>
                <w:rFonts w:cs="Arial"/>
              </w:rPr>
            </w:pPr>
            <w:r>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8FC9E7C" w14:textId="77777777" w:rsidR="00586C86" w:rsidRPr="00552992" w:rsidRDefault="00586C86" w:rsidP="000E200B">
            <w:pPr>
              <w:spacing w:after="0"/>
              <w:rPr>
                <w:rFonts w:cs="Arial"/>
              </w:rPr>
            </w:pPr>
            <w:r>
              <w:rPr>
                <w:rFonts w:cs="Arial"/>
              </w:rPr>
              <w:t>High</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58E5BF" w14:textId="77777777" w:rsidR="00586C86" w:rsidRPr="00552992" w:rsidRDefault="00586C86" w:rsidP="000E200B">
            <w:pPr>
              <w:spacing w:after="120"/>
              <w:rPr>
                <w:lang w:eastAsia="en-US"/>
              </w:rPr>
            </w:pPr>
            <w:r>
              <w:rPr>
                <w:lang w:eastAsia="en-US"/>
              </w:rPr>
              <w:t>Ongoing</w:t>
            </w:r>
          </w:p>
        </w:tc>
      </w:tr>
      <w:tr w:rsidR="004D0DEA" w:rsidRPr="00552992" w14:paraId="12AC885C" w14:textId="77777777" w:rsidTr="00A839AF">
        <w:trPr>
          <w:trHeight w:val="669"/>
        </w:trPr>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FF5B82" w14:textId="77777777" w:rsidR="004D0DEA" w:rsidRPr="00552992" w:rsidRDefault="004D0DEA" w:rsidP="0039046B">
            <w:pPr>
              <w:spacing w:after="120"/>
              <w:rPr>
                <w:rFonts w:cs="Arial"/>
              </w:rPr>
            </w:pPr>
            <w:r w:rsidRPr="00552992">
              <w:rPr>
                <w:rFonts w:cs="Arial"/>
              </w:rPr>
              <w:t>Licence area planning (LAP) process review</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56639CE" w14:textId="77777777" w:rsidR="004D0DEA" w:rsidRPr="00552992" w:rsidRDefault="004D0DEA" w:rsidP="0039046B">
            <w:pPr>
              <w:spacing w:after="120"/>
              <w:rPr>
                <w:rFonts w:cs="Arial"/>
              </w:rPr>
            </w:pPr>
            <w:r w:rsidRPr="00552992">
              <w:rPr>
                <w:rFonts w:cs="Arial"/>
              </w:rPr>
              <w:t xml:space="preserve">The ACMA is considering options to reduce the cost and complexity in broadcasting licence planning. </w:t>
            </w:r>
          </w:p>
          <w:p w14:paraId="6DC47AC9" w14:textId="77777777" w:rsidR="004D0DEA" w:rsidRPr="00552992" w:rsidRDefault="004D0DEA" w:rsidP="00375F63">
            <w:pPr>
              <w:spacing w:after="0"/>
              <w:rPr>
                <w:rFonts w:cs="Arial"/>
              </w:rPr>
            </w:pPr>
            <w:r w:rsidRPr="00552992">
              <w:rPr>
                <w:rFonts w:cs="Arial"/>
              </w:rPr>
              <w:t>In the short term</w:t>
            </w:r>
            <w:r>
              <w:rPr>
                <w:rFonts w:cs="Arial"/>
              </w:rPr>
              <w:t>,</w:t>
            </w:r>
            <w:r w:rsidRPr="00552992">
              <w:rPr>
                <w:rFonts w:cs="Arial"/>
              </w:rPr>
              <w:t xml:space="preserve"> the ACMA will remake the ACMA’s </w:t>
            </w:r>
            <w:hyperlink r:id="rId84" w:history="1">
              <w:r w:rsidRPr="00552992">
                <w:rPr>
                  <w:rStyle w:val="Hyperlink"/>
                  <w:rFonts w:cs="Arial"/>
                  <w:i/>
                </w:rPr>
                <w:t xml:space="preserve">Broadcasting Services (Technical </w:t>
              </w:r>
              <w:r w:rsidRPr="00552992">
                <w:rPr>
                  <w:rStyle w:val="Hyperlink"/>
                </w:rPr>
                <w:t>Planning</w:t>
              </w:r>
              <w:r w:rsidRPr="00552992">
                <w:rPr>
                  <w:rStyle w:val="Hyperlink"/>
                  <w:rFonts w:cs="Arial"/>
                  <w:i/>
                </w:rPr>
                <w:t>) Guidelines 2007</w:t>
              </w:r>
            </w:hyperlink>
            <w:r>
              <w:rPr>
                <w:rStyle w:val="Hyperlink"/>
                <w:rFonts w:cs="Arial"/>
                <w:i/>
              </w:rPr>
              <w:t xml:space="preserve"> </w:t>
            </w:r>
            <w:r w:rsidRPr="00552992">
              <w:rPr>
                <w:rFonts w:cs="Arial"/>
              </w:rPr>
              <w:t>(TPGs) in 2016</w:t>
            </w:r>
            <w:r>
              <w:rPr>
                <w:rFonts w:cs="Arial"/>
              </w:rPr>
              <w:t>–</w:t>
            </w:r>
            <w:r w:rsidRPr="00552992">
              <w:rPr>
                <w:rFonts w:cs="Arial"/>
              </w:rPr>
              <w:t>17 because</w:t>
            </w:r>
            <w:r>
              <w:rPr>
                <w:rFonts w:cs="Arial"/>
              </w:rPr>
              <w:t xml:space="preserve"> (</w:t>
            </w:r>
            <w:r w:rsidRPr="00552992">
              <w:t>regardless of the outcomes of the Spectrum Review</w:t>
            </w:r>
            <w:r>
              <w:t>)</w:t>
            </w:r>
            <w:r w:rsidRPr="00552992">
              <w:t xml:space="preserve"> there</w:t>
            </w:r>
            <w:r w:rsidRPr="00552992">
              <w:rPr>
                <w:b/>
              </w:rPr>
              <w:t xml:space="preserve"> </w:t>
            </w:r>
            <w:r w:rsidRPr="00552992">
              <w:t>will still be a need for transitional arrangements</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25A7610A" w14:textId="77777777" w:rsidR="004D0DEA" w:rsidRPr="00552992" w:rsidRDefault="004D0DEA" w:rsidP="00375F63">
            <w:pPr>
              <w:spacing w:after="0"/>
              <w:rPr>
                <w:rFonts w:cs="Arial"/>
              </w:rPr>
            </w:pPr>
            <w:r w:rsidRPr="00552992">
              <w:rPr>
                <w:rFonts w:cs="Arial"/>
              </w:rPr>
              <w:t>Inactive</w:t>
            </w:r>
            <w:r>
              <w:rPr>
                <w:rFonts w:cs="Arial"/>
              </w:rPr>
              <w:t>—</w:t>
            </w:r>
          </w:p>
          <w:p w14:paraId="21428564" w14:textId="77777777" w:rsidR="004D0DEA" w:rsidRPr="00552992" w:rsidRDefault="004D0DEA" w:rsidP="0039046B">
            <w:pPr>
              <w:spacing w:after="120"/>
              <w:rPr>
                <w:rFonts w:cs="Arial"/>
              </w:rPr>
            </w:pPr>
            <w:r w:rsidRPr="00552992">
              <w:rPr>
                <w:rFonts w:cs="Arial"/>
              </w:rPr>
              <w:t xml:space="preserve">LAP </w:t>
            </w:r>
            <w:r>
              <w:rPr>
                <w:rFonts w:cs="Arial"/>
              </w:rPr>
              <w:t>r</w:t>
            </w:r>
            <w:r w:rsidRPr="00552992">
              <w:rPr>
                <w:rFonts w:cs="Arial"/>
              </w:rPr>
              <w:t>eview</w:t>
            </w:r>
          </w:p>
          <w:p w14:paraId="10040F1E" w14:textId="77777777" w:rsidR="004D0DEA" w:rsidRPr="00552992" w:rsidRDefault="004D0DEA" w:rsidP="00375F63">
            <w:pPr>
              <w:spacing w:after="0"/>
              <w:rPr>
                <w:rFonts w:cs="Arial"/>
              </w:rPr>
            </w:pPr>
            <w:r w:rsidRPr="00552992">
              <w:rPr>
                <w:rFonts w:cs="Arial"/>
              </w:rPr>
              <w:t>Active</w:t>
            </w:r>
            <w:r>
              <w:rPr>
                <w:rFonts w:cs="Arial"/>
              </w:rPr>
              <w:t>—</w:t>
            </w:r>
            <w:r w:rsidRPr="00552992">
              <w:rPr>
                <w:rFonts w:cs="Arial"/>
              </w:rPr>
              <w:t>TPGs</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6C4B7CF"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43CC45BC" w14:textId="77777777" w:rsidR="004D0DEA" w:rsidRPr="00552992" w:rsidRDefault="004D0DEA" w:rsidP="0039046B">
            <w:pPr>
              <w:spacing w:after="120"/>
              <w:rPr>
                <w:rFonts w:cs="Arial"/>
              </w:rPr>
            </w:pPr>
            <w:r w:rsidRPr="00552992">
              <w:rPr>
                <w:lang w:eastAsia="en-US"/>
              </w:rPr>
              <w:t xml:space="preserve">Any proposals for LAP reform process are subject to the scope and application of the </w:t>
            </w:r>
            <w:r>
              <w:rPr>
                <w:lang w:eastAsia="en-US"/>
              </w:rPr>
              <w:t>S</w:t>
            </w:r>
            <w:r w:rsidRPr="00552992">
              <w:rPr>
                <w:lang w:eastAsia="en-US"/>
              </w:rPr>
              <w:t xml:space="preserve">pectrum </w:t>
            </w:r>
            <w:r>
              <w:rPr>
                <w:lang w:eastAsia="en-US"/>
              </w:rPr>
              <w:t>R</w:t>
            </w:r>
            <w:r w:rsidRPr="00552992">
              <w:rPr>
                <w:lang w:eastAsia="en-US"/>
              </w:rPr>
              <w:t>eview initiatives of government</w:t>
            </w:r>
            <w:r w:rsidR="0006468B">
              <w:rPr>
                <w:lang w:eastAsia="en-US"/>
              </w:rPr>
              <w:t>.</w:t>
            </w:r>
            <w:r w:rsidRPr="00552992" w:rsidDel="00292BC1">
              <w:rPr>
                <w:lang w:eastAsia="en-US"/>
              </w:rPr>
              <w:t xml:space="preserve"> </w:t>
            </w:r>
          </w:p>
          <w:p w14:paraId="0E9C065B" w14:textId="77777777" w:rsidR="004D0DEA" w:rsidRPr="00552992" w:rsidRDefault="004D0DEA" w:rsidP="0006468B">
            <w:pPr>
              <w:spacing w:after="0"/>
              <w:rPr>
                <w:rFonts w:cs="Arial"/>
              </w:rPr>
            </w:pPr>
            <w:r w:rsidRPr="00552992">
              <w:t>TPGs are due to sunset on 1</w:t>
            </w:r>
            <w:r w:rsidR="0006468B">
              <w:t> </w:t>
            </w:r>
            <w:r w:rsidRPr="00552992">
              <w:t>October 2017</w:t>
            </w:r>
            <w:r w:rsidR="0006468B">
              <w:t>.</w:t>
            </w:r>
          </w:p>
        </w:tc>
      </w:tr>
      <w:tr w:rsidR="004D0DEA" w:rsidRPr="00552992" w14:paraId="489CC6B9"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F7E6D8" w14:textId="77777777" w:rsidR="004D0DEA" w:rsidRPr="00552992" w:rsidDel="0035183F" w:rsidRDefault="004D0DEA" w:rsidP="009F4621">
            <w:pPr>
              <w:spacing w:after="0"/>
            </w:pPr>
            <w:r w:rsidRPr="00552992">
              <w:t>Broadcast service planning</w:t>
            </w:r>
            <w:r w:rsidR="009F4621">
              <w:t>:</w:t>
            </w:r>
            <w:r w:rsidRPr="00552992">
              <w:t xml:space="preserve"> Licence Area Plans (LAPs), Television Licence Area Plans (TLAPs) </w:t>
            </w:r>
            <w:r w:rsidR="009F4621">
              <w:t xml:space="preserve">and </w:t>
            </w:r>
            <w:r w:rsidRPr="00552992">
              <w:t>DRCPs</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45FD9DD" w14:textId="77777777" w:rsidR="004D0DEA" w:rsidRDefault="004D0DEA" w:rsidP="0039046B">
            <w:pPr>
              <w:spacing w:after="120"/>
            </w:pPr>
            <w:r w:rsidRPr="00552992">
              <w:t>The ACMA responds to requests to vary LAPs, TLAPs and DRCPs to enable changes to existing transmissions, provide new transmissions extending or improving coverage, or to include new services</w:t>
            </w:r>
            <w:r w:rsidR="0006468B">
              <w:t>.</w:t>
            </w:r>
          </w:p>
          <w:p w14:paraId="4C35D49E" w14:textId="77777777" w:rsidR="004D0DEA" w:rsidRPr="00552992" w:rsidRDefault="004D0DEA" w:rsidP="00375F63">
            <w:pPr>
              <w:spacing w:after="0"/>
            </w:pPr>
            <w:r>
              <w:t>The ACMA has 33 requests for conversion of commercial radio services from the AM band to the FM band, which are likely to constitute the majority of this work.</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2A895D" w14:textId="77777777" w:rsidR="004D0DEA" w:rsidRPr="00552992" w:rsidRDefault="004D0DEA" w:rsidP="00375F63">
            <w:pPr>
              <w:spacing w:after="0"/>
            </w:pPr>
            <w:r w:rsidRPr="00552992">
              <w:t>Ongoing work program</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E49811" w14:textId="77777777" w:rsidR="004D0DEA" w:rsidRPr="00552992" w:rsidRDefault="004D0DEA" w:rsidP="00375F63">
            <w:pPr>
              <w:spacing w:after="0"/>
            </w:pPr>
            <w:r w:rsidRPr="00552992">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6AA9181" w14:textId="77777777" w:rsidR="004D0DEA" w:rsidRPr="00552992" w:rsidRDefault="004D0DEA" w:rsidP="00375F63">
            <w:pPr>
              <w:spacing w:after="0"/>
            </w:pPr>
            <w:r w:rsidRPr="00552992">
              <w:t xml:space="preserve">Ongoing </w:t>
            </w:r>
          </w:p>
        </w:tc>
      </w:tr>
      <w:tr w:rsidR="004D0DEA" w:rsidRPr="00552992" w14:paraId="2B7891BA"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41807E46" w14:textId="77777777" w:rsidR="004D0DEA" w:rsidRPr="00552992" w:rsidRDefault="004D0DEA" w:rsidP="00375F63">
            <w:pPr>
              <w:spacing w:after="0"/>
              <w:rPr>
                <w:rFonts w:cs="Arial"/>
              </w:rPr>
            </w:pPr>
            <w:r>
              <w:rPr>
                <w:rFonts w:cs="Arial"/>
              </w:rPr>
              <w:t>APs</w:t>
            </w:r>
            <w:r w:rsidRPr="00552992">
              <w:rPr>
                <w:rFonts w:cs="Arial"/>
              </w:rPr>
              <w:t xml:space="preserve"> support</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79791FD0" w14:textId="77777777" w:rsidR="004D0DEA" w:rsidRPr="00552992" w:rsidRDefault="004D0DEA" w:rsidP="00375F63">
            <w:pPr>
              <w:spacing w:after="0"/>
            </w:pPr>
            <w:r w:rsidRPr="00552992">
              <w:t>Continued development of advice and supporting material; improving structure and content of supporting material on the ACMA website</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36C66D58"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755D8954"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206A5CD8" w14:textId="77777777" w:rsidR="004D0DEA" w:rsidRPr="00552992" w:rsidRDefault="004D0DEA" w:rsidP="00375F63">
            <w:pPr>
              <w:spacing w:after="0"/>
              <w:rPr>
                <w:rFonts w:cs="Arial"/>
              </w:rPr>
            </w:pPr>
            <w:r w:rsidRPr="00552992">
              <w:rPr>
                <w:rFonts w:cs="Arial"/>
              </w:rPr>
              <w:t>Ongoing</w:t>
            </w:r>
          </w:p>
        </w:tc>
      </w:tr>
      <w:tr w:rsidR="004D0DEA" w:rsidRPr="00552992" w14:paraId="050C1DA9"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B7B5C72" w14:textId="77777777" w:rsidR="004D0DEA" w:rsidRPr="00552992" w:rsidRDefault="00D67EC2" w:rsidP="00375F63">
            <w:pPr>
              <w:spacing w:after="0"/>
            </w:pPr>
            <w:hyperlink r:id="rId85" w:history="1">
              <w:r w:rsidR="004D0DEA" w:rsidRPr="00552992">
                <w:rPr>
                  <w:color w:val="0000FF"/>
                  <w:u w:val="single"/>
                </w:rPr>
                <w:t>Sunsetting instruments</w:t>
              </w:r>
            </w:hyperlink>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6964D04" w14:textId="77777777" w:rsidR="004D0DEA" w:rsidRPr="00552992" w:rsidRDefault="004D0DEA" w:rsidP="00375F63">
            <w:pPr>
              <w:spacing w:after="0"/>
            </w:pPr>
            <w:r w:rsidRPr="00552992">
              <w:t xml:space="preserve">The </w:t>
            </w:r>
            <w:r w:rsidRPr="00552992">
              <w:rPr>
                <w:i/>
              </w:rPr>
              <w:t xml:space="preserve">Legislation Act 2003 </w:t>
            </w:r>
            <w:r w:rsidRPr="00552992">
              <w:t>(LA) provides a regime (known as sunsetting) for the automatic repeal of regulations and other legislative instruments after 10 years</w:t>
            </w:r>
            <w:r>
              <w:t>,</w:t>
            </w:r>
            <w:r w:rsidRPr="00552992">
              <w:t xml:space="preserve"> unless action is taken to exempt them. Over the months and years ahead, the ACMA, like all other Commonwealth departments and agencies, will need to respond to the ‘sunsetting’ requirements of the LA</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F1576DB" w14:textId="77777777" w:rsidR="004D0DEA" w:rsidRPr="00552992" w:rsidRDefault="004D0DEA" w:rsidP="00375F63">
            <w:pPr>
              <w:spacing w:after="0"/>
            </w:pPr>
            <w:r w:rsidRPr="00552992">
              <w:t>Ongoing work program</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57D98AF" w14:textId="77777777" w:rsidR="004D0DEA" w:rsidRPr="00552992" w:rsidRDefault="004D0DEA" w:rsidP="00375F63">
            <w:pPr>
              <w:spacing w:after="0"/>
            </w:pPr>
            <w:r w:rsidRPr="00552992">
              <w:t>High</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574558" w14:textId="77777777" w:rsidR="004D0DEA" w:rsidRPr="00552992" w:rsidRDefault="004D0DEA" w:rsidP="00375F63">
            <w:pPr>
              <w:spacing w:after="0"/>
            </w:pPr>
            <w:r w:rsidRPr="00552992">
              <w:t xml:space="preserve">Ongoing </w:t>
            </w:r>
          </w:p>
        </w:tc>
      </w:tr>
      <w:tr w:rsidR="004D0DEA" w:rsidRPr="00552992" w:rsidDel="00355EAB" w14:paraId="3307EC8A"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3CDA83F5" w14:textId="77777777" w:rsidR="004D0DEA" w:rsidRPr="00552992" w:rsidDel="00355EAB" w:rsidRDefault="004D0DEA" w:rsidP="00375F63">
            <w:pPr>
              <w:spacing w:after="0"/>
            </w:pPr>
            <w:r w:rsidRPr="00552992">
              <w:t>Review of established spectrum planning, assignment and coordination frameworks</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26052440" w14:textId="04F92803" w:rsidR="004D0DEA" w:rsidRPr="00552992" w:rsidRDefault="004D0DEA" w:rsidP="0039046B">
            <w:pPr>
              <w:spacing w:after="120"/>
            </w:pPr>
            <w:r w:rsidRPr="00552992">
              <w:t xml:space="preserve">The ACMA undertakes an ongoing review of technical </w:t>
            </w:r>
            <w:hyperlink r:id="rId86" w:history="1">
              <w:r w:rsidRPr="00552992">
                <w:rPr>
                  <w:rStyle w:val="Hyperlink"/>
                </w:rPr>
                <w:t>spectrum planning</w:t>
              </w:r>
            </w:hyperlink>
            <w:r w:rsidRPr="00552992">
              <w:t xml:space="preserve"> framework. This activity is primarily focused on frequency assignment and coordination frameworks (as specified in spectrum licensing technical frameworks and in apparatus licensing coordination requirements). The appropriateness of spectrum embargoes is also considered</w:t>
            </w:r>
            <w:r w:rsidR="0006468B">
              <w:t>.</w:t>
            </w:r>
            <w:r w:rsidRPr="00552992">
              <w:t xml:space="preserve"> </w:t>
            </w:r>
          </w:p>
          <w:p w14:paraId="2E4C615A" w14:textId="77777777" w:rsidR="004D0DEA" w:rsidRPr="00552992" w:rsidDel="00355EAB" w:rsidRDefault="004D0DEA" w:rsidP="00375F63">
            <w:pPr>
              <w:spacing w:after="0"/>
            </w:pPr>
            <w:r>
              <w:t>The o</w:t>
            </w:r>
            <w:r w:rsidRPr="00552992">
              <w:t>bjective is to ensure the currency of the spectrum planning framework and ensure that the various supporting documents are reflective of current technologies and operational practices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433F72B7" w14:textId="77777777" w:rsidR="004D0DEA" w:rsidRPr="00552992" w:rsidDel="00355EAB" w:rsidRDefault="004D0DEA" w:rsidP="00375F63">
            <w:pPr>
              <w:spacing w:after="0"/>
            </w:pPr>
            <w:r w:rsidRPr="00552992">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7420B915" w14:textId="77777777" w:rsidR="004D0DEA" w:rsidRPr="00552992" w:rsidDel="00355EAB" w:rsidRDefault="004D0DEA" w:rsidP="00375F63">
            <w:pPr>
              <w:spacing w:after="0"/>
            </w:pPr>
            <w:r w:rsidRPr="00552992">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26695C55" w14:textId="77777777" w:rsidR="004D0DEA" w:rsidRPr="00552992" w:rsidDel="00355EAB" w:rsidRDefault="004D0DEA" w:rsidP="00375F63">
            <w:pPr>
              <w:spacing w:after="0"/>
            </w:pPr>
            <w:r w:rsidRPr="00552992">
              <w:t>Ongoing</w:t>
            </w:r>
          </w:p>
        </w:tc>
      </w:tr>
      <w:tr w:rsidR="004D0DEA" w:rsidRPr="00552992" w14:paraId="04687BCD"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20A44CC" w14:textId="77777777" w:rsidR="004D0DEA" w:rsidRPr="00101D81" w:rsidRDefault="004D0DEA" w:rsidP="00375F63">
            <w:pPr>
              <w:spacing w:after="0"/>
              <w:rPr>
                <w:rFonts w:cs="Arial"/>
              </w:rPr>
            </w:pPr>
            <w:r w:rsidRPr="00101D81">
              <w:rPr>
                <w:rFonts w:cs="Arial"/>
              </w:rPr>
              <w:t>Review of spectrum planning framework documentation</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EFE17B4" w14:textId="77777777" w:rsidR="004D0DEA" w:rsidRPr="00552992" w:rsidRDefault="004D0DEA" w:rsidP="00375F63">
            <w:pPr>
              <w:spacing w:after="80"/>
              <w:rPr>
                <w:rFonts w:ascii="Times New Roman" w:hAnsi="Times New Roman"/>
              </w:rPr>
            </w:pPr>
            <w:r w:rsidRPr="00552992">
              <w:t>As spectrum management i</w:t>
            </w:r>
            <w:r>
              <w:t>s</w:t>
            </w:r>
            <w:r w:rsidRPr="00552992">
              <w:t xml:space="preserve"> becoming increasingly more complex</w:t>
            </w:r>
            <w:r>
              <w:t xml:space="preserve">, </w:t>
            </w:r>
            <w:r w:rsidRPr="00552992">
              <w:t>the ACMA intends to review the spectrum planning framework documentation</w:t>
            </w:r>
            <w:r>
              <w:t>,</w:t>
            </w:r>
            <w:r w:rsidRPr="00552992">
              <w:t xml:space="preserve"> with the objective of ensuring that the documentation</w:t>
            </w:r>
            <w:r w:rsidRPr="00552992">
              <w:rPr>
                <w:rFonts w:asciiTheme="minorHAnsi" w:eastAsiaTheme="minorHAnsi" w:hAnsiTheme="minorHAnsi" w:cstheme="minorBidi"/>
                <w:sz w:val="22"/>
                <w:szCs w:val="22"/>
                <w:lang w:eastAsia="en-US"/>
              </w:rPr>
              <w:t>:</w:t>
            </w:r>
          </w:p>
          <w:p w14:paraId="24E04D2D" w14:textId="77777777" w:rsidR="004D0DEA" w:rsidRPr="00552992" w:rsidRDefault="004D0DEA" w:rsidP="0039046B">
            <w:pPr>
              <w:pStyle w:val="ListBullet"/>
            </w:pPr>
            <w:r>
              <w:t>p</w:t>
            </w:r>
            <w:r w:rsidRPr="00552992">
              <w:t>rovides clarity and consistency of approach</w:t>
            </w:r>
          </w:p>
          <w:p w14:paraId="4BFD89B2" w14:textId="77777777" w:rsidR="004D0DEA" w:rsidRPr="00552992" w:rsidRDefault="004D0DEA" w:rsidP="0039046B">
            <w:pPr>
              <w:pStyle w:val="ListBullet"/>
            </w:pPr>
            <w:r>
              <w:t>p</w:t>
            </w:r>
            <w:r w:rsidRPr="00552992">
              <w:t>rovides improved accessibility and usability of supporting documentation</w:t>
            </w:r>
          </w:p>
          <w:p w14:paraId="58983D0A" w14:textId="77777777" w:rsidR="004D0DEA" w:rsidRPr="00640857" w:rsidRDefault="004D0DEA" w:rsidP="0039046B">
            <w:pPr>
              <w:pStyle w:val="ListBullet"/>
              <w:spacing w:after="120"/>
            </w:pPr>
            <w:r>
              <w:t>f</w:t>
            </w:r>
            <w:r w:rsidRPr="00552992">
              <w:t>acilitates, where appropriate, the opportunity for increased industry involvement in the development process</w:t>
            </w:r>
            <w:r w:rsidR="0006468B">
              <w:t>.</w:t>
            </w:r>
            <w:r w:rsidRPr="00552992">
              <w:t xml:space="preserve"> </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36A9E7E"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4F3D44"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EE05FC" w14:textId="77777777" w:rsidR="004D0DEA" w:rsidRPr="00552992" w:rsidRDefault="004D0DEA" w:rsidP="00375F63">
            <w:pPr>
              <w:spacing w:after="0"/>
              <w:rPr>
                <w:rFonts w:cs="Arial"/>
              </w:rPr>
            </w:pPr>
            <w:r w:rsidRPr="00552992">
              <w:rPr>
                <w:rFonts w:cs="Arial"/>
              </w:rPr>
              <w:t>Ongoing</w:t>
            </w:r>
          </w:p>
        </w:tc>
      </w:tr>
      <w:tr w:rsidR="004D0DEA" w:rsidRPr="00552992" w14:paraId="40AD5B4E"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3762267D" w14:textId="77777777" w:rsidR="004D0DEA" w:rsidRPr="00A17EDF" w:rsidRDefault="004D0DEA" w:rsidP="0039046B">
            <w:pPr>
              <w:spacing w:after="120"/>
              <w:rPr>
                <w:rFonts w:cs="Arial"/>
              </w:rPr>
            </w:pPr>
            <w:r>
              <w:rPr>
                <w:rFonts w:cs="Arial"/>
              </w:rPr>
              <w:t>Technical support to enquiries on spectrum arrangements</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4B6B5A08" w14:textId="77777777" w:rsidR="004D0DEA" w:rsidRPr="00552992" w:rsidRDefault="004D0DEA" w:rsidP="0039046B">
            <w:pPr>
              <w:spacing w:after="120"/>
            </w:pPr>
            <w:r w:rsidRPr="00552992">
              <w:t xml:space="preserve">Technical support in responding to enquires on established spectrum arrangements for radiocommunications services, including wireless microphones, television outside broadcasting, devices authorised by the LIPD </w:t>
            </w:r>
            <w:r>
              <w:t>c</w:t>
            </w:r>
            <w:r w:rsidRPr="00552992">
              <w:t>lass licence, land mobile and microwave fixed point-to-point links</w:t>
            </w:r>
            <w:r w:rsidR="0006468B">
              <w:t>.</w:t>
            </w:r>
            <w:r w:rsidRPr="00552992">
              <w:t xml:space="preserve"> </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7069CFD4"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2656D993" w14:textId="77777777" w:rsidR="004D0DEA" w:rsidRPr="00552992" w:rsidRDefault="004D0DEA" w:rsidP="0039046B">
            <w:pPr>
              <w:spacing w:after="120"/>
              <w:rPr>
                <w:rFonts w:cs="Arial"/>
              </w:rPr>
            </w:pPr>
            <w:r w:rsidRPr="00552992">
              <w:rPr>
                <w:rFonts w:cs="Arial"/>
              </w:rPr>
              <w:t xml:space="preserve">Variable depending on issue </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6CE5A30F" w14:textId="77777777" w:rsidR="004D0DEA" w:rsidRPr="00552992" w:rsidRDefault="004D0DEA" w:rsidP="0039046B">
            <w:pPr>
              <w:spacing w:after="120"/>
              <w:rPr>
                <w:rFonts w:cs="Arial"/>
              </w:rPr>
            </w:pPr>
            <w:r w:rsidRPr="00552992">
              <w:rPr>
                <w:rFonts w:cs="Arial"/>
              </w:rPr>
              <w:t>Ongoing</w:t>
            </w:r>
          </w:p>
        </w:tc>
      </w:tr>
      <w:tr w:rsidR="004D0DEA" w:rsidRPr="00552992" w14:paraId="3A24DBFE"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59485B1" w14:textId="77777777" w:rsidR="004D0DEA" w:rsidRPr="00FF383A" w:rsidRDefault="004D0DEA" w:rsidP="0039046B">
            <w:pPr>
              <w:spacing w:after="120"/>
              <w:rPr>
                <w:rFonts w:cs="Arial"/>
              </w:rPr>
            </w:pPr>
            <w:r w:rsidRPr="00FF383A">
              <w:rPr>
                <w:rFonts w:cs="Arial"/>
              </w:rPr>
              <w:t>Technical input to spectrum policy</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DD9C6A5" w14:textId="77777777" w:rsidR="004D0DEA" w:rsidRPr="00552992" w:rsidRDefault="004D0DEA" w:rsidP="0039046B">
            <w:pPr>
              <w:spacing w:after="120"/>
            </w:pPr>
            <w:r w:rsidRPr="00552992">
              <w:t>Technic</w:t>
            </w:r>
            <w:r>
              <w:t xml:space="preserve">al support for consideration </w:t>
            </w:r>
            <w:r w:rsidRPr="00552992">
              <w:t>of policy requests, including consideration of applications for scientific apparatus licences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6A67EA2"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C54ECC3" w14:textId="77777777" w:rsidR="004D0DEA" w:rsidRPr="00552992" w:rsidRDefault="004D0DEA" w:rsidP="0039046B">
            <w:pPr>
              <w:spacing w:after="120"/>
              <w:rPr>
                <w:rFonts w:cs="Arial"/>
              </w:rPr>
            </w:pPr>
            <w:r w:rsidRPr="00552992">
              <w:rPr>
                <w:rFonts w:cs="Arial"/>
              </w:rPr>
              <w:t>Variable depending on issue</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10BBB80" w14:textId="77777777" w:rsidR="004D0DEA" w:rsidRPr="00552992" w:rsidRDefault="004D0DEA" w:rsidP="0039046B">
            <w:pPr>
              <w:spacing w:after="120"/>
              <w:rPr>
                <w:rFonts w:cs="Arial"/>
              </w:rPr>
            </w:pPr>
            <w:r w:rsidRPr="00552992">
              <w:rPr>
                <w:rFonts w:cs="Arial"/>
              </w:rPr>
              <w:t>Ongoing</w:t>
            </w:r>
          </w:p>
        </w:tc>
      </w:tr>
      <w:tr w:rsidR="004D0DEA" w:rsidRPr="00552992" w14:paraId="30239ED3"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3318657C" w14:textId="77777777" w:rsidR="004D0DEA" w:rsidRPr="00FF383A" w:rsidRDefault="004D0DEA" w:rsidP="0039046B">
            <w:pPr>
              <w:spacing w:after="120"/>
              <w:rPr>
                <w:rFonts w:cs="Arial"/>
              </w:rPr>
            </w:pPr>
            <w:r w:rsidRPr="00FF383A">
              <w:rPr>
                <w:rFonts w:cs="Arial"/>
              </w:rPr>
              <w:t>Monitoring of overseas biomedical telemetry arrangements</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49FA0C8E" w14:textId="77777777" w:rsidR="004D0DEA" w:rsidRPr="00552992" w:rsidRDefault="004D0DEA" w:rsidP="0039046B">
            <w:pPr>
              <w:spacing w:after="120"/>
            </w:pPr>
            <w:r w:rsidRPr="00552992">
              <w:t>Monitoring of development in overseas biomedical telemetry arrangements (e</w:t>
            </w:r>
            <w:r>
              <w:t>.</w:t>
            </w:r>
            <w:r w:rsidRPr="00552992">
              <w:t>g</w:t>
            </w:r>
            <w:r>
              <w:t>.,</w:t>
            </w:r>
            <w:r w:rsidRPr="00552992">
              <w:t xml:space="preserve"> USA 1.1 GHz, 1.3 GHz) for consideration of possible future reviews and possible updates to the LIPD </w:t>
            </w:r>
            <w:r>
              <w:t>c</w:t>
            </w:r>
            <w:r w:rsidRPr="00552992">
              <w:t xml:space="preserve">lass </w:t>
            </w:r>
            <w:r>
              <w:t>l</w:t>
            </w:r>
            <w:r w:rsidRPr="00552992">
              <w:t>icence</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18C07A81"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2B287551" w14:textId="77777777" w:rsidR="004D0DEA" w:rsidRPr="00552992" w:rsidRDefault="004D0DEA" w:rsidP="0039046B">
            <w:pPr>
              <w:spacing w:after="120"/>
              <w:rPr>
                <w:rFonts w:cs="Arial"/>
              </w:rPr>
            </w:pPr>
            <w:r w:rsidRPr="00552992">
              <w:rPr>
                <w:rFonts w:cs="Arial"/>
              </w:rPr>
              <w:t>Low</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4A295EB8" w14:textId="77777777" w:rsidR="004D0DEA" w:rsidRPr="00552992" w:rsidRDefault="004D0DEA" w:rsidP="0039046B">
            <w:pPr>
              <w:spacing w:after="120"/>
              <w:rPr>
                <w:rFonts w:cs="Arial"/>
              </w:rPr>
            </w:pPr>
            <w:r w:rsidRPr="00552992">
              <w:rPr>
                <w:rFonts w:cs="Arial"/>
              </w:rPr>
              <w:t>Ongoing</w:t>
            </w:r>
          </w:p>
        </w:tc>
      </w:tr>
      <w:tr w:rsidR="004D0DEA" w:rsidRPr="00552992" w14:paraId="5287245B"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190C04B" w14:textId="77777777" w:rsidR="004D0DEA" w:rsidRPr="00F97C39" w:rsidRDefault="004D0DEA" w:rsidP="0039046B">
            <w:pPr>
              <w:spacing w:after="120"/>
              <w:rPr>
                <w:rFonts w:cs="Arial"/>
              </w:rPr>
            </w:pPr>
            <w:r w:rsidRPr="00F97C39">
              <w:rPr>
                <w:rFonts w:cs="Arial"/>
              </w:rPr>
              <w:t>Monitoring</w:t>
            </w:r>
            <w:r>
              <w:rPr>
                <w:rFonts w:cs="Arial"/>
              </w:rPr>
              <w:t xml:space="preserve"> development in use of ESIMs </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92DED91" w14:textId="3C0E9656" w:rsidR="004D0DEA" w:rsidRPr="00552992" w:rsidRDefault="004D0DEA" w:rsidP="00BB062B">
            <w:pPr>
              <w:spacing w:after="120"/>
            </w:pPr>
            <w:r w:rsidRPr="00552992">
              <w:t xml:space="preserve">Monitoring of development in the use of </w:t>
            </w:r>
            <w:r>
              <w:t>E</w:t>
            </w:r>
            <w:r w:rsidRPr="00552992">
              <w:t>arth stations in motion for consideration of possible future reviews and development of future regulatory arrangements</w:t>
            </w:r>
            <w:r w:rsidR="00BB062B">
              <w:t xml:space="preserve"> beyond arrangements being developed to implement ITU Resolution </w:t>
            </w:r>
            <w:r w:rsidR="00BB062B" w:rsidRPr="00A839AF">
              <w:rPr>
                <w:b/>
              </w:rPr>
              <w:t>156 (WRC-15)</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1FF91DE"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48BC25A" w14:textId="77777777" w:rsidR="004D0DEA" w:rsidRPr="00552992" w:rsidRDefault="004D0DEA" w:rsidP="0039046B">
            <w:pPr>
              <w:spacing w:after="120"/>
              <w:rPr>
                <w:rFonts w:cs="Arial"/>
              </w:rPr>
            </w:pPr>
            <w:r w:rsidRPr="00552992">
              <w:rPr>
                <w:rFonts w:cs="Arial"/>
              </w:rPr>
              <w:t xml:space="preserve">Medium </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0AB9BDD" w14:textId="77777777" w:rsidR="004D0DEA" w:rsidRPr="00552992" w:rsidRDefault="004D0DEA" w:rsidP="0039046B">
            <w:pPr>
              <w:spacing w:after="120"/>
              <w:rPr>
                <w:rFonts w:cs="Arial"/>
              </w:rPr>
            </w:pPr>
            <w:r w:rsidRPr="00552992">
              <w:rPr>
                <w:rFonts w:cs="Arial"/>
              </w:rPr>
              <w:t>Ongoing</w:t>
            </w:r>
          </w:p>
        </w:tc>
      </w:tr>
      <w:tr w:rsidR="004D0DEA" w:rsidRPr="00552992" w14:paraId="2A5D4512"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258AA44F" w14:textId="77777777" w:rsidR="004D0DEA" w:rsidRPr="00EB7579" w:rsidRDefault="004D0DEA" w:rsidP="00375F63">
            <w:pPr>
              <w:spacing w:after="0"/>
              <w:rPr>
                <w:rFonts w:cs="Arial"/>
              </w:rPr>
            </w:pPr>
            <w:r w:rsidRPr="00EB7579">
              <w:rPr>
                <w:rFonts w:cs="Arial"/>
              </w:rPr>
              <w:t>Management of satellite systems coordination</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52CE2332" w14:textId="77777777" w:rsidR="004D0DEA" w:rsidRPr="00F406D3" w:rsidRDefault="004D0DEA" w:rsidP="00375F63">
            <w:pPr>
              <w:spacing w:after="80"/>
            </w:pPr>
            <w:r>
              <w:t>Assessment</w:t>
            </w:r>
            <w:r w:rsidRPr="00552992">
              <w:t xml:space="preserve"> </w:t>
            </w:r>
            <w:r>
              <w:t xml:space="preserve">of new and management of the </w:t>
            </w:r>
            <w:r w:rsidRPr="00552992">
              <w:t xml:space="preserve">coordination and notification of </w:t>
            </w:r>
            <w:r>
              <w:t xml:space="preserve">new and </w:t>
            </w:r>
            <w:r w:rsidRPr="00552992">
              <w:t xml:space="preserve">existing Australian satellite systems in accordance the process the ACMA sets out in its Australian procedures for coordination and notification of satellite </w:t>
            </w:r>
            <w:r w:rsidRPr="00F406D3">
              <w:t>systems document. This includes:</w:t>
            </w:r>
          </w:p>
          <w:p w14:paraId="49290D5B" w14:textId="77777777" w:rsidR="004D0DEA" w:rsidRPr="00F406D3" w:rsidRDefault="004D0DEA" w:rsidP="0039046B">
            <w:pPr>
              <w:pStyle w:val="ListBullet"/>
            </w:pPr>
            <w:r>
              <w:t>a</w:t>
            </w:r>
            <w:r w:rsidRPr="00F406D3">
              <w:t>ssisting Australian satellite operators with ongoing satellite coordination negotiations with other administrations</w:t>
            </w:r>
          </w:p>
          <w:p w14:paraId="46F22DE1" w14:textId="77777777" w:rsidR="004D0DEA" w:rsidRPr="00F406D3" w:rsidRDefault="004D0DEA" w:rsidP="0039046B">
            <w:pPr>
              <w:pStyle w:val="ListBullet"/>
            </w:pPr>
            <w:r>
              <w:t>a</w:t>
            </w:r>
            <w:r w:rsidRPr="00F406D3">
              <w:t>ssessment of new notices related to progress of existing Australian satellite networks</w:t>
            </w:r>
          </w:p>
          <w:p w14:paraId="53D6F810" w14:textId="77777777" w:rsidR="004D0DEA" w:rsidRPr="00F406D3" w:rsidRDefault="004D0DEA" w:rsidP="0039046B">
            <w:pPr>
              <w:pStyle w:val="ListBullet"/>
            </w:pPr>
            <w:r w:rsidRPr="00F406D3">
              <w:t>filing of new Australian satellite networks</w:t>
            </w:r>
          </w:p>
          <w:p w14:paraId="78F76A28" w14:textId="77777777" w:rsidR="004D0DEA" w:rsidRPr="00552992" w:rsidRDefault="004D0DEA" w:rsidP="0039046B">
            <w:pPr>
              <w:pStyle w:val="ListBullet"/>
              <w:spacing w:after="120"/>
            </w:pPr>
            <w:r>
              <w:t>s</w:t>
            </w:r>
            <w:r w:rsidRPr="00F406D3">
              <w:t>upporting international administration-level satellite coordination meetings with other Administrations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46B07365" w14:textId="77777777" w:rsidR="004D0DEA" w:rsidRPr="00552992" w:rsidRDefault="004D0DEA" w:rsidP="00375F63">
            <w:pPr>
              <w:spacing w:after="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7A47D50F" w14:textId="77777777" w:rsidR="004D0DEA" w:rsidRPr="00552992" w:rsidRDefault="004D0DEA" w:rsidP="00375F63">
            <w:pPr>
              <w:spacing w:after="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30C5ABD1" w14:textId="77777777" w:rsidR="004D0DEA" w:rsidRPr="00552992" w:rsidRDefault="004D0DEA" w:rsidP="00375F63">
            <w:pPr>
              <w:spacing w:after="0"/>
              <w:rPr>
                <w:rFonts w:cs="Arial"/>
              </w:rPr>
            </w:pPr>
            <w:r w:rsidRPr="00552992">
              <w:rPr>
                <w:rFonts w:cs="Arial"/>
              </w:rPr>
              <w:t>Ongoing</w:t>
            </w:r>
          </w:p>
        </w:tc>
      </w:tr>
      <w:tr w:rsidR="004D0DEA" w:rsidRPr="00552992" w14:paraId="195989A6"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2F9CB4" w14:textId="77777777" w:rsidR="004D0DEA" w:rsidRPr="0047375D" w:rsidRDefault="004D0DEA" w:rsidP="0039046B">
            <w:pPr>
              <w:spacing w:after="120"/>
              <w:rPr>
                <w:rFonts w:cs="Arial"/>
              </w:rPr>
            </w:pPr>
            <w:r w:rsidRPr="0047375D">
              <w:rPr>
                <w:rFonts w:cs="Arial"/>
              </w:rPr>
              <w:t>Monitoring trends i</w:t>
            </w:r>
            <w:r>
              <w:rPr>
                <w:rFonts w:cs="Arial"/>
              </w:rPr>
              <w:t>n</w:t>
            </w:r>
            <w:r w:rsidRPr="0047375D">
              <w:rPr>
                <w:rFonts w:cs="Arial"/>
              </w:rPr>
              <w:t xml:space="preserve"> space</w:t>
            </w:r>
            <w:r>
              <w:rPr>
                <w:rFonts w:cs="Arial"/>
              </w:rPr>
              <w:t>-</w:t>
            </w:r>
            <w:r w:rsidRPr="0047375D">
              <w:rPr>
                <w:rFonts w:cs="Arial"/>
              </w:rPr>
              <w:t>based communications</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89B8513" w14:textId="77777777" w:rsidR="004D0DEA" w:rsidRPr="00552992" w:rsidRDefault="004D0DEA" w:rsidP="0039046B">
            <w:pPr>
              <w:spacing w:after="120"/>
            </w:pPr>
            <w:r w:rsidRPr="00552992">
              <w:t>Monitoring of trends in space</w:t>
            </w:r>
            <w:r>
              <w:t>-</w:t>
            </w:r>
            <w:r w:rsidRPr="00552992">
              <w:t>based communications systems for consideration of possible future reviews and updates to regulatory policies and procedures supporting the satellite filling and coordination process, and licensing of space</w:t>
            </w:r>
            <w:r>
              <w:t>-</w:t>
            </w:r>
            <w:r w:rsidRPr="00552992">
              <w:t xml:space="preserve">based communications system in Australia. </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14D0204"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5344AB" w14:textId="77777777" w:rsidR="004D0DEA" w:rsidRPr="00552992" w:rsidRDefault="004D0DEA" w:rsidP="0039046B">
            <w:pPr>
              <w:spacing w:after="120"/>
              <w:rPr>
                <w:rFonts w:cs="Arial"/>
              </w:rPr>
            </w:pPr>
            <w:r w:rsidRPr="00552992">
              <w:rPr>
                <w:rFonts w:cs="Arial"/>
              </w:rPr>
              <w:t>Low</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7E3F92" w14:textId="77777777" w:rsidR="004D0DEA" w:rsidRPr="00552992" w:rsidRDefault="004D0DEA" w:rsidP="0039046B">
            <w:pPr>
              <w:spacing w:after="120"/>
              <w:rPr>
                <w:rFonts w:cs="Arial"/>
              </w:rPr>
            </w:pPr>
            <w:r w:rsidRPr="00552992">
              <w:rPr>
                <w:rFonts w:cs="Arial"/>
              </w:rPr>
              <w:t>Ongoing</w:t>
            </w:r>
          </w:p>
        </w:tc>
      </w:tr>
      <w:tr w:rsidR="004D0DEA" w:rsidRPr="00552992" w14:paraId="77DC9983"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1B027555" w14:textId="77777777" w:rsidR="004D0DEA" w:rsidRPr="00552992" w:rsidRDefault="004D0DEA" w:rsidP="0039046B">
            <w:pPr>
              <w:spacing w:after="120"/>
              <w:rPr>
                <w:rFonts w:cs="Arial"/>
              </w:rPr>
            </w:pPr>
            <w:r w:rsidRPr="00552992">
              <w:rPr>
                <w:rFonts w:cs="Arial"/>
              </w:rPr>
              <w:t>Monitoring emerging space</w:t>
            </w:r>
            <w:r w:rsidR="00E661ED">
              <w:rPr>
                <w:rFonts w:cs="Arial"/>
              </w:rPr>
              <w:t>-based</w:t>
            </w:r>
            <w:r w:rsidRPr="00552992">
              <w:rPr>
                <w:rFonts w:cs="Arial"/>
              </w:rPr>
              <w:t xml:space="preserve"> technologies</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485BF10E" w14:textId="77777777" w:rsidR="004D0DEA" w:rsidRPr="00552992" w:rsidRDefault="004D0DEA" w:rsidP="0039046B">
            <w:pPr>
              <w:spacing w:after="120"/>
              <w:rPr>
                <w:rFonts w:cs="Arial"/>
              </w:rPr>
            </w:pPr>
            <w:r w:rsidRPr="00552992">
              <w:t>There are a number of emerging space</w:t>
            </w:r>
            <w:r>
              <w:t>-</w:t>
            </w:r>
            <w:r w:rsidRPr="00552992">
              <w:t xml:space="preserve">based technologies and applications (for example nanosats/cubesats and </w:t>
            </w:r>
            <w:r>
              <w:t>ESIMs</w:t>
            </w:r>
            <w:r w:rsidRPr="00552992">
              <w:t>). The ACMA is monitoring developments in these areas for consideration of possible fu</w:t>
            </w:r>
            <w:r w:rsidRPr="00552992" w:rsidDel="001D227C">
              <w:t>t</w:t>
            </w:r>
            <w:r w:rsidRPr="00552992">
              <w:t>ure reviews and updates to arrangements for space</w:t>
            </w:r>
            <w:r>
              <w:t>-</w:t>
            </w:r>
            <w:r w:rsidRPr="00552992">
              <w:t>based communications systems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0A3B8240" w14:textId="77777777" w:rsidR="004D0DEA" w:rsidRPr="00552992" w:rsidRDefault="004D0DEA" w:rsidP="0039046B">
            <w:pPr>
              <w:spacing w:after="120"/>
              <w:rPr>
                <w:rFonts w:cs="Arial"/>
              </w:rPr>
            </w:pPr>
            <w:r w:rsidRPr="00552992">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280094C3" w14:textId="77777777" w:rsidR="004D0DEA" w:rsidRPr="00552992" w:rsidRDefault="004D0DEA" w:rsidP="0039046B">
            <w:pPr>
              <w:spacing w:after="120"/>
              <w:rPr>
                <w:rFonts w:cs="Arial"/>
              </w:rPr>
            </w:pPr>
            <w:r w:rsidRPr="00552992">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3957C991" w14:textId="77777777" w:rsidR="004D0DEA" w:rsidRPr="00552992" w:rsidRDefault="004D0DEA" w:rsidP="0039046B">
            <w:pPr>
              <w:spacing w:after="120"/>
              <w:rPr>
                <w:rFonts w:cs="Arial"/>
              </w:rPr>
            </w:pPr>
            <w:r w:rsidRPr="00552992">
              <w:rPr>
                <w:rFonts w:cs="Arial"/>
              </w:rPr>
              <w:t>Ongoing</w:t>
            </w:r>
          </w:p>
        </w:tc>
      </w:tr>
      <w:tr w:rsidR="004D0DEA" w:rsidRPr="00D67A3D" w14:paraId="787BC8CD"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4FA2EA0" w14:textId="77777777" w:rsidR="004D0DEA" w:rsidRPr="00D67A3D" w:rsidRDefault="004D0DEA" w:rsidP="0039046B">
            <w:pPr>
              <w:spacing w:after="120"/>
              <w:rPr>
                <w:rFonts w:cs="Arial"/>
                <w:b/>
              </w:rPr>
            </w:pPr>
            <w:r w:rsidRPr="00187F58">
              <w:t xml:space="preserve">Australia’s </w:t>
            </w:r>
            <w:r>
              <w:t xml:space="preserve">engagement in international </w:t>
            </w:r>
            <w:r w:rsidRPr="00187F58">
              <w:t>fora</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CDB89A9" w14:textId="77777777" w:rsidR="004D0DEA" w:rsidRPr="00D67A3D" w:rsidRDefault="004D0DEA" w:rsidP="0039046B">
            <w:pPr>
              <w:spacing w:after="120"/>
            </w:pPr>
            <w:r>
              <w:t xml:space="preserve">The ACMA manages and contributes to Australia’s participation in international and regional radiocommunication and spectrum fora such as the </w:t>
            </w:r>
            <w:r w:rsidR="007E7731" w:rsidRPr="0039046B">
              <w:t>ITU-R</w:t>
            </w:r>
            <w:r w:rsidRPr="00E1331D">
              <w:t xml:space="preserve"> and WRC and the Asia</w:t>
            </w:r>
            <w:r w:rsidR="007E7731" w:rsidRPr="0039046B">
              <w:t>–P</w:t>
            </w:r>
            <w:r w:rsidRPr="00E1331D">
              <w:t>acific Telecommunity Preparatory Group for WRC and Asia-Pacific Telecommunity Wireless Group.</w:t>
            </w:r>
            <w:r>
              <w:t xml:space="preserve"> This includes development of contributions to the meetings and management of Australian delegations and preparation of delegation briefs for meetings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D3D1AEC" w14:textId="77777777" w:rsidR="004D0DEA" w:rsidRPr="00D67A3D" w:rsidRDefault="004D0DEA" w:rsidP="0039046B">
            <w:pPr>
              <w:spacing w:after="120"/>
              <w:rPr>
                <w:rFonts w:cs="Arial"/>
              </w:rPr>
            </w:pPr>
            <w:r>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C3E9364" w14:textId="77777777" w:rsidR="004D0DEA" w:rsidRPr="00D67A3D" w:rsidRDefault="004D0DEA" w:rsidP="0039046B">
            <w:pPr>
              <w:spacing w:after="120"/>
              <w:rPr>
                <w:rFonts w:cs="Arial"/>
              </w:rPr>
            </w:pPr>
            <w:r>
              <w:rPr>
                <w:rFonts w:cs="Arial"/>
              </w:rPr>
              <w:t>High</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7A9645B" w14:textId="77777777" w:rsidR="004D0DEA" w:rsidRPr="00D67A3D" w:rsidRDefault="004D0DEA" w:rsidP="0039046B">
            <w:pPr>
              <w:spacing w:after="120"/>
              <w:rPr>
                <w:rFonts w:cs="Arial"/>
              </w:rPr>
            </w:pPr>
            <w:r>
              <w:rPr>
                <w:rFonts w:cs="Arial"/>
              </w:rPr>
              <w:t>Ongoing—albeit matters in association with the next WRC will culminate at the time of the conference in October 2019</w:t>
            </w:r>
          </w:p>
        </w:tc>
      </w:tr>
      <w:tr w:rsidR="004D0DEA" w:rsidRPr="00D67A3D" w14:paraId="79A6CCB5"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3FD36732" w14:textId="77777777" w:rsidR="004D0DEA" w:rsidRPr="00AB5B4F" w:rsidRDefault="004D0DEA" w:rsidP="0039046B">
            <w:pPr>
              <w:spacing w:after="120"/>
              <w:rPr>
                <w:rFonts w:cs="Arial"/>
              </w:rPr>
            </w:pPr>
            <w:r>
              <w:rPr>
                <w:rFonts w:cs="Arial"/>
              </w:rPr>
              <w:t xml:space="preserve">Management of </w:t>
            </w:r>
            <w:r w:rsidRPr="00AB5B4F">
              <w:rPr>
                <w:rFonts w:cs="Arial"/>
              </w:rPr>
              <w:t xml:space="preserve">Australia’s </w:t>
            </w:r>
            <w:r>
              <w:rPr>
                <w:rFonts w:cs="Arial"/>
              </w:rPr>
              <w:t xml:space="preserve">domestic </w:t>
            </w:r>
            <w:r w:rsidRPr="00AB5B4F">
              <w:rPr>
                <w:rFonts w:cs="Arial"/>
              </w:rPr>
              <w:t xml:space="preserve">preparation for </w:t>
            </w:r>
            <w:r>
              <w:rPr>
                <w:rFonts w:cs="Arial"/>
              </w:rPr>
              <w:t>WRC</w:t>
            </w:r>
            <w:r w:rsidRPr="00AB5B4F">
              <w:rPr>
                <w:rFonts w:cs="Arial"/>
              </w:rPr>
              <w:t xml:space="preserve"> and international </w:t>
            </w:r>
            <w:r>
              <w:rPr>
                <w:rFonts w:cs="Arial"/>
              </w:rPr>
              <w:t>engagement at</w:t>
            </w:r>
            <w:r w:rsidRPr="00AB5B4F">
              <w:rPr>
                <w:rFonts w:cs="Arial"/>
              </w:rPr>
              <w:t xml:space="preserve"> technical meetings</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2C2AB36B" w14:textId="77777777" w:rsidR="004D0DEA" w:rsidRPr="00D67A3D" w:rsidRDefault="004D0DEA" w:rsidP="0039046B">
            <w:pPr>
              <w:spacing w:after="120"/>
            </w:pPr>
            <w:r>
              <w:t>The ACMA manages a series of industry advisory groups on international radiocommunication issues. These groups provide valuable insight to industry interests on matters in support of the above work task.</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7D31E9EE" w14:textId="77777777" w:rsidR="004D0DEA" w:rsidRPr="00D67A3D" w:rsidRDefault="004D0DEA" w:rsidP="0039046B">
            <w:pPr>
              <w:spacing w:after="120"/>
              <w:rPr>
                <w:rFonts w:cs="Arial"/>
              </w:rPr>
            </w:pPr>
            <w:r>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7EE85C66" w14:textId="77777777" w:rsidR="004D0DEA" w:rsidRPr="00D67A3D" w:rsidRDefault="004D0DEA" w:rsidP="0039046B">
            <w:pPr>
              <w:spacing w:after="120"/>
              <w:rPr>
                <w:rFonts w:cs="Arial"/>
              </w:rPr>
            </w:pPr>
            <w:r>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332DA885" w14:textId="77777777" w:rsidR="004D0DEA" w:rsidRDefault="004D0DEA" w:rsidP="0039046B">
            <w:pPr>
              <w:spacing w:after="120"/>
              <w:rPr>
                <w:rFonts w:cs="Arial"/>
              </w:rPr>
            </w:pPr>
            <w:r>
              <w:rPr>
                <w:rFonts w:cs="Arial"/>
              </w:rPr>
              <w:t>Ongoing</w:t>
            </w:r>
          </w:p>
        </w:tc>
      </w:tr>
      <w:tr w:rsidR="004D0DEA" w:rsidRPr="00D67A3D" w14:paraId="7D4B550B"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082628" w14:textId="77777777" w:rsidR="004D0DEA" w:rsidRPr="00B8776C" w:rsidRDefault="004D0DEA" w:rsidP="00375F63">
            <w:pPr>
              <w:spacing w:after="0"/>
              <w:rPr>
                <w:rFonts w:cs="Arial"/>
                <w:b/>
              </w:rPr>
            </w:pPr>
            <w:r w:rsidRPr="00B8776C">
              <w:rPr>
                <w:rFonts w:cs="Arial"/>
              </w:rPr>
              <w:t xml:space="preserve">IoT and </w:t>
            </w:r>
            <w:r w:rsidRPr="0039046B">
              <w:rPr>
                <w:rFonts w:cs="Arial"/>
              </w:rPr>
              <w:t>M2M</w:t>
            </w:r>
            <w:r w:rsidRPr="00B8776C">
              <w:rPr>
                <w:rFonts w:cs="Arial"/>
              </w:rPr>
              <w:t xml:space="preserve"> requirements</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6AC7D4F" w14:textId="77777777" w:rsidR="004D0DEA" w:rsidRPr="00B8776C" w:rsidRDefault="004D0DEA" w:rsidP="00375F63">
            <w:pPr>
              <w:spacing w:after="0"/>
            </w:pPr>
            <w:r w:rsidRPr="00B8776C">
              <w:t xml:space="preserve">The IoT and M2M communications is emerging as area of interest. The ACMA is monitoring developments and engaging with industry domestically and internationally to determine appropriate arrangements are developed as necessary. The ACMA is an observer on the IoT Alliance Australia (IoTAA) Executive Council and also chairs the </w:t>
            </w:r>
            <w:r w:rsidRPr="00E1331D">
              <w:t>spectrum Work Stream of the</w:t>
            </w:r>
            <w:r w:rsidRPr="00B8776C">
              <w:t xml:space="preserve"> IoTAA.</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50230D" w14:textId="77777777" w:rsidR="004D0DEA" w:rsidRPr="00B8776C" w:rsidRDefault="004D0DEA" w:rsidP="00375F63">
            <w:pPr>
              <w:spacing w:after="0"/>
              <w:rPr>
                <w:rFonts w:cs="Arial"/>
              </w:rPr>
            </w:pPr>
            <w:r w:rsidRPr="00B8776C">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75DA462" w14:textId="77777777" w:rsidR="004D0DEA" w:rsidRPr="00B8776C" w:rsidRDefault="004D0DEA" w:rsidP="00375F63">
            <w:pPr>
              <w:spacing w:after="0"/>
              <w:rPr>
                <w:rFonts w:cs="Arial"/>
              </w:rPr>
            </w:pPr>
            <w:r w:rsidRPr="00B8776C">
              <w:rPr>
                <w:rFonts w:cs="Arial"/>
              </w:rPr>
              <w:t xml:space="preserve">Medium to </w:t>
            </w:r>
            <w:r>
              <w:rPr>
                <w:rFonts w:cs="Arial"/>
              </w:rPr>
              <w:t>h</w:t>
            </w:r>
            <w:r w:rsidRPr="00B8776C">
              <w:rPr>
                <w:rFonts w:cs="Arial"/>
              </w:rPr>
              <w:t>igh</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E780458" w14:textId="77777777" w:rsidR="004D0DEA" w:rsidRDefault="004D0DEA" w:rsidP="00375F63">
            <w:pPr>
              <w:spacing w:after="0"/>
              <w:rPr>
                <w:rFonts w:cs="Arial"/>
              </w:rPr>
            </w:pPr>
            <w:r>
              <w:rPr>
                <w:rFonts w:cs="Arial"/>
              </w:rPr>
              <w:t>Ongoing</w:t>
            </w:r>
          </w:p>
        </w:tc>
      </w:tr>
      <w:tr w:rsidR="004D0DEA" w:rsidRPr="00D67A3D" w14:paraId="101EDC2D"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4E0A8639" w14:textId="77777777" w:rsidR="004D0DEA" w:rsidRPr="00B8776C" w:rsidRDefault="004D0DEA" w:rsidP="00375F63">
            <w:pPr>
              <w:spacing w:after="0"/>
              <w:rPr>
                <w:rFonts w:cs="Arial"/>
              </w:rPr>
            </w:pPr>
            <w:r w:rsidRPr="00B8776C">
              <w:rPr>
                <w:rFonts w:cs="Arial"/>
              </w:rPr>
              <w:t>Government spectrum planning and management</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04CC2309" w14:textId="77777777" w:rsidR="004D0DEA" w:rsidRPr="00B8776C" w:rsidRDefault="004D0DEA" w:rsidP="00375F63">
            <w:pPr>
              <w:spacing w:after="0"/>
            </w:pPr>
            <w:r w:rsidRPr="00B8776C">
              <w:t>The ACMA maintains a day-to-day planning, management and liaison role to support access to spectrum by government agencies, such as Defence</w:t>
            </w:r>
            <w:r>
              <w:t xml:space="preserve"> and</w:t>
            </w:r>
            <w:r w:rsidRPr="00B8776C">
              <w:t xml:space="preserve"> public safety and security agencies. This includes licensing and regulatory support for specific requirements that are difficult to accommodate within existing legislative and regulatory frameworks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2668BA15" w14:textId="77777777" w:rsidR="004D0DEA" w:rsidRPr="00B8776C" w:rsidRDefault="004D0DEA" w:rsidP="00375F63">
            <w:pPr>
              <w:spacing w:after="0"/>
              <w:rPr>
                <w:rFonts w:cs="Arial"/>
              </w:rPr>
            </w:pPr>
            <w:r w:rsidRPr="00B8776C">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1AB778BF" w14:textId="77777777" w:rsidR="004D0DEA" w:rsidRDefault="004D0DEA" w:rsidP="00375F63">
            <w:pPr>
              <w:spacing w:after="0"/>
              <w:rPr>
                <w:rFonts w:cs="Arial"/>
              </w:rPr>
            </w:pPr>
            <w:r>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0B9FE4F2" w14:textId="77777777" w:rsidR="004D0DEA" w:rsidRDefault="004D0DEA" w:rsidP="00375F63">
            <w:pPr>
              <w:spacing w:after="0"/>
              <w:rPr>
                <w:rFonts w:cs="Arial"/>
              </w:rPr>
            </w:pPr>
            <w:r>
              <w:rPr>
                <w:rFonts w:cs="Arial"/>
              </w:rPr>
              <w:t>Ongoing</w:t>
            </w:r>
          </w:p>
        </w:tc>
      </w:tr>
      <w:tr w:rsidR="004D0DEA" w:rsidRPr="00D67A3D" w14:paraId="5135278E"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AF17009" w14:textId="77777777" w:rsidR="004D0DEA" w:rsidRPr="00EC678B" w:rsidRDefault="004D0DEA" w:rsidP="00375F63">
            <w:pPr>
              <w:spacing w:after="0"/>
              <w:rPr>
                <w:rFonts w:cs="Arial"/>
              </w:rPr>
            </w:pPr>
            <w:r>
              <w:rPr>
                <w:rFonts w:cs="Arial"/>
              </w:rPr>
              <w:t>Investigation and advice on wide spread TV reception difficulties</w:t>
            </w:r>
            <w:r w:rsidRPr="00EC678B">
              <w:rPr>
                <w:rFonts w:cs="Arial"/>
              </w:rPr>
              <w:t xml:space="preserve"> </w:t>
            </w:r>
          </w:p>
        </w:tc>
        <w:tc>
          <w:tcPr>
            <w:tcW w:w="40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63B9E5" w14:textId="77777777" w:rsidR="004D0DEA" w:rsidRDefault="004D0DEA" w:rsidP="00375F63">
            <w:pPr>
              <w:spacing w:after="0"/>
            </w:pPr>
            <w:r w:rsidRPr="009153AB">
              <w:t>Between 2010 and 2014, the terrestrial TV transmissions in Australia underwent a series of transformations with the switchover to digital</w:t>
            </w:r>
            <w:r>
              <w:t>-</w:t>
            </w:r>
            <w:r w:rsidRPr="009153AB">
              <w:t xml:space="preserve">only TV and retune of many digital TV transmissions to clear the UHF ‘digital dividend’ spectrum. The ACMA </w:t>
            </w:r>
            <w:r>
              <w:t>maintains a limited capacity</w:t>
            </w:r>
            <w:r w:rsidRPr="009153AB">
              <w:t xml:space="preserve"> to </w:t>
            </w:r>
            <w:r>
              <w:t xml:space="preserve">investigate widespread TV </w:t>
            </w:r>
            <w:r w:rsidRPr="009153AB">
              <w:t>reception problems</w:t>
            </w:r>
            <w:r>
              <w:t xml:space="preserve">, focusing its strategy </w:t>
            </w:r>
            <w:r w:rsidRPr="009153AB">
              <w:t>on informing viewers of the importance of having an optimised antenna system for reliable TV rec</w:t>
            </w:r>
            <w:r>
              <w:t xml:space="preserve">eption. The ACMA may </w:t>
            </w:r>
            <w:r w:rsidRPr="009153AB">
              <w:t xml:space="preserve">investigate, and provide public information about any sufficiently </w:t>
            </w:r>
            <w:r>
              <w:t>widespread</w:t>
            </w:r>
            <w:r w:rsidRPr="009153AB">
              <w:t xml:space="preserve"> </w:t>
            </w:r>
            <w:r>
              <w:t>TV reception problem it becomes aware of. The ACMA</w:t>
            </w:r>
            <w:r w:rsidRPr="009153AB">
              <w:t xml:space="preserve"> has developed a</w:t>
            </w:r>
            <w:r>
              <w:t xml:space="preserve"> </w:t>
            </w:r>
            <w:hyperlink r:id="rId87" w:history="1">
              <w:r w:rsidRPr="00B8776C">
                <w:rPr>
                  <w:rStyle w:val="Hyperlink"/>
                </w:rPr>
                <w:t>TV reception information hub</w:t>
              </w:r>
            </w:hyperlink>
            <w:r w:rsidRPr="009153AB">
              <w:t xml:space="preserve"> on its website</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DF81F8" w14:textId="77777777" w:rsidR="004D0DEA" w:rsidRDefault="004D0DEA" w:rsidP="00375F63">
            <w:pPr>
              <w:spacing w:after="0"/>
              <w:rPr>
                <w:rFonts w:cs="Arial"/>
              </w:rPr>
            </w:pPr>
            <w:r>
              <w:rPr>
                <w:rFonts w:cs="Arial"/>
              </w:rPr>
              <w:t>Active</w:t>
            </w:r>
          </w:p>
        </w:tc>
        <w:tc>
          <w:tcPr>
            <w:tcW w:w="113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88A09FE" w14:textId="77777777" w:rsidR="004D0DEA" w:rsidRDefault="004D0DEA" w:rsidP="00375F63">
            <w:pPr>
              <w:spacing w:after="0"/>
              <w:rPr>
                <w:rFonts w:cs="Arial"/>
              </w:rPr>
            </w:pPr>
            <w:r>
              <w:rPr>
                <w:rFonts w:cs="Arial"/>
              </w:rPr>
              <w:t>Medium</w:t>
            </w:r>
          </w:p>
        </w:tc>
        <w:tc>
          <w:tcPr>
            <w:tcW w:w="179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AE3BB3" w14:textId="77777777" w:rsidR="004D0DEA" w:rsidRDefault="004D0DEA" w:rsidP="00375F63">
            <w:pPr>
              <w:spacing w:after="0"/>
              <w:rPr>
                <w:rFonts w:cs="Arial"/>
              </w:rPr>
            </w:pPr>
            <w:r>
              <w:rPr>
                <w:rFonts w:cs="Arial"/>
              </w:rPr>
              <w:t>Ongoing</w:t>
            </w:r>
          </w:p>
        </w:tc>
      </w:tr>
      <w:tr w:rsidR="004D0DEA" w:rsidRPr="00D67A3D" w14:paraId="26EE893A" w14:textId="77777777" w:rsidTr="00A839AF">
        <w:tc>
          <w:tcPr>
            <w:tcW w:w="1732" w:type="dxa"/>
            <w:tcBorders>
              <w:top w:val="single" w:sz="4" w:space="0" w:color="auto"/>
              <w:left w:val="single" w:sz="4" w:space="0" w:color="auto"/>
              <w:bottom w:val="single" w:sz="4" w:space="0" w:color="auto"/>
              <w:right w:val="single" w:sz="4" w:space="0" w:color="auto"/>
            </w:tcBorders>
            <w:shd w:val="clear" w:color="auto" w:fill="FFFFFF" w:themeFill="background1"/>
          </w:tcPr>
          <w:p w14:paraId="7F3B5124" w14:textId="77777777" w:rsidR="004D0DEA" w:rsidRPr="00EC678B" w:rsidRDefault="004D0DEA" w:rsidP="00375F63">
            <w:pPr>
              <w:spacing w:after="0"/>
              <w:rPr>
                <w:rFonts w:cs="Arial"/>
              </w:rPr>
            </w:pPr>
            <w:r w:rsidRPr="00EC678B">
              <w:rPr>
                <w:rFonts w:cs="Arial"/>
              </w:rPr>
              <w:t xml:space="preserve">The ACMA’s support to radiofrequency spectrum management for </w:t>
            </w:r>
            <w:r>
              <w:rPr>
                <w:rFonts w:cs="Arial"/>
              </w:rPr>
              <w:t>major</w:t>
            </w:r>
            <w:r w:rsidRPr="00EC678B">
              <w:rPr>
                <w:rFonts w:cs="Arial"/>
              </w:rPr>
              <w:t xml:space="preserve"> events</w:t>
            </w:r>
          </w:p>
        </w:tc>
        <w:tc>
          <w:tcPr>
            <w:tcW w:w="4059" w:type="dxa"/>
            <w:tcBorders>
              <w:top w:val="single" w:sz="4" w:space="0" w:color="auto"/>
              <w:left w:val="single" w:sz="4" w:space="0" w:color="auto"/>
              <w:bottom w:val="single" w:sz="4" w:space="0" w:color="auto"/>
              <w:right w:val="single" w:sz="4" w:space="0" w:color="auto"/>
            </w:tcBorders>
            <w:shd w:val="clear" w:color="auto" w:fill="FFFFFF" w:themeFill="background1"/>
          </w:tcPr>
          <w:p w14:paraId="21A4DB20" w14:textId="77777777" w:rsidR="004D0DEA" w:rsidRDefault="004D0DEA" w:rsidP="00375F63">
            <w:pPr>
              <w:spacing w:after="0"/>
            </w:pPr>
            <w:r w:rsidRPr="00F57C55">
              <w:t xml:space="preserve">As part of their risk management strategy, the organisers of </w:t>
            </w:r>
            <w:r>
              <w:t>the major</w:t>
            </w:r>
            <w:r w:rsidRPr="00F57C55">
              <w:t xml:space="preserve"> events </w:t>
            </w:r>
            <w:r>
              <w:t xml:space="preserve">in Australia may request the assistance and </w:t>
            </w:r>
            <w:r w:rsidRPr="00F57C55">
              <w:t xml:space="preserve">services of the ACMA to provide regulatory support </w:t>
            </w:r>
            <w:r>
              <w:t xml:space="preserve">and interference management </w:t>
            </w:r>
            <w:r w:rsidRPr="00F57C55">
              <w:t>for communications used in the lead-up to the event and during its staging.</w:t>
            </w:r>
            <w:r>
              <w:t xml:space="preserve"> These services are provided on a full cost-recovery basis</w:t>
            </w:r>
            <w:r w:rsidR="0006468B">
              <w:t>.</w:t>
            </w:r>
          </w:p>
        </w:tc>
        <w:tc>
          <w:tcPr>
            <w:tcW w:w="1044" w:type="dxa"/>
            <w:tcBorders>
              <w:top w:val="single" w:sz="4" w:space="0" w:color="auto"/>
              <w:left w:val="single" w:sz="4" w:space="0" w:color="auto"/>
              <w:bottom w:val="single" w:sz="4" w:space="0" w:color="auto"/>
              <w:right w:val="single" w:sz="4" w:space="0" w:color="auto"/>
            </w:tcBorders>
            <w:shd w:val="clear" w:color="auto" w:fill="FFFFFF" w:themeFill="background1"/>
          </w:tcPr>
          <w:p w14:paraId="4C7716A4" w14:textId="77777777" w:rsidR="004D0DEA" w:rsidRDefault="004D0DEA" w:rsidP="00375F63">
            <w:pPr>
              <w:spacing w:after="0"/>
              <w:rPr>
                <w:rFonts w:cs="Arial"/>
              </w:rPr>
            </w:pPr>
            <w:r w:rsidRPr="001E0C63">
              <w:t>Active</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0FAC7E61" w14:textId="77777777" w:rsidR="004D0DEA" w:rsidRDefault="004D0DEA" w:rsidP="00375F63">
            <w:pPr>
              <w:spacing w:after="0"/>
              <w:rPr>
                <w:rFonts w:cs="Arial"/>
              </w:rPr>
            </w:pPr>
            <w:r>
              <w:t>Variable</w:t>
            </w:r>
          </w:p>
        </w:tc>
        <w:tc>
          <w:tcPr>
            <w:tcW w:w="1791" w:type="dxa"/>
            <w:tcBorders>
              <w:top w:val="single" w:sz="4" w:space="0" w:color="auto"/>
              <w:left w:val="single" w:sz="4" w:space="0" w:color="auto"/>
              <w:bottom w:val="single" w:sz="4" w:space="0" w:color="auto"/>
              <w:right w:val="single" w:sz="4" w:space="0" w:color="auto"/>
            </w:tcBorders>
            <w:shd w:val="clear" w:color="auto" w:fill="FFFFFF" w:themeFill="background1"/>
          </w:tcPr>
          <w:p w14:paraId="6778F8D2" w14:textId="77777777" w:rsidR="004D0DEA" w:rsidRDefault="004D0DEA" w:rsidP="00375F63">
            <w:pPr>
              <w:spacing w:after="0"/>
              <w:rPr>
                <w:rFonts w:cs="Arial"/>
              </w:rPr>
            </w:pPr>
            <w:r>
              <w:t>O</w:t>
            </w:r>
            <w:r w:rsidRPr="001E0C63">
              <w:t>ngoing</w:t>
            </w:r>
          </w:p>
        </w:tc>
      </w:tr>
    </w:tbl>
    <w:p w14:paraId="28132FFE" w14:textId="77777777" w:rsidR="004D0DEA" w:rsidRDefault="004D0DEA" w:rsidP="004D0DEA">
      <w:pPr>
        <w:pStyle w:val="ACMASpaceaftertable"/>
        <w:rPr>
          <w:lang w:val="en-US"/>
        </w:rPr>
      </w:pPr>
    </w:p>
    <w:p w14:paraId="0324E66A" w14:textId="77777777" w:rsidR="004D0DEA" w:rsidRPr="004637C5" w:rsidRDefault="004D0DEA" w:rsidP="004637C5">
      <w:pPr>
        <w:pStyle w:val="Heading1"/>
      </w:pPr>
      <w:bookmarkStart w:id="344" w:name="MBB"/>
      <w:bookmarkStart w:id="345" w:name="_Toc463351331"/>
      <w:bookmarkEnd w:id="344"/>
      <w:r w:rsidRPr="004637C5">
        <w:rPr>
          <w:b/>
        </w:rPr>
        <w:t>Part 3—</w:t>
      </w:r>
      <w:r w:rsidR="00B91268" w:rsidRPr="004637C5">
        <w:rPr>
          <w:rFonts w:eastAsiaTheme="minorHAnsi"/>
          <w:noProof/>
        </w:rPr>
        <w:drawing>
          <wp:anchor distT="0" distB="0" distL="114300" distR="114300" simplePos="0" relativeHeight="251663360" behindDoc="1" locked="1" layoutInCell="0" allowOverlap="0" wp14:anchorId="474188E2" wp14:editId="382D1D78">
            <wp:simplePos x="0" y="0"/>
            <wp:positionH relativeFrom="page">
              <wp:posOffset>-50165</wp:posOffset>
            </wp:positionH>
            <wp:positionV relativeFrom="page">
              <wp:posOffset>-6985</wp:posOffset>
            </wp:positionV>
            <wp:extent cx="7632000" cy="10807200"/>
            <wp:effectExtent l="0" t="0" r="7620" b="0"/>
            <wp:wrapNone/>
            <wp:docPr id="10" name="Picture 2"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FYSODocumentAssets2013_ChapIntro.png"/>
                    <pic:cNvPicPr/>
                  </pic:nvPicPr>
                  <pic:blipFill>
                    <a:blip r:embed="rId41" cstate="print"/>
                    <a:stretch>
                      <a:fillRect/>
                    </a:stretch>
                  </pic:blipFill>
                  <pic:spPr>
                    <a:xfrm>
                      <a:off x="0" y="0"/>
                      <a:ext cx="7632000" cy="10807200"/>
                    </a:xfrm>
                    <a:prstGeom prst="rect">
                      <a:avLst/>
                    </a:prstGeom>
                  </pic:spPr>
                </pic:pic>
              </a:graphicData>
            </a:graphic>
            <wp14:sizeRelH relativeFrom="margin">
              <wp14:pctWidth>0</wp14:pctWidth>
            </wp14:sizeRelH>
            <wp14:sizeRelV relativeFrom="margin">
              <wp14:pctHeight>0</wp14:pctHeight>
            </wp14:sizeRelV>
          </wp:anchor>
        </w:drawing>
      </w:r>
      <w:r w:rsidRPr="004637C5">
        <w:br/>
        <w:t xml:space="preserve">Mobile </w:t>
      </w:r>
      <w:r w:rsidRPr="004637C5">
        <w:rPr>
          <w:rStyle w:val="Heading1Char"/>
          <w:bCs/>
        </w:rPr>
        <w:t>broadband</w:t>
      </w:r>
      <w:r w:rsidRPr="004637C5">
        <w:t xml:space="preserve"> work program: October 2016 update</w:t>
      </w:r>
      <w:bookmarkEnd w:id="345"/>
    </w:p>
    <w:p w14:paraId="39A81A65" w14:textId="77777777" w:rsidR="004D0DEA" w:rsidRDefault="004D0DEA" w:rsidP="0039046B">
      <w:pPr>
        <w:pageBreakBefore/>
      </w:pPr>
      <w:r>
        <w:t xml:space="preserve">To assist in providing transparency to its work related to mobile broadband capacity growth and greater certainty to all spectrum holders, the ACMA has articulated and adopted a transparent spectrum management planning process for the consideration of additional bands for mobile broadband, as stated in its </w:t>
      </w:r>
      <w:hyperlink r:id="rId88" w:history="1">
        <w:r>
          <w:rPr>
            <w:rStyle w:val="Hyperlink"/>
          </w:rPr>
          <w:t>mobile broadband s</w:t>
        </w:r>
        <w:r w:rsidRPr="001D1630">
          <w:rPr>
            <w:rStyle w:val="Hyperlink"/>
          </w:rPr>
          <w:t>trategy</w:t>
        </w:r>
      </w:hyperlink>
      <w:r>
        <w:t xml:space="preserve"> (Strategy 2). In doing this, the ACMA has broken its process </w:t>
      </w:r>
      <w:r w:rsidDel="00DC0A4A">
        <w:t xml:space="preserve">of </w:t>
      </w:r>
      <w:r>
        <w:t xml:space="preserve">repurposing </w:t>
      </w:r>
      <w:r w:rsidDel="00DC0A4A">
        <w:t xml:space="preserve">a band </w:t>
      </w:r>
      <w:r>
        <w:t>into three broad stages—initial investigation, preliminary replanning and re-farming.</w:t>
      </w:r>
      <w:r>
        <w:rPr>
          <w:rStyle w:val="FootnoteReference"/>
        </w:rPr>
        <w:footnoteReference w:id="30"/>
      </w:r>
      <w:r>
        <w:t xml:space="preserve"> These stages are preceded by an initial ‘monitoring’ stage, where it is determined whether consideration of a particular band should progress further. Although the ACMA maintains a general awareness across all bands, those included in this stage are monitored closely. A more detailed explanation of each of these stages is available in the ACMA’s </w:t>
      </w:r>
      <w:hyperlink r:id="rId89" w:history="1">
        <w:r>
          <w:rPr>
            <w:rStyle w:val="Hyperlink"/>
          </w:rPr>
          <w:t>m</w:t>
        </w:r>
        <w:r w:rsidRPr="001D1630">
          <w:rPr>
            <w:rStyle w:val="Hyperlink"/>
          </w:rPr>
          <w:t xml:space="preserve">obile </w:t>
        </w:r>
        <w:r>
          <w:rPr>
            <w:rStyle w:val="Hyperlink"/>
          </w:rPr>
          <w:t>b</w:t>
        </w:r>
        <w:r w:rsidRPr="001D1630">
          <w:rPr>
            <w:rStyle w:val="Hyperlink"/>
          </w:rPr>
          <w:t xml:space="preserve">roadband </w:t>
        </w:r>
        <w:r>
          <w:rPr>
            <w:rStyle w:val="Hyperlink"/>
          </w:rPr>
          <w:t>s</w:t>
        </w:r>
        <w:r w:rsidRPr="001D1630">
          <w:rPr>
            <w:rStyle w:val="Hyperlink"/>
          </w:rPr>
          <w:t>trategy</w:t>
        </w:r>
      </w:hyperlink>
      <w:r>
        <w:t xml:space="preserve"> paper.</w:t>
      </w:r>
    </w:p>
    <w:p w14:paraId="01095CC7" w14:textId="77777777" w:rsidR="004D0DEA" w:rsidRDefault="004D0DEA" w:rsidP="004D0DEA">
      <w:pPr>
        <w:rPr>
          <w:rFonts w:cs="Arial"/>
        </w:rPr>
      </w:pPr>
      <w:r>
        <w:t xml:space="preserve">As part of its mobile broadband strategy, the ACMA undertook to </w:t>
      </w:r>
      <w:r>
        <w:rPr>
          <w:rFonts w:eastAsiaTheme="minorEastAsia"/>
        </w:rPr>
        <w:t xml:space="preserve">include an updated </w:t>
      </w:r>
      <w:r>
        <w:t>mobile broadband work program</w:t>
      </w:r>
      <w:r>
        <w:rPr>
          <w:rFonts w:eastAsiaTheme="minorEastAsia"/>
        </w:rPr>
        <w:t xml:space="preserve"> on an annual basis that would form part of the ACMA’s FYSO. The updated work program f</w:t>
      </w:r>
      <w:r>
        <w:t xml:space="preserve">or </w:t>
      </w:r>
      <w:r>
        <w:rPr>
          <w:rFonts w:eastAsiaTheme="minorEastAsia"/>
        </w:rPr>
        <w:t xml:space="preserve">mobile broadband spectrum planning projects </w:t>
      </w:r>
      <w:r>
        <w:t>is contained in Table 1. This table outlines where each of these projects is positioned within the overall process (the stages) and identifies those frequency bands that are</w:t>
      </w:r>
      <w:r w:rsidRPr="008C5FA2">
        <w:t xml:space="preserve"> </w:t>
      </w:r>
      <w:r>
        <w:t>at</w:t>
      </w:r>
      <w:r w:rsidRPr="008C5FA2">
        <w:t xml:space="preserve"> the </w:t>
      </w:r>
      <w:r w:rsidRPr="00FC2E2B">
        <w:rPr>
          <w:i/>
        </w:rPr>
        <w:t>monitoring</w:t>
      </w:r>
      <w:r w:rsidRPr="008C5FA2">
        <w:t xml:space="preserve"> </w:t>
      </w:r>
      <w:r>
        <w:t xml:space="preserve">stage. The table also provides a summary of the work undertaken to date and the likely next steps. </w:t>
      </w:r>
      <w:r>
        <w:rPr>
          <w:rFonts w:cs="Arial"/>
        </w:rPr>
        <w:t xml:space="preserve">A more detailed overview of the reasoning for the status of each band in Table 1 is provided in the proceeding sections. </w:t>
      </w:r>
    </w:p>
    <w:p w14:paraId="5F38FEBB" w14:textId="77777777" w:rsidR="004D0DEA" w:rsidRDefault="004D0DEA" w:rsidP="004D0DEA">
      <w:pPr>
        <w:rPr>
          <w:rFonts w:cs="Arial"/>
        </w:rPr>
      </w:pPr>
    </w:p>
    <w:p w14:paraId="28912DDE" w14:textId="77777777" w:rsidR="004D0DEA" w:rsidRDefault="004D0DEA" w:rsidP="004D0DEA">
      <w:pPr>
        <w:rPr>
          <w:rFonts w:cs="Arial"/>
        </w:rPr>
        <w:sectPr w:rsidR="004D0DEA" w:rsidSect="00C77380">
          <w:headerReference w:type="even" r:id="rId90"/>
          <w:headerReference w:type="default" r:id="rId91"/>
          <w:footerReference w:type="even" r:id="rId92"/>
          <w:footerReference w:type="default" r:id="rId93"/>
          <w:pgSz w:w="11906" w:h="16838" w:code="9"/>
          <w:pgMar w:top="1945" w:right="3101" w:bottom="1134" w:left="1134" w:header="709" w:footer="119" w:gutter="0"/>
          <w:pgNumType w:start="1"/>
          <w:cols w:space="708"/>
          <w:docGrid w:linePitch="360"/>
        </w:sectPr>
      </w:pPr>
    </w:p>
    <w:p w14:paraId="64996C19" w14:textId="77777777" w:rsidR="00B31D38" w:rsidRDefault="004D0DEA" w:rsidP="0039046B">
      <w:pPr>
        <w:pStyle w:val="ACMATableHeader"/>
        <w:keepNext/>
        <w:keepLines/>
      </w:pPr>
      <w:r w:rsidRPr="004D0DEA">
        <w:t>Status of current mobile broadband spectrum planning projects</w:t>
      </w:r>
      <w:r w:rsidRPr="004D0DEA" w:rsidDel="00916C77">
        <w:t xml:space="preserve"> </w:t>
      </w:r>
    </w:p>
    <w:tbl>
      <w:tblPr>
        <w:tblStyle w:val="TableGrid"/>
        <w:tblW w:w="0" w:type="auto"/>
        <w:tblCellMar>
          <w:top w:w="57" w:type="dxa"/>
          <w:left w:w="57" w:type="dxa"/>
          <w:bottom w:w="57" w:type="dxa"/>
          <w:right w:w="57" w:type="dxa"/>
        </w:tblCellMar>
        <w:tblLook w:val="04A0" w:firstRow="1" w:lastRow="0" w:firstColumn="1" w:lastColumn="0" w:noHBand="0" w:noVBand="1"/>
        <w:tblCaption w:val="Status of current mobile broadband spectrum planning projects "/>
        <w:tblDescription w:val="Includes the stage of the project, current mobile broadband spectrum planning projects, activity to date and the next steps."/>
      </w:tblPr>
      <w:tblGrid>
        <w:gridCol w:w="1594"/>
        <w:gridCol w:w="3969"/>
        <w:gridCol w:w="3969"/>
        <w:gridCol w:w="4217"/>
      </w:tblGrid>
      <w:tr w:rsidR="00B31D38" w14:paraId="18B40FD7" w14:textId="77777777" w:rsidTr="00BC11EA">
        <w:trPr>
          <w:tblHeader/>
        </w:trPr>
        <w:tc>
          <w:tcPr>
            <w:tcW w:w="1594" w:type="dxa"/>
            <w:shd w:val="clear" w:color="auto" w:fill="404040" w:themeFill="text1" w:themeFillTint="BF"/>
          </w:tcPr>
          <w:p w14:paraId="6CD4DBBD" w14:textId="77777777" w:rsidR="00B31D38" w:rsidRPr="0039046B" w:rsidRDefault="00B31D38" w:rsidP="0039046B">
            <w:pPr>
              <w:spacing w:after="0"/>
              <w:rPr>
                <w:b/>
              </w:rPr>
            </w:pPr>
            <w:r w:rsidRPr="0039046B">
              <w:rPr>
                <w:rFonts w:cs="Arial"/>
                <w:b/>
                <w:color w:val="FFFFFF" w:themeColor="background1"/>
              </w:rPr>
              <w:t>Stage</w:t>
            </w:r>
          </w:p>
        </w:tc>
        <w:tc>
          <w:tcPr>
            <w:tcW w:w="3969" w:type="dxa"/>
            <w:shd w:val="clear" w:color="auto" w:fill="404040" w:themeFill="text1" w:themeFillTint="BF"/>
          </w:tcPr>
          <w:p w14:paraId="3CFEC7A3" w14:textId="77777777" w:rsidR="00B31D38" w:rsidRPr="0039046B" w:rsidRDefault="00B31D38" w:rsidP="0039046B">
            <w:pPr>
              <w:spacing w:after="0"/>
              <w:rPr>
                <w:b/>
              </w:rPr>
            </w:pPr>
            <w:r w:rsidRPr="0039046B">
              <w:rPr>
                <w:rFonts w:cs="Arial"/>
                <w:b/>
                <w:color w:val="FFFFFF" w:themeColor="background1"/>
              </w:rPr>
              <w:t>Current mobile broadband spectrum planning projects</w:t>
            </w:r>
          </w:p>
        </w:tc>
        <w:tc>
          <w:tcPr>
            <w:tcW w:w="3969" w:type="dxa"/>
            <w:shd w:val="clear" w:color="auto" w:fill="404040" w:themeFill="text1" w:themeFillTint="BF"/>
          </w:tcPr>
          <w:p w14:paraId="153D9A4D" w14:textId="77777777" w:rsidR="00B31D38" w:rsidRPr="0039046B" w:rsidRDefault="00B31D38" w:rsidP="0039046B">
            <w:pPr>
              <w:spacing w:after="0"/>
              <w:rPr>
                <w:b/>
              </w:rPr>
            </w:pPr>
            <w:r w:rsidRPr="0039046B">
              <w:rPr>
                <w:rFonts w:cs="Arial"/>
                <w:b/>
                <w:color w:val="FFFFFF" w:themeColor="background1"/>
              </w:rPr>
              <w:t>Activity to date</w:t>
            </w:r>
          </w:p>
        </w:tc>
        <w:tc>
          <w:tcPr>
            <w:tcW w:w="4217" w:type="dxa"/>
            <w:shd w:val="clear" w:color="auto" w:fill="404040" w:themeFill="text1" w:themeFillTint="BF"/>
          </w:tcPr>
          <w:p w14:paraId="77552687" w14:textId="77777777" w:rsidR="00B31D38" w:rsidRPr="0039046B" w:rsidRDefault="00B31D38" w:rsidP="0039046B">
            <w:pPr>
              <w:spacing w:after="0"/>
              <w:rPr>
                <w:b/>
              </w:rPr>
            </w:pPr>
            <w:r w:rsidRPr="0039046B">
              <w:rPr>
                <w:rFonts w:cs="Arial"/>
                <w:b/>
                <w:color w:val="FFFFFF" w:themeColor="background1"/>
              </w:rPr>
              <w:t>Next steps</w:t>
            </w:r>
          </w:p>
        </w:tc>
      </w:tr>
      <w:tr w:rsidR="00B31D38" w14:paraId="246C9F77" w14:textId="77777777" w:rsidTr="0039046B">
        <w:tc>
          <w:tcPr>
            <w:tcW w:w="1594" w:type="dxa"/>
            <w:vMerge w:val="restart"/>
          </w:tcPr>
          <w:p w14:paraId="4ED07C41" w14:textId="77777777" w:rsidR="00B31D38" w:rsidRDefault="00B31D38" w:rsidP="00B31D38">
            <w:r w:rsidRPr="00EC621A">
              <w:rPr>
                <w:rFonts w:cs="Arial"/>
                <w:b/>
              </w:rPr>
              <w:t>Monitoring</w:t>
            </w:r>
          </w:p>
        </w:tc>
        <w:tc>
          <w:tcPr>
            <w:tcW w:w="3969" w:type="dxa"/>
          </w:tcPr>
          <w:p w14:paraId="2F3B9897" w14:textId="77777777" w:rsidR="00B31D38" w:rsidRDefault="00B31D38" w:rsidP="00B31D38">
            <w:r w:rsidRPr="00F018BA">
              <w:rPr>
                <w:rFonts w:cs="Arial"/>
              </w:rPr>
              <w:t xml:space="preserve">600 MHz </w:t>
            </w:r>
            <w:r>
              <w:rPr>
                <w:rFonts w:cs="Arial"/>
              </w:rPr>
              <w:t>(520–694 MHz)</w:t>
            </w:r>
          </w:p>
        </w:tc>
        <w:tc>
          <w:tcPr>
            <w:tcW w:w="3969" w:type="dxa"/>
          </w:tcPr>
          <w:p w14:paraId="1C599D91" w14:textId="77777777" w:rsidR="00B31D38" w:rsidRDefault="00B31D38" w:rsidP="0039046B">
            <w:pPr>
              <w:spacing w:after="120"/>
            </w:pPr>
            <w:r w:rsidRPr="00843E3A">
              <w:rPr>
                <w:rFonts w:cs="Arial"/>
              </w:rPr>
              <w:t>Internal monitoring of international developments in the 600 MHz band</w:t>
            </w:r>
            <w:r>
              <w:rPr>
                <w:rFonts w:cs="Arial"/>
              </w:rPr>
              <w:t xml:space="preserve">, including informal discussions with other regulators including FCC on the US incentive auctions. </w:t>
            </w:r>
          </w:p>
        </w:tc>
        <w:tc>
          <w:tcPr>
            <w:tcW w:w="4217" w:type="dxa"/>
          </w:tcPr>
          <w:p w14:paraId="34FE8CCF" w14:textId="77777777" w:rsidR="00B31D38" w:rsidRDefault="00B31D38" w:rsidP="0039046B">
            <w:pPr>
              <w:spacing w:after="120"/>
            </w:pPr>
            <w:r>
              <w:rPr>
                <w:rFonts w:cs="Arial"/>
              </w:rPr>
              <w:t>Continue to monitor international developments in the 600 MHz band. Follow outcomes of US incentive auctions</w:t>
            </w:r>
            <w:r w:rsidR="0006468B">
              <w:rPr>
                <w:rFonts w:cs="Arial"/>
              </w:rPr>
              <w:t>.</w:t>
            </w:r>
          </w:p>
        </w:tc>
      </w:tr>
      <w:tr w:rsidR="00B31D38" w14:paraId="75759173" w14:textId="77777777" w:rsidTr="0039046B">
        <w:tc>
          <w:tcPr>
            <w:tcW w:w="1594" w:type="dxa"/>
            <w:vMerge/>
          </w:tcPr>
          <w:p w14:paraId="762E6FE5" w14:textId="77777777" w:rsidR="00B31D38" w:rsidRDefault="00B31D38" w:rsidP="00B31D38"/>
        </w:tc>
        <w:tc>
          <w:tcPr>
            <w:tcW w:w="3969" w:type="dxa"/>
          </w:tcPr>
          <w:p w14:paraId="6E8791F5" w14:textId="77777777" w:rsidR="00B31D38" w:rsidRDefault="00B31D38" w:rsidP="00B31D38">
            <w:r>
              <w:rPr>
                <w:rFonts w:cs="Arial"/>
              </w:rPr>
              <w:t>3.3 GHz (3300–3400 MHz)</w:t>
            </w:r>
          </w:p>
        </w:tc>
        <w:tc>
          <w:tcPr>
            <w:tcW w:w="3969" w:type="dxa"/>
          </w:tcPr>
          <w:p w14:paraId="61F76840" w14:textId="77777777" w:rsidR="00B31D38" w:rsidRDefault="00B31D38" w:rsidP="0039046B">
            <w:pPr>
              <w:spacing w:after="120"/>
            </w:pPr>
            <w:r w:rsidRPr="00843E3A">
              <w:rPr>
                <w:rFonts w:cs="Arial"/>
              </w:rPr>
              <w:t>Internal monitoring of international developments in the 3.3 GHz band</w:t>
            </w:r>
            <w:r w:rsidR="0006468B">
              <w:rPr>
                <w:rFonts w:cs="Arial"/>
              </w:rPr>
              <w:t>.</w:t>
            </w:r>
          </w:p>
        </w:tc>
        <w:tc>
          <w:tcPr>
            <w:tcW w:w="4217" w:type="dxa"/>
          </w:tcPr>
          <w:p w14:paraId="6B675004" w14:textId="77777777" w:rsidR="00B31D38" w:rsidRDefault="00B31D38" w:rsidP="0039046B">
            <w:pPr>
              <w:spacing w:after="120"/>
            </w:pPr>
            <w:r>
              <w:rPr>
                <w:rFonts w:cs="Arial"/>
              </w:rPr>
              <w:t xml:space="preserve">Continue to monitor international developments. Consideration of engagement </w:t>
            </w:r>
            <w:r w:rsidRPr="00E248AD">
              <w:rPr>
                <w:rFonts w:cs="Arial"/>
              </w:rPr>
              <w:t>in international studies</w:t>
            </w:r>
            <w:r w:rsidR="0006468B">
              <w:rPr>
                <w:rFonts w:cs="Arial"/>
              </w:rPr>
              <w:t>.</w:t>
            </w:r>
          </w:p>
        </w:tc>
      </w:tr>
      <w:tr w:rsidR="00B31D38" w14:paraId="26574AF6" w14:textId="77777777" w:rsidTr="0039046B">
        <w:tc>
          <w:tcPr>
            <w:tcW w:w="1594" w:type="dxa"/>
            <w:vMerge/>
          </w:tcPr>
          <w:p w14:paraId="3A59ED7A" w14:textId="77777777" w:rsidR="00B31D38" w:rsidRDefault="00B31D38" w:rsidP="00B31D38"/>
        </w:tc>
        <w:tc>
          <w:tcPr>
            <w:tcW w:w="3969" w:type="dxa"/>
          </w:tcPr>
          <w:p w14:paraId="26F82F2C" w14:textId="77777777" w:rsidR="00B31D38" w:rsidRDefault="00B31D38" w:rsidP="00B31D38">
            <w:r>
              <w:rPr>
                <w:rFonts w:cs="Arial"/>
              </w:rPr>
              <w:t>4.9 GHz (4800–4990 MHz)</w:t>
            </w:r>
          </w:p>
        </w:tc>
        <w:tc>
          <w:tcPr>
            <w:tcW w:w="3969" w:type="dxa"/>
          </w:tcPr>
          <w:p w14:paraId="1A367A43" w14:textId="77777777" w:rsidR="00B31D38" w:rsidRDefault="00B31D38" w:rsidP="0039046B">
            <w:pPr>
              <w:spacing w:after="120"/>
            </w:pPr>
            <w:r w:rsidRPr="00843E3A">
              <w:rPr>
                <w:rFonts w:cs="Arial"/>
              </w:rPr>
              <w:t>Internal monitoring of international developments in the 4.9 GHz band</w:t>
            </w:r>
            <w:r w:rsidR="0006468B">
              <w:rPr>
                <w:rFonts w:cs="Arial"/>
              </w:rPr>
              <w:t>.</w:t>
            </w:r>
          </w:p>
        </w:tc>
        <w:tc>
          <w:tcPr>
            <w:tcW w:w="4217" w:type="dxa"/>
          </w:tcPr>
          <w:p w14:paraId="36FD168F" w14:textId="77777777" w:rsidR="00B31D38" w:rsidRDefault="00B31D38" w:rsidP="0039046B">
            <w:pPr>
              <w:spacing w:after="120"/>
            </w:pPr>
            <w:r>
              <w:rPr>
                <w:rFonts w:cs="Arial"/>
              </w:rPr>
              <w:t xml:space="preserve">Continue to monitor international developments. Consideration of engagement </w:t>
            </w:r>
            <w:r w:rsidRPr="00E248AD">
              <w:rPr>
                <w:rFonts w:cs="Arial"/>
              </w:rPr>
              <w:t>in international studies</w:t>
            </w:r>
            <w:r w:rsidR="0006468B">
              <w:rPr>
                <w:rFonts w:cs="Arial"/>
              </w:rPr>
              <w:t>.</w:t>
            </w:r>
          </w:p>
        </w:tc>
      </w:tr>
      <w:tr w:rsidR="00B31D38" w14:paraId="402F6409" w14:textId="77777777" w:rsidTr="0039046B">
        <w:tc>
          <w:tcPr>
            <w:tcW w:w="1594" w:type="dxa"/>
            <w:vMerge/>
          </w:tcPr>
          <w:p w14:paraId="7DE37F21" w14:textId="77777777" w:rsidR="00B31D38" w:rsidRDefault="00B31D38" w:rsidP="00B31D38"/>
        </w:tc>
        <w:tc>
          <w:tcPr>
            <w:tcW w:w="3969" w:type="dxa"/>
          </w:tcPr>
          <w:p w14:paraId="1B9104EF" w14:textId="77777777" w:rsidR="00B31D38" w:rsidRDefault="00B31D38" w:rsidP="00B31D38">
            <w:pPr>
              <w:pStyle w:val="TableBody"/>
              <w:keepNext/>
              <w:keepLines/>
              <w:rPr>
                <w:rFonts w:cs="Arial"/>
              </w:rPr>
            </w:pPr>
            <w:r>
              <w:rPr>
                <w:rFonts w:cs="Arial"/>
              </w:rPr>
              <w:t>Bands being studied under WRC-19 agenda item 1.16:</w:t>
            </w:r>
          </w:p>
          <w:p w14:paraId="257706B0" w14:textId="77777777" w:rsidR="00B31D38" w:rsidRDefault="00B31D38" w:rsidP="0039046B">
            <w:pPr>
              <w:ind w:left="284"/>
            </w:pPr>
            <w:r w:rsidRPr="004428AD">
              <w:rPr>
                <w:rFonts w:cs="Arial"/>
              </w:rPr>
              <w:t>5150</w:t>
            </w:r>
            <w:r>
              <w:rPr>
                <w:rFonts w:cs="Arial"/>
              </w:rPr>
              <w:t>–</w:t>
            </w:r>
            <w:r w:rsidRPr="004428AD">
              <w:rPr>
                <w:rFonts w:cs="Arial"/>
              </w:rPr>
              <w:t>5350 MHz</w:t>
            </w:r>
            <w:r>
              <w:rPr>
                <w:rFonts w:cs="Arial"/>
              </w:rPr>
              <w:t>,</w:t>
            </w:r>
            <w:r w:rsidRPr="004428AD">
              <w:rPr>
                <w:rFonts w:cs="Arial"/>
              </w:rPr>
              <w:t xml:space="preserve"> </w:t>
            </w:r>
            <w:r>
              <w:rPr>
                <w:rFonts w:cs="Arial"/>
              </w:rPr>
              <w:t xml:space="preserve">5350–5470 MHz, </w:t>
            </w:r>
            <w:r w:rsidRPr="004428AD">
              <w:rPr>
                <w:rFonts w:cs="Arial"/>
              </w:rPr>
              <w:t>5725</w:t>
            </w:r>
            <w:r>
              <w:rPr>
                <w:rFonts w:cs="Arial"/>
              </w:rPr>
              <w:t>–</w:t>
            </w:r>
            <w:r w:rsidRPr="004428AD">
              <w:rPr>
                <w:rFonts w:cs="Arial"/>
              </w:rPr>
              <w:t>5850 MHz and 5850</w:t>
            </w:r>
            <w:r>
              <w:rPr>
                <w:rFonts w:cs="Arial"/>
              </w:rPr>
              <w:t>–</w:t>
            </w:r>
            <w:r w:rsidRPr="004428AD">
              <w:rPr>
                <w:rFonts w:cs="Arial"/>
              </w:rPr>
              <w:t>5925 MHz</w:t>
            </w:r>
          </w:p>
        </w:tc>
        <w:tc>
          <w:tcPr>
            <w:tcW w:w="3969" w:type="dxa"/>
          </w:tcPr>
          <w:p w14:paraId="62485AD0" w14:textId="77777777" w:rsidR="00B31D38" w:rsidRDefault="00B31D38" w:rsidP="0039046B">
            <w:pPr>
              <w:spacing w:after="120"/>
            </w:pPr>
            <w:r w:rsidRPr="00843E3A">
              <w:rPr>
                <w:rFonts w:cs="Arial"/>
              </w:rPr>
              <w:t>The Australian preparatory process for WRC-19 has commenced and ACMA staff attended the first meeting of Working Party 5A for the WRC-19 cycle in May 2016</w:t>
            </w:r>
            <w:r w:rsidR="0006468B">
              <w:rPr>
                <w:rFonts w:cs="Arial"/>
              </w:rPr>
              <w:t>.</w:t>
            </w:r>
          </w:p>
        </w:tc>
        <w:tc>
          <w:tcPr>
            <w:tcW w:w="4217" w:type="dxa"/>
          </w:tcPr>
          <w:p w14:paraId="0CD0C557" w14:textId="77777777" w:rsidR="00B31D38" w:rsidRDefault="00B31D38" w:rsidP="0039046B">
            <w:pPr>
              <w:spacing w:after="120"/>
            </w:pPr>
            <w:r>
              <w:rPr>
                <w:rFonts w:cs="Arial"/>
              </w:rPr>
              <w:t xml:space="preserve">Continue to monitor international developments. Consideration of engagement </w:t>
            </w:r>
            <w:r w:rsidRPr="00E248AD">
              <w:rPr>
                <w:rFonts w:cs="Arial"/>
              </w:rPr>
              <w:t>in international studies</w:t>
            </w:r>
            <w:r>
              <w:rPr>
                <w:rFonts w:cs="Arial"/>
              </w:rPr>
              <w:t xml:space="preserve"> via the appropriate ARSG and agenda item coordination group </w:t>
            </w:r>
            <w:r>
              <w:t>on issues/bands of interest to Australia</w:t>
            </w:r>
            <w:r w:rsidRPr="00E248AD">
              <w:rPr>
                <w:rFonts w:cs="Arial"/>
              </w:rPr>
              <w:t>.</w:t>
            </w:r>
            <w:r>
              <w:rPr>
                <w:rFonts w:cs="Arial"/>
              </w:rPr>
              <w:t xml:space="preserve"> ACMA attendance at ITU-R </w:t>
            </w:r>
            <w:r w:rsidRPr="00843E3A">
              <w:rPr>
                <w:rFonts w:cs="Arial"/>
              </w:rPr>
              <w:t xml:space="preserve">Working Party 5A </w:t>
            </w:r>
            <w:r>
              <w:rPr>
                <w:rFonts w:cs="Arial"/>
              </w:rPr>
              <w:t>meetings, as appropriate</w:t>
            </w:r>
            <w:r w:rsidR="0006468B">
              <w:rPr>
                <w:rFonts w:cs="Arial"/>
              </w:rPr>
              <w:t>.</w:t>
            </w:r>
          </w:p>
        </w:tc>
      </w:tr>
      <w:tr w:rsidR="00B31D38" w14:paraId="122445F6" w14:textId="77777777" w:rsidTr="0039046B">
        <w:tc>
          <w:tcPr>
            <w:tcW w:w="1594" w:type="dxa"/>
            <w:vMerge/>
          </w:tcPr>
          <w:p w14:paraId="751D8768" w14:textId="77777777" w:rsidR="00B31D38" w:rsidRDefault="00B31D38" w:rsidP="00B31D38"/>
        </w:tc>
        <w:tc>
          <w:tcPr>
            <w:tcW w:w="3969" w:type="dxa"/>
          </w:tcPr>
          <w:p w14:paraId="08E08E55" w14:textId="77777777" w:rsidR="00B31D38" w:rsidRDefault="00B31D38" w:rsidP="00B31D38">
            <w:pPr>
              <w:pStyle w:val="TableBody"/>
              <w:keepNext/>
              <w:keepLines/>
              <w:rPr>
                <w:rFonts w:cs="Arial"/>
              </w:rPr>
            </w:pPr>
            <w:r>
              <w:rPr>
                <w:rFonts w:cs="Arial"/>
              </w:rPr>
              <w:t>Bands being studied under WRC-19 agenda item 1.13:</w:t>
            </w:r>
          </w:p>
          <w:p w14:paraId="29C0F593" w14:textId="77777777" w:rsidR="00B31D38" w:rsidRDefault="00B31D38" w:rsidP="0039046B">
            <w:pPr>
              <w:ind w:left="284"/>
            </w:pPr>
            <w:r w:rsidRPr="004428AD">
              <w:rPr>
                <w:rFonts w:cs="Arial"/>
              </w:rPr>
              <w:t>24.25</w:t>
            </w:r>
            <w:r>
              <w:rPr>
                <w:rFonts w:cs="Arial"/>
              </w:rPr>
              <w:t>–</w:t>
            </w:r>
            <w:r w:rsidRPr="004428AD">
              <w:rPr>
                <w:rFonts w:cs="Arial"/>
              </w:rPr>
              <w:t>27.5 GHz, 31.8</w:t>
            </w:r>
            <w:r>
              <w:rPr>
                <w:rFonts w:cs="Arial"/>
              </w:rPr>
              <w:t>–</w:t>
            </w:r>
            <w:r w:rsidRPr="004428AD">
              <w:rPr>
                <w:rFonts w:cs="Arial"/>
              </w:rPr>
              <w:t>33.4 GHz</w:t>
            </w:r>
            <w:r>
              <w:rPr>
                <w:rFonts w:cs="Arial"/>
              </w:rPr>
              <w:t>,</w:t>
            </w:r>
            <w:r w:rsidRPr="004428AD">
              <w:rPr>
                <w:rFonts w:cs="Arial"/>
              </w:rPr>
              <w:t xml:space="preserve"> 37</w:t>
            </w:r>
            <w:r>
              <w:rPr>
                <w:rFonts w:cs="Arial"/>
              </w:rPr>
              <w:t>–</w:t>
            </w:r>
            <w:r w:rsidRPr="004428AD">
              <w:rPr>
                <w:rFonts w:cs="Arial"/>
              </w:rPr>
              <w:t>40.5 GHz, 40.5</w:t>
            </w:r>
            <w:r>
              <w:rPr>
                <w:rFonts w:cs="Arial"/>
              </w:rPr>
              <w:t>–42.5 </w:t>
            </w:r>
            <w:r w:rsidRPr="004428AD">
              <w:rPr>
                <w:rFonts w:cs="Arial"/>
              </w:rPr>
              <w:t>GHz</w:t>
            </w:r>
            <w:r>
              <w:rPr>
                <w:rFonts w:cs="Arial"/>
              </w:rPr>
              <w:t>,</w:t>
            </w:r>
            <w:r w:rsidRPr="004428AD">
              <w:rPr>
                <w:rFonts w:cs="Arial"/>
              </w:rPr>
              <w:t xml:space="preserve"> 42.5</w:t>
            </w:r>
            <w:r>
              <w:rPr>
                <w:rFonts w:cs="Arial"/>
              </w:rPr>
              <w:t>–</w:t>
            </w:r>
            <w:r w:rsidRPr="004428AD">
              <w:rPr>
                <w:rFonts w:cs="Arial"/>
              </w:rPr>
              <w:t>43.5 GHz, 45.5</w:t>
            </w:r>
            <w:r>
              <w:rPr>
                <w:rFonts w:cs="Arial"/>
              </w:rPr>
              <w:t>–</w:t>
            </w:r>
            <w:r w:rsidRPr="004428AD">
              <w:rPr>
                <w:rFonts w:cs="Arial"/>
              </w:rPr>
              <w:t>47 GHz, 47</w:t>
            </w:r>
            <w:r>
              <w:rPr>
                <w:rFonts w:cs="Arial"/>
              </w:rPr>
              <w:t>–</w:t>
            </w:r>
            <w:r w:rsidRPr="004428AD">
              <w:rPr>
                <w:rFonts w:cs="Arial"/>
              </w:rPr>
              <w:t>47.2 GHz</w:t>
            </w:r>
            <w:r>
              <w:rPr>
                <w:rFonts w:cs="Arial"/>
              </w:rPr>
              <w:t>,</w:t>
            </w:r>
            <w:r w:rsidRPr="004428AD">
              <w:rPr>
                <w:rFonts w:cs="Arial"/>
              </w:rPr>
              <w:t xml:space="preserve"> 47.2</w:t>
            </w:r>
            <w:r>
              <w:rPr>
                <w:rFonts w:cs="Arial"/>
              </w:rPr>
              <w:t>–</w:t>
            </w:r>
            <w:r w:rsidRPr="004428AD">
              <w:rPr>
                <w:rFonts w:cs="Arial"/>
              </w:rPr>
              <w:t>50.2 GHz, 50.4</w:t>
            </w:r>
            <w:r>
              <w:rPr>
                <w:rFonts w:cs="Arial"/>
              </w:rPr>
              <w:t>–</w:t>
            </w:r>
            <w:r w:rsidRPr="004428AD">
              <w:rPr>
                <w:rFonts w:cs="Arial"/>
              </w:rPr>
              <w:t>52.6 GHz, 66</w:t>
            </w:r>
            <w:r>
              <w:rPr>
                <w:rFonts w:cs="Arial"/>
              </w:rPr>
              <w:t>–</w:t>
            </w:r>
            <w:r w:rsidRPr="004428AD">
              <w:rPr>
                <w:rFonts w:cs="Arial"/>
              </w:rPr>
              <w:t>76 GHz and 81</w:t>
            </w:r>
            <w:r>
              <w:rPr>
                <w:rFonts w:cs="Arial"/>
              </w:rPr>
              <w:t>–</w:t>
            </w:r>
            <w:r w:rsidRPr="004428AD">
              <w:rPr>
                <w:rFonts w:cs="Arial"/>
              </w:rPr>
              <w:t>86</w:t>
            </w:r>
            <w:r>
              <w:rPr>
                <w:rFonts w:cs="Arial"/>
              </w:rPr>
              <w:t> </w:t>
            </w:r>
            <w:r w:rsidRPr="004428AD">
              <w:rPr>
                <w:rFonts w:cs="Arial"/>
              </w:rPr>
              <w:t>GHz</w:t>
            </w:r>
          </w:p>
        </w:tc>
        <w:tc>
          <w:tcPr>
            <w:tcW w:w="3969" w:type="dxa"/>
          </w:tcPr>
          <w:p w14:paraId="6A99BFB2" w14:textId="77777777" w:rsidR="00B31D38" w:rsidRDefault="00B31D38" w:rsidP="0039046B">
            <w:pPr>
              <w:spacing w:after="120"/>
            </w:pPr>
            <w:r w:rsidRPr="00843E3A">
              <w:rPr>
                <w:rFonts w:cs="Arial"/>
              </w:rPr>
              <w:t>The Australian preparatory process for WRC-19 has commenced and ACMA staff attended the first meetings of</w:t>
            </w:r>
            <w:r>
              <w:rPr>
                <w:rFonts w:cs="Arial"/>
              </w:rPr>
              <w:t xml:space="preserve"> ITU-R</w:t>
            </w:r>
            <w:r w:rsidRPr="00843E3A">
              <w:rPr>
                <w:rFonts w:cs="Arial"/>
              </w:rPr>
              <w:t xml:space="preserve"> Task Group 5/1 in May 2016</w:t>
            </w:r>
            <w:r w:rsidR="0006468B">
              <w:rPr>
                <w:rFonts w:cs="Arial"/>
              </w:rPr>
              <w:t>.</w:t>
            </w:r>
          </w:p>
        </w:tc>
        <w:tc>
          <w:tcPr>
            <w:tcW w:w="4217" w:type="dxa"/>
          </w:tcPr>
          <w:p w14:paraId="275C11D1" w14:textId="77777777" w:rsidR="00B31D38" w:rsidRDefault="00B31D38" w:rsidP="0039046B">
            <w:pPr>
              <w:spacing w:after="120"/>
            </w:pPr>
            <w:r>
              <w:rPr>
                <w:rFonts w:cs="Arial"/>
              </w:rPr>
              <w:t xml:space="preserve">Continue to monitor international developments. Consideration of engagement </w:t>
            </w:r>
            <w:r w:rsidRPr="00E248AD">
              <w:rPr>
                <w:rFonts w:cs="Arial"/>
              </w:rPr>
              <w:t>in international studies</w:t>
            </w:r>
            <w:r>
              <w:rPr>
                <w:rFonts w:cs="Arial"/>
              </w:rPr>
              <w:t xml:space="preserve"> via the appropriate ARSG and agenda item coordination group </w:t>
            </w:r>
            <w:r>
              <w:t>on issues/bands of most interest to Australia</w:t>
            </w:r>
            <w:r w:rsidRPr="00E248AD">
              <w:rPr>
                <w:rFonts w:cs="Arial"/>
              </w:rPr>
              <w:t>.</w:t>
            </w:r>
            <w:r>
              <w:rPr>
                <w:rFonts w:cs="Arial"/>
              </w:rPr>
              <w:t xml:space="preserve"> ACMA attendance at ITU-R Task Group 5/1 meetings, as appropriate. </w:t>
            </w:r>
            <w:r w:rsidRPr="009E6B9F">
              <w:rPr>
                <w:rFonts w:cs="Arial"/>
              </w:rPr>
              <w:t>Possible 5G bands for early implementation in Australia will be considered</w:t>
            </w:r>
            <w:r w:rsidR="0006468B">
              <w:rPr>
                <w:rFonts w:cs="Arial"/>
              </w:rPr>
              <w:t>.</w:t>
            </w:r>
          </w:p>
        </w:tc>
      </w:tr>
      <w:tr w:rsidR="00B31D38" w14:paraId="356E1B18" w14:textId="77777777" w:rsidTr="0039046B">
        <w:tc>
          <w:tcPr>
            <w:tcW w:w="1594" w:type="dxa"/>
          </w:tcPr>
          <w:p w14:paraId="149CA957" w14:textId="77777777" w:rsidR="00B31D38" w:rsidRDefault="00B31D38" w:rsidP="00B31D38"/>
        </w:tc>
        <w:tc>
          <w:tcPr>
            <w:tcW w:w="3969" w:type="dxa"/>
          </w:tcPr>
          <w:p w14:paraId="59192035" w14:textId="77777777" w:rsidR="00B31D38" w:rsidRDefault="00B31D38" w:rsidP="00B31D38">
            <w:pPr>
              <w:pStyle w:val="TableBody"/>
              <w:rPr>
                <w:rFonts w:cs="Arial"/>
              </w:rPr>
            </w:pPr>
            <w:r>
              <w:rPr>
                <w:rFonts w:cs="Arial"/>
              </w:rPr>
              <w:t>Bands being considered internationally for 5G:</w:t>
            </w:r>
          </w:p>
          <w:p w14:paraId="33F57489" w14:textId="77777777" w:rsidR="00B31D38" w:rsidRDefault="00B31D38" w:rsidP="00B31D38">
            <w:pPr>
              <w:pStyle w:val="TableBody"/>
              <w:ind w:left="284"/>
              <w:rPr>
                <w:rFonts w:cs="Arial"/>
              </w:rPr>
            </w:pPr>
            <w:r>
              <w:rPr>
                <w:rFonts w:cs="Arial"/>
              </w:rPr>
              <w:t>Bands announced for early implementation of 5G</w:t>
            </w:r>
            <w:r w:rsidRPr="00C87649">
              <w:rPr>
                <w:vertAlign w:val="superscript"/>
              </w:rPr>
              <w:footnoteReference w:id="31"/>
            </w:r>
            <w:r>
              <w:rPr>
                <w:rFonts w:cs="Arial"/>
              </w:rPr>
              <w:t>:</w:t>
            </w:r>
          </w:p>
          <w:p w14:paraId="6A847918" w14:textId="77777777" w:rsidR="00B31D38" w:rsidRPr="00C87649" w:rsidRDefault="00B31D38" w:rsidP="00B31D38">
            <w:pPr>
              <w:pStyle w:val="TableBody"/>
              <w:spacing w:after="120"/>
              <w:ind w:left="284"/>
              <w:rPr>
                <w:rFonts w:cs="Arial"/>
                <w:i/>
              </w:rPr>
            </w:pPr>
            <w:r w:rsidRPr="00B01B69">
              <w:rPr>
                <w:rFonts w:cs="Arial"/>
                <w:i/>
                <w:u w:val="single"/>
              </w:rPr>
              <w:t>US</w:t>
            </w:r>
            <w:r w:rsidRPr="00C87649">
              <w:rPr>
                <w:rFonts w:cs="Arial"/>
                <w:i/>
              </w:rPr>
              <w:t>: 27.5</w:t>
            </w:r>
            <w:r>
              <w:rPr>
                <w:rFonts w:cs="Arial"/>
                <w:i/>
              </w:rPr>
              <w:t>–</w:t>
            </w:r>
            <w:r w:rsidRPr="00C87649">
              <w:rPr>
                <w:rFonts w:cs="Arial"/>
                <w:i/>
              </w:rPr>
              <w:t>28.35 GHz, 37</w:t>
            </w:r>
            <w:r>
              <w:rPr>
                <w:rFonts w:cs="Arial"/>
                <w:i/>
              </w:rPr>
              <w:t>–</w:t>
            </w:r>
            <w:r w:rsidRPr="00C87649">
              <w:rPr>
                <w:rFonts w:cs="Arial"/>
                <w:i/>
              </w:rPr>
              <w:t>40 GHz and 64</w:t>
            </w:r>
            <w:r>
              <w:rPr>
                <w:rFonts w:cs="Arial"/>
                <w:i/>
              </w:rPr>
              <w:t>–</w:t>
            </w:r>
            <w:r w:rsidRPr="00C87649">
              <w:rPr>
                <w:rFonts w:cs="Arial"/>
                <w:i/>
              </w:rPr>
              <w:t>71 GHz</w:t>
            </w:r>
          </w:p>
          <w:p w14:paraId="772678F0" w14:textId="77777777" w:rsidR="00B31D38" w:rsidRPr="00916C77" w:rsidRDefault="00B31D38" w:rsidP="00B31D38">
            <w:pPr>
              <w:pStyle w:val="TableBody"/>
              <w:rPr>
                <w:rFonts w:cs="Arial"/>
              </w:rPr>
            </w:pPr>
            <w:r>
              <w:rPr>
                <w:rFonts w:cs="Arial"/>
              </w:rPr>
              <w:t>Additional bands being considered internationally for 5G</w:t>
            </w:r>
            <w:r w:rsidRPr="00C87649">
              <w:rPr>
                <w:vertAlign w:val="superscript"/>
              </w:rPr>
              <w:footnoteReference w:id="32"/>
            </w:r>
            <w:r w:rsidRPr="00C87649">
              <w:rPr>
                <w:rFonts w:cs="Arial"/>
                <w:vertAlign w:val="superscript"/>
              </w:rPr>
              <w:t>:</w:t>
            </w:r>
            <w:r>
              <w:rPr>
                <w:rFonts w:cs="Arial"/>
              </w:rPr>
              <w:t>:</w:t>
            </w:r>
          </w:p>
          <w:p w14:paraId="19FA8C9F" w14:textId="77777777" w:rsidR="00B31D38" w:rsidRPr="00C87649" w:rsidRDefault="00B31D38" w:rsidP="00B31D38">
            <w:pPr>
              <w:pStyle w:val="TableBody"/>
              <w:spacing w:after="120"/>
              <w:ind w:left="284"/>
              <w:rPr>
                <w:rFonts w:cs="Arial"/>
                <w:i/>
              </w:rPr>
            </w:pPr>
            <w:r w:rsidRPr="00B01B69">
              <w:rPr>
                <w:rFonts w:cs="Arial"/>
                <w:i/>
                <w:u w:val="single"/>
              </w:rPr>
              <w:t>US</w:t>
            </w:r>
            <w:r w:rsidRPr="00C87649">
              <w:rPr>
                <w:rFonts w:cs="Arial"/>
                <w:i/>
              </w:rPr>
              <w:t>: 24.25</w:t>
            </w:r>
            <w:r>
              <w:rPr>
                <w:rFonts w:cs="Arial"/>
                <w:i/>
              </w:rPr>
              <w:t>–</w:t>
            </w:r>
            <w:r w:rsidRPr="00C87649">
              <w:rPr>
                <w:rFonts w:cs="Arial"/>
                <w:i/>
              </w:rPr>
              <w:t>24.45 GHz, 24.75</w:t>
            </w:r>
            <w:r>
              <w:rPr>
                <w:rFonts w:cs="Arial"/>
                <w:i/>
              </w:rPr>
              <w:t>–</w:t>
            </w:r>
            <w:r w:rsidRPr="00C87649">
              <w:rPr>
                <w:rFonts w:cs="Arial"/>
                <w:i/>
              </w:rPr>
              <w:t>25.25 GHz, 31.8</w:t>
            </w:r>
            <w:r>
              <w:rPr>
                <w:rFonts w:cs="Arial"/>
                <w:i/>
              </w:rPr>
              <w:t>–</w:t>
            </w:r>
            <w:r w:rsidRPr="00C87649">
              <w:rPr>
                <w:rFonts w:cs="Arial"/>
                <w:i/>
              </w:rPr>
              <w:t>33.4 GHz, 42</w:t>
            </w:r>
            <w:r>
              <w:rPr>
                <w:rFonts w:cs="Arial"/>
                <w:i/>
              </w:rPr>
              <w:t>–</w:t>
            </w:r>
            <w:r w:rsidRPr="00C87649">
              <w:rPr>
                <w:rFonts w:cs="Arial"/>
                <w:i/>
              </w:rPr>
              <w:t>42.5 GHz, 47.2</w:t>
            </w:r>
            <w:r>
              <w:rPr>
                <w:rFonts w:cs="Arial"/>
                <w:i/>
              </w:rPr>
              <w:t>–</w:t>
            </w:r>
            <w:r w:rsidRPr="00C87649">
              <w:rPr>
                <w:rFonts w:cs="Arial"/>
                <w:i/>
              </w:rPr>
              <w:t>50.2 GHz, 50.4</w:t>
            </w:r>
            <w:r>
              <w:rPr>
                <w:rFonts w:cs="Arial"/>
                <w:i/>
              </w:rPr>
              <w:t>–</w:t>
            </w:r>
            <w:r w:rsidRPr="00C87649">
              <w:rPr>
                <w:rFonts w:cs="Arial"/>
                <w:i/>
              </w:rPr>
              <w:t>52.6 GHz, 71</w:t>
            </w:r>
            <w:r>
              <w:rPr>
                <w:rFonts w:cs="Arial"/>
                <w:i/>
              </w:rPr>
              <w:t>–</w:t>
            </w:r>
            <w:r w:rsidRPr="00C87649">
              <w:rPr>
                <w:rFonts w:cs="Arial"/>
                <w:i/>
              </w:rPr>
              <w:t>76 GHz, 81</w:t>
            </w:r>
            <w:r>
              <w:rPr>
                <w:rFonts w:cs="Arial"/>
                <w:i/>
              </w:rPr>
              <w:t>–</w:t>
            </w:r>
            <w:r w:rsidRPr="00C87649">
              <w:rPr>
                <w:rFonts w:cs="Arial"/>
                <w:i/>
              </w:rPr>
              <w:t xml:space="preserve">86 GHz </w:t>
            </w:r>
            <w:r w:rsidRPr="00EC621A">
              <w:rPr>
                <w:rFonts w:cs="Arial"/>
              </w:rPr>
              <w:t>as well as bands above 95 GHz</w:t>
            </w:r>
          </w:p>
          <w:p w14:paraId="3BF165EF" w14:textId="77777777" w:rsidR="00B31D38" w:rsidRDefault="00B31D38" w:rsidP="0039046B">
            <w:pPr>
              <w:spacing w:after="120"/>
            </w:pPr>
            <w:r w:rsidRPr="00B01B69">
              <w:rPr>
                <w:rFonts w:cs="Arial"/>
                <w:i/>
                <w:u w:val="single"/>
              </w:rPr>
              <w:t>Korea</w:t>
            </w:r>
            <w:r w:rsidRPr="00C87649">
              <w:rPr>
                <w:rFonts w:cs="Arial"/>
                <w:i/>
              </w:rPr>
              <w:t>: 24.25</w:t>
            </w:r>
            <w:r>
              <w:rPr>
                <w:rFonts w:cs="Arial"/>
                <w:i/>
              </w:rPr>
              <w:t>–</w:t>
            </w:r>
            <w:r w:rsidRPr="00C87649">
              <w:rPr>
                <w:rFonts w:cs="Arial"/>
                <w:i/>
              </w:rPr>
              <w:t>29.5GHz, 31.8</w:t>
            </w:r>
            <w:r>
              <w:rPr>
                <w:rFonts w:cs="Arial"/>
                <w:i/>
              </w:rPr>
              <w:t>–</w:t>
            </w:r>
            <w:r w:rsidRPr="00C87649">
              <w:rPr>
                <w:rFonts w:cs="Arial"/>
                <w:i/>
              </w:rPr>
              <w:t>33.4 GHz and 37</w:t>
            </w:r>
            <w:r>
              <w:rPr>
                <w:rFonts w:cs="Arial"/>
                <w:i/>
              </w:rPr>
              <w:t>–</w:t>
            </w:r>
            <w:r w:rsidRPr="00C87649">
              <w:rPr>
                <w:rFonts w:cs="Arial"/>
                <w:i/>
              </w:rPr>
              <w:t>40.5 GHz</w:t>
            </w:r>
          </w:p>
        </w:tc>
        <w:tc>
          <w:tcPr>
            <w:tcW w:w="3969" w:type="dxa"/>
          </w:tcPr>
          <w:p w14:paraId="36E0682D" w14:textId="77777777" w:rsidR="00B31D38" w:rsidRDefault="00B31D38" w:rsidP="00B31D38">
            <w:r>
              <w:rPr>
                <w:rFonts w:cs="Arial"/>
              </w:rPr>
              <w:t>Monitoring of developments in these bands including identification of bands and development of arrangements for use</w:t>
            </w:r>
            <w:r w:rsidR="0006468B">
              <w:rPr>
                <w:rFonts w:cs="Arial"/>
              </w:rPr>
              <w:t>.</w:t>
            </w:r>
            <w:r w:rsidRPr="00843E3A">
              <w:rPr>
                <w:rFonts w:cs="Arial"/>
              </w:rPr>
              <w:t xml:space="preserve"> </w:t>
            </w:r>
          </w:p>
        </w:tc>
        <w:tc>
          <w:tcPr>
            <w:tcW w:w="4217" w:type="dxa"/>
          </w:tcPr>
          <w:p w14:paraId="5A0964D5" w14:textId="77777777" w:rsidR="00B31D38" w:rsidRDefault="00B31D38" w:rsidP="0039046B">
            <w:pPr>
              <w:spacing w:after="120"/>
            </w:pPr>
            <w:r>
              <w:rPr>
                <w:rFonts w:cs="Arial"/>
              </w:rPr>
              <w:t>Continue to monitor developments in these bands, including monitoring the finalisation of arrangements and the timing of the release of bands earmarked for early implementation</w:t>
            </w:r>
            <w:r w:rsidR="0006468B">
              <w:rPr>
                <w:rFonts w:cs="Arial"/>
              </w:rPr>
              <w:t>.</w:t>
            </w:r>
          </w:p>
        </w:tc>
      </w:tr>
      <w:tr w:rsidR="00B31D38" w14:paraId="1CDAF683" w14:textId="77777777" w:rsidTr="0039046B">
        <w:tc>
          <w:tcPr>
            <w:tcW w:w="1594" w:type="dxa"/>
            <w:vMerge w:val="restart"/>
            <w:shd w:val="clear" w:color="auto" w:fill="F2F2F2" w:themeFill="background1" w:themeFillShade="F2"/>
          </w:tcPr>
          <w:p w14:paraId="5C1227C8" w14:textId="77777777" w:rsidR="00B31D38" w:rsidRDefault="00B31D38" w:rsidP="00B31D38">
            <w:r w:rsidRPr="00EC621A">
              <w:rPr>
                <w:rFonts w:cs="Arial"/>
                <w:b/>
              </w:rPr>
              <w:t>Initial investigation</w:t>
            </w:r>
          </w:p>
        </w:tc>
        <w:tc>
          <w:tcPr>
            <w:tcW w:w="3969" w:type="dxa"/>
            <w:shd w:val="clear" w:color="auto" w:fill="F2F2F2" w:themeFill="background1" w:themeFillShade="F2"/>
          </w:tcPr>
          <w:p w14:paraId="3F8D091C" w14:textId="77777777" w:rsidR="00B31D38" w:rsidRDefault="00B31D38" w:rsidP="00B31D38">
            <w:r>
              <w:rPr>
                <w:rFonts w:cs="Arial"/>
              </w:rPr>
              <w:t>1.5 GHz (1427</w:t>
            </w:r>
            <w:r w:rsidRPr="00211492">
              <w:rPr>
                <w:rFonts w:cs="Arial"/>
              </w:rPr>
              <w:t>–</w:t>
            </w:r>
            <w:r>
              <w:rPr>
                <w:rFonts w:cs="Arial"/>
              </w:rPr>
              <w:t xml:space="preserve">1518 MHz) </w:t>
            </w:r>
          </w:p>
        </w:tc>
        <w:tc>
          <w:tcPr>
            <w:tcW w:w="3969" w:type="dxa"/>
            <w:shd w:val="clear" w:color="auto" w:fill="F2F2F2" w:themeFill="background1" w:themeFillShade="F2"/>
          </w:tcPr>
          <w:p w14:paraId="20A34EC4" w14:textId="77777777" w:rsidR="00B31D38" w:rsidRDefault="00B31D38" w:rsidP="00B31D38">
            <w:r>
              <w:rPr>
                <w:rFonts w:cs="Arial"/>
              </w:rPr>
              <w:t>Internal analysis and preparation of public discussion paper. Monitoring of international developments</w:t>
            </w:r>
            <w:r w:rsidR="0006468B">
              <w:rPr>
                <w:rFonts w:cs="Arial"/>
              </w:rPr>
              <w:t>.</w:t>
            </w:r>
          </w:p>
        </w:tc>
        <w:tc>
          <w:tcPr>
            <w:tcW w:w="4217" w:type="dxa"/>
            <w:shd w:val="clear" w:color="auto" w:fill="F2F2F2" w:themeFill="background1" w:themeFillShade="F2"/>
          </w:tcPr>
          <w:p w14:paraId="341175A4" w14:textId="77777777" w:rsidR="00B31D38" w:rsidRDefault="00B31D38" w:rsidP="00BC11EA">
            <w:pPr>
              <w:spacing w:after="120"/>
            </w:pPr>
            <w:r>
              <w:rPr>
                <w:rFonts w:cs="Arial"/>
              </w:rPr>
              <w:t xml:space="preserve">Commence consideration of the band domestically with a discussion paper on both the 1.5 GHz and 3.6 GHz bands expected later in 2016. Consideration of engagement </w:t>
            </w:r>
            <w:r w:rsidRPr="00E248AD">
              <w:rPr>
                <w:rFonts w:cs="Arial"/>
              </w:rPr>
              <w:t>in international studies</w:t>
            </w:r>
            <w:r>
              <w:rPr>
                <w:rFonts w:cs="Arial"/>
              </w:rPr>
              <w:t xml:space="preserve"> via the appropriate ARSG and agenda item coordination group on issues of most interest to Australia</w:t>
            </w:r>
            <w:r w:rsidRPr="00E248AD">
              <w:rPr>
                <w:rFonts w:cs="Arial"/>
              </w:rPr>
              <w:t>.</w:t>
            </w:r>
            <w:r>
              <w:rPr>
                <w:rFonts w:cs="Arial"/>
              </w:rPr>
              <w:t xml:space="preserve"> ACMA attendance at ITU-R Working Party 5D </w:t>
            </w:r>
            <w:r w:rsidR="002111F7">
              <w:rPr>
                <w:rFonts w:cs="Arial"/>
              </w:rPr>
              <w:t xml:space="preserve">and AWG </w:t>
            </w:r>
            <w:r>
              <w:rPr>
                <w:rFonts w:cs="Arial"/>
              </w:rPr>
              <w:t>meetings, as appropriate</w:t>
            </w:r>
            <w:r w:rsidR="0006468B">
              <w:rPr>
                <w:rFonts w:cs="Arial"/>
              </w:rPr>
              <w:t>.</w:t>
            </w:r>
          </w:p>
        </w:tc>
      </w:tr>
      <w:tr w:rsidR="00B31D38" w14:paraId="1DFF7BF6" w14:textId="77777777" w:rsidTr="0039046B">
        <w:tc>
          <w:tcPr>
            <w:tcW w:w="1594" w:type="dxa"/>
            <w:vMerge/>
            <w:shd w:val="clear" w:color="auto" w:fill="F2F2F2" w:themeFill="background1" w:themeFillShade="F2"/>
          </w:tcPr>
          <w:p w14:paraId="172FC294" w14:textId="77777777" w:rsidR="00B31D38" w:rsidRDefault="00B31D38" w:rsidP="00B31D38"/>
        </w:tc>
        <w:tc>
          <w:tcPr>
            <w:tcW w:w="3969" w:type="dxa"/>
            <w:shd w:val="clear" w:color="auto" w:fill="F2F2F2" w:themeFill="background1" w:themeFillShade="F2"/>
          </w:tcPr>
          <w:p w14:paraId="1E486A14" w14:textId="77777777" w:rsidR="00B31D38" w:rsidRDefault="00B31D38" w:rsidP="00B31D38">
            <w:r>
              <w:rPr>
                <w:rFonts w:cs="Arial"/>
              </w:rPr>
              <w:t>2 GHz (</w:t>
            </w:r>
            <w:r w:rsidRPr="00211492">
              <w:rPr>
                <w:rFonts w:cs="Arial"/>
              </w:rPr>
              <w:t>1980–2010</w:t>
            </w:r>
            <w:r>
              <w:rPr>
                <w:rFonts w:cs="Arial"/>
              </w:rPr>
              <w:t>/</w:t>
            </w:r>
            <w:r w:rsidRPr="00211492">
              <w:rPr>
                <w:rFonts w:cs="Arial"/>
              </w:rPr>
              <w:t>2170–2200 MHz</w:t>
            </w:r>
            <w:r>
              <w:rPr>
                <w:rFonts w:cs="Arial"/>
              </w:rPr>
              <w:t>)</w:t>
            </w:r>
          </w:p>
        </w:tc>
        <w:tc>
          <w:tcPr>
            <w:tcW w:w="3969" w:type="dxa"/>
            <w:shd w:val="clear" w:color="auto" w:fill="F2F2F2" w:themeFill="background1" w:themeFillShade="F2"/>
          </w:tcPr>
          <w:p w14:paraId="5B1A5196" w14:textId="77777777" w:rsidR="00B31D38" w:rsidRDefault="00B31D38" w:rsidP="00B31D38">
            <w:r>
              <w:rPr>
                <w:rFonts w:cs="Arial"/>
              </w:rPr>
              <w:t xml:space="preserve">Monitoring of international developments. </w:t>
            </w:r>
          </w:p>
        </w:tc>
        <w:tc>
          <w:tcPr>
            <w:tcW w:w="4217" w:type="dxa"/>
            <w:shd w:val="clear" w:color="auto" w:fill="F2F2F2" w:themeFill="background1" w:themeFillShade="F2"/>
          </w:tcPr>
          <w:p w14:paraId="1BB8DCE8" w14:textId="77777777" w:rsidR="00B31D38" w:rsidRDefault="00B31D38" w:rsidP="00BC11EA">
            <w:pPr>
              <w:spacing w:after="0"/>
            </w:pPr>
            <w:r w:rsidRPr="002E57FA">
              <w:rPr>
                <w:rFonts w:cs="Arial"/>
              </w:rPr>
              <w:t xml:space="preserve">Consideration of engagement in international studies via </w:t>
            </w:r>
            <w:r>
              <w:rPr>
                <w:rFonts w:cs="Arial"/>
              </w:rPr>
              <w:t xml:space="preserve">the appropriate </w:t>
            </w:r>
            <w:r w:rsidRPr="002E57FA">
              <w:rPr>
                <w:rFonts w:cs="Arial"/>
              </w:rPr>
              <w:t xml:space="preserve">ARSG </w:t>
            </w:r>
            <w:r>
              <w:rPr>
                <w:rFonts w:cs="Arial"/>
              </w:rPr>
              <w:t>and agenda item coordination group</w:t>
            </w:r>
            <w:r w:rsidRPr="002E57FA">
              <w:rPr>
                <w:rFonts w:cs="Arial"/>
              </w:rPr>
              <w:t xml:space="preserve"> on issues of most interest to Australia. ACMA attendance at ITU-R Working Party</w:t>
            </w:r>
            <w:r>
              <w:rPr>
                <w:rFonts w:cs="Arial"/>
              </w:rPr>
              <w:t xml:space="preserve"> 5D meetings, as </w:t>
            </w:r>
            <w:r w:rsidRPr="002E57FA">
              <w:rPr>
                <w:rFonts w:cs="Arial"/>
              </w:rPr>
              <w:t>appropriate</w:t>
            </w:r>
            <w:r>
              <w:rPr>
                <w:rFonts w:cs="Arial"/>
              </w:rPr>
              <w:t xml:space="preserve">. </w:t>
            </w:r>
            <w:r w:rsidRPr="002E57FA">
              <w:rPr>
                <w:rFonts w:cs="Arial"/>
              </w:rPr>
              <w:t>Further work on this band will be considered</w:t>
            </w:r>
            <w:r>
              <w:rPr>
                <w:rFonts w:cs="Arial"/>
              </w:rPr>
              <w:t xml:space="preserve"> towards the second half of 2017</w:t>
            </w:r>
          </w:p>
        </w:tc>
      </w:tr>
      <w:tr w:rsidR="00B31D38" w14:paraId="51CF97D2" w14:textId="77777777" w:rsidTr="00BC11EA">
        <w:trPr>
          <w:trHeight w:val="2730"/>
        </w:trPr>
        <w:tc>
          <w:tcPr>
            <w:tcW w:w="1594" w:type="dxa"/>
            <w:vMerge/>
            <w:shd w:val="clear" w:color="auto" w:fill="F2F2F2" w:themeFill="background1" w:themeFillShade="F2"/>
          </w:tcPr>
          <w:p w14:paraId="6D435160" w14:textId="77777777" w:rsidR="00B31D38" w:rsidRDefault="00B31D38" w:rsidP="00B31D38"/>
        </w:tc>
        <w:tc>
          <w:tcPr>
            <w:tcW w:w="3969" w:type="dxa"/>
            <w:shd w:val="clear" w:color="auto" w:fill="F2F2F2" w:themeFill="background1" w:themeFillShade="F2"/>
          </w:tcPr>
          <w:p w14:paraId="4A95B4E1" w14:textId="77777777" w:rsidR="00B31D38" w:rsidRDefault="00B31D38" w:rsidP="00B31D38">
            <w:r>
              <w:rPr>
                <w:rFonts w:cs="Arial"/>
              </w:rPr>
              <w:t>3.6 GHz (</w:t>
            </w:r>
            <w:r w:rsidRPr="00F018BA">
              <w:rPr>
                <w:rFonts w:cs="Arial"/>
              </w:rPr>
              <w:t>3575</w:t>
            </w:r>
            <w:r>
              <w:rPr>
                <w:rFonts w:cs="Arial"/>
              </w:rPr>
              <w:t>–</w:t>
            </w:r>
            <w:r w:rsidRPr="00F018BA">
              <w:rPr>
                <w:rFonts w:cs="Arial"/>
              </w:rPr>
              <w:t>3700 MHz</w:t>
            </w:r>
            <w:r>
              <w:rPr>
                <w:rFonts w:cs="Arial"/>
              </w:rPr>
              <w:t>)</w:t>
            </w:r>
          </w:p>
        </w:tc>
        <w:tc>
          <w:tcPr>
            <w:tcW w:w="3969" w:type="dxa"/>
            <w:shd w:val="clear" w:color="auto" w:fill="F2F2F2" w:themeFill="background1" w:themeFillShade="F2"/>
          </w:tcPr>
          <w:p w14:paraId="6C48EFE1" w14:textId="77777777" w:rsidR="00B31D38" w:rsidRDefault="00B31D38" w:rsidP="00B31D38">
            <w:r>
              <w:rPr>
                <w:rFonts w:cs="Arial"/>
              </w:rPr>
              <w:t>Internal analysis and preparation of public discussion paper. Monitoring of international developments</w:t>
            </w:r>
            <w:r w:rsidR="0006468B">
              <w:rPr>
                <w:rFonts w:cs="Arial"/>
              </w:rPr>
              <w:t>.</w:t>
            </w:r>
          </w:p>
        </w:tc>
        <w:tc>
          <w:tcPr>
            <w:tcW w:w="4217" w:type="dxa"/>
            <w:shd w:val="clear" w:color="auto" w:fill="F2F2F2" w:themeFill="background1" w:themeFillShade="F2"/>
          </w:tcPr>
          <w:p w14:paraId="45278A44" w14:textId="77777777" w:rsidR="00B31D38" w:rsidRDefault="00B31D38" w:rsidP="00B31D38">
            <w:pPr>
              <w:pStyle w:val="TableBody"/>
              <w:spacing w:after="120"/>
              <w:rPr>
                <w:rFonts w:cs="Arial"/>
              </w:rPr>
            </w:pPr>
            <w:r>
              <w:rPr>
                <w:rFonts w:cs="Arial"/>
              </w:rPr>
              <w:t>Commence consideration of the band domestically with a discussion paper on both the 1.5 GHz and 3.6 GHz bands expected later in 2016. Consider options to review the arrangements in the broader 3400–3700 MHz band</w:t>
            </w:r>
            <w:r w:rsidR="0006468B">
              <w:rPr>
                <w:rFonts w:cs="Arial"/>
              </w:rPr>
              <w:t>.</w:t>
            </w:r>
          </w:p>
          <w:p w14:paraId="18F0328A" w14:textId="77777777" w:rsidR="00B31D38" w:rsidRDefault="00B31D38" w:rsidP="00BC11EA">
            <w:pPr>
              <w:spacing w:after="120"/>
            </w:pPr>
            <w:r>
              <w:rPr>
                <w:rFonts w:cs="Arial"/>
              </w:rPr>
              <w:t xml:space="preserve">Consideration of engagement </w:t>
            </w:r>
            <w:r w:rsidRPr="00E248AD">
              <w:rPr>
                <w:rFonts w:cs="Arial"/>
              </w:rPr>
              <w:t>in international studies</w:t>
            </w:r>
            <w:r>
              <w:rPr>
                <w:rFonts w:cs="Arial"/>
              </w:rPr>
              <w:t xml:space="preserve"> via the appropriate ARSG on issues of most interest to Australia</w:t>
            </w:r>
            <w:r w:rsidRPr="00E248AD">
              <w:rPr>
                <w:rFonts w:cs="Arial"/>
              </w:rPr>
              <w:t>.</w:t>
            </w:r>
            <w:r>
              <w:rPr>
                <w:rFonts w:cs="Arial"/>
              </w:rPr>
              <w:t xml:space="preserve"> ACMA attendance at ITU-R Working Party 5D meetings, as appropriate</w:t>
            </w:r>
            <w:r w:rsidR="0006468B">
              <w:rPr>
                <w:rFonts w:cs="Arial"/>
              </w:rPr>
              <w:t>.</w:t>
            </w:r>
          </w:p>
        </w:tc>
      </w:tr>
      <w:tr w:rsidR="00B31D38" w14:paraId="1E2B5E2E" w14:textId="77777777" w:rsidTr="00BC11EA">
        <w:trPr>
          <w:trHeight w:val="519"/>
        </w:trPr>
        <w:tc>
          <w:tcPr>
            <w:tcW w:w="1594" w:type="dxa"/>
          </w:tcPr>
          <w:p w14:paraId="24003C44" w14:textId="77777777" w:rsidR="00B31D38" w:rsidRDefault="00B31D38" w:rsidP="00BC11EA">
            <w:pPr>
              <w:spacing w:after="120"/>
            </w:pPr>
            <w:r w:rsidRPr="00EC621A">
              <w:rPr>
                <w:rFonts w:cs="Arial"/>
                <w:b/>
              </w:rPr>
              <w:t>Preliminary replanning</w:t>
            </w:r>
          </w:p>
        </w:tc>
        <w:tc>
          <w:tcPr>
            <w:tcW w:w="3969" w:type="dxa"/>
          </w:tcPr>
          <w:p w14:paraId="3814C289" w14:textId="77777777" w:rsidR="00B31D38" w:rsidRDefault="00B31D38" w:rsidP="00B31D38">
            <w:r>
              <w:rPr>
                <w:rFonts w:cs="Arial"/>
              </w:rPr>
              <w:t xml:space="preserve">None </w:t>
            </w:r>
          </w:p>
        </w:tc>
        <w:tc>
          <w:tcPr>
            <w:tcW w:w="3969" w:type="dxa"/>
          </w:tcPr>
          <w:p w14:paraId="0F77E6B4" w14:textId="77777777" w:rsidR="00B31D38" w:rsidRDefault="00B31D38" w:rsidP="00B31D38">
            <w:r>
              <w:rPr>
                <w:rFonts w:cs="Arial"/>
              </w:rPr>
              <w:t>–</w:t>
            </w:r>
          </w:p>
        </w:tc>
        <w:tc>
          <w:tcPr>
            <w:tcW w:w="4217" w:type="dxa"/>
          </w:tcPr>
          <w:p w14:paraId="05DA2E35" w14:textId="77777777" w:rsidR="00B31D38" w:rsidRDefault="00B31D38" w:rsidP="00BC11EA">
            <w:pPr>
              <w:spacing w:after="120"/>
            </w:pPr>
            <w:r>
              <w:rPr>
                <w:rFonts w:cs="Arial"/>
              </w:rPr>
              <w:t>–</w:t>
            </w:r>
          </w:p>
        </w:tc>
      </w:tr>
      <w:tr w:rsidR="00B31D38" w14:paraId="3BE529A3" w14:textId="77777777" w:rsidTr="0039046B">
        <w:tc>
          <w:tcPr>
            <w:tcW w:w="1594" w:type="dxa"/>
            <w:vMerge w:val="restart"/>
            <w:shd w:val="clear" w:color="auto" w:fill="F2F2F2" w:themeFill="background1" w:themeFillShade="F2"/>
          </w:tcPr>
          <w:p w14:paraId="00C8C3A9" w14:textId="77777777" w:rsidR="00B31D38" w:rsidRDefault="00B31D38" w:rsidP="00B31D38">
            <w:r w:rsidRPr="00EC621A">
              <w:rPr>
                <w:rFonts w:cs="Arial"/>
                <w:b/>
              </w:rPr>
              <w:t>Re-farming</w:t>
            </w:r>
          </w:p>
        </w:tc>
        <w:tc>
          <w:tcPr>
            <w:tcW w:w="3969" w:type="dxa"/>
            <w:shd w:val="clear" w:color="auto" w:fill="F2F2F2" w:themeFill="background1" w:themeFillShade="F2"/>
          </w:tcPr>
          <w:p w14:paraId="3106DFAB" w14:textId="77777777" w:rsidR="00B31D38" w:rsidRDefault="00B31D38" w:rsidP="00B31D38">
            <w:r>
              <w:t>Spectrum available for the licensing of mobile broadband services</w:t>
            </w:r>
            <w:r w:rsidRPr="002E57FA">
              <w:t xml:space="preserve"> </w:t>
            </w:r>
          </w:p>
        </w:tc>
        <w:tc>
          <w:tcPr>
            <w:tcW w:w="3969" w:type="dxa"/>
            <w:shd w:val="clear" w:color="auto" w:fill="F2F2F2" w:themeFill="background1" w:themeFillShade="F2"/>
          </w:tcPr>
          <w:p w14:paraId="6FBF8294" w14:textId="77777777" w:rsidR="00B31D38" w:rsidRDefault="00B31D38" w:rsidP="00B31D38">
            <w:r w:rsidRPr="002E57FA">
              <w:t>The ACMA is assessing options and possible timing for the allocation of any unsold lots in bands subject to spectrum licensing</w:t>
            </w:r>
            <w:r w:rsidR="0006468B">
              <w:t>.</w:t>
            </w:r>
          </w:p>
        </w:tc>
        <w:tc>
          <w:tcPr>
            <w:tcW w:w="4217" w:type="dxa"/>
            <w:shd w:val="clear" w:color="auto" w:fill="F2F2F2" w:themeFill="background1" w:themeFillShade="F2"/>
          </w:tcPr>
          <w:p w14:paraId="21015CD8" w14:textId="77777777" w:rsidR="00B31D38" w:rsidRDefault="00B31D38" w:rsidP="00B31D38">
            <w:pPr>
              <w:spacing w:after="120"/>
              <w:rPr>
                <w:rFonts w:cs="Arial"/>
              </w:rPr>
            </w:pPr>
            <w:r w:rsidRPr="00372FDC">
              <w:rPr>
                <w:rFonts w:cs="Arial"/>
                <w:i/>
              </w:rPr>
              <w:t>Unsold spectrum licence lots</w:t>
            </w:r>
            <w:r>
              <w:rPr>
                <w:rFonts w:cs="Arial"/>
              </w:rPr>
              <w:t>: Monitor demand and determine when it is appropriate to allocate the spectrum</w:t>
            </w:r>
            <w:r w:rsidR="0006468B">
              <w:rPr>
                <w:rFonts w:cs="Arial"/>
              </w:rPr>
              <w:t>.</w:t>
            </w:r>
          </w:p>
          <w:p w14:paraId="4C538A15" w14:textId="77777777" w:rsidR="00B31D38" w:rsidRDefault="00B31D38" w:rsidP="00BC11EA">
            <w:pPr>
              <w:spacing w:after="120"/>
            </w:pPr>
            <w:r w:rsidRPr="00EC621A">
              <w:rPr>
                <w:rFonts w:cs="Arial"/>
                <w:i/>
              </w:rPr>
              <w:t>Apparatus licences:</w:t>
            </w:r>
            <w:r>
              <w:rPr>
                <w:rFonts w:cs="Arial"/>
              </w:rPr>
              <w:t xml:space="preserve"> first-in-time over-the-counter licence application processes usually apply</w:t>
            </w:r>
            <w:r w:rsidR="0006468B">
              <w:rPr>
                <w:rFonts w:cs="Arial"/>
              </w:rPr>
              <w:t>.</w:t>
            </w:r>
          </w:p>
        </w:tc>
      </w:tr>
      <w:tr w:rsidR="00B31D38" w14:paraId="202A8DE7" w14:textId="77777777" w:rsidTr="0039046B">
        <w:tc>
          <w:tcPr>
            <w:tcW w:w="1594" w:type="dxa"/>
            <w:vMerge/>
            <w:shd w:val="clear" w:color="auto" w:fill="F2F2F2" w:themeFill="background1" w:themeFillShade="F2"/>
          </w:tcPr>
          <w:p w14:paraId="617B1C2B" w14:textId="77777777" w:rsidR="00B31D38" w:rsidRDefault="00B31D38" w:rsidP="00B31D38"/>
        </w:tc>
        <w:tc>
          <w:tcPr>
            <w:tcW w:w="3969" w:type="dxa"/>
            <w:shd w:val="clear" w:color="auto" w:fill="F2F2F2" w:themeFill="background1" w:themeFillShade="F2"/>
          </w:tcPr>
          <w:p w14:paraId="4AF4822D" w14:textId="77777777" w:rsidR="00B31D38" w:rsidRDefault="00B31D38" w:rsidP="00B31D38">
            <w:r w:rsidRPr="00F018BA">
              <w:rPr>
                <w:rFonts w:cs="Arial"/>
              </w:rPr>
              <w:t xml:space="preserve">850 MHz </w:t>
            </w:r>
            <w:r>
              <w:rPr>
                <w:rFonts w:cs="Arial"/>
              </w:rPr>
              <w:t>expansion band</w:t>
            </w:r>
            <w:r w:rsidRPr="00F018BA">
              <w:rPr>
                <w:rFonts w:cs="Arial"/>
              </w:rPr>
              <w:t xml:space="preserve"> </w:t>
            </w:r>
            <w:r>
              <w:rPr>
                <w:rFonts w:cs="Arial"/>
              </w:rPr>
              <w:br/>
              <w:t xml:space="preserve">(809–824/854–869 MHz) </w:t>
            </w:r>
          </w:p>
        </w:tc>
        <w:tc>
          <w:tcPr>
            <w:tcW w:w="3969" w:type="dxa"/>
            <w:shd w:val="clear" w:color="auto" w:fill="F2F2F2" w:themeFill="background1" w:themeFillShade="F2"/>
          </w:tcPr>
          <w:p w14:paraId="2132C90C" w14:textId="77777777" w:rsidR="00B31D38" w:rsidRDefault="00B31D38" w:rsidP="00B31D38">
            <w:r>
              <w:t>Commitment to make available from 2024</w:t>
            </w:r>
            <w:r w:rsidR="0006468B">
              <w:t>.</w:t>
            </w:r>
          </w:p>
        </w:tc>
        <w:tc>
          <w:tcPr>
            <w:tcW w:w="4217" w:type="dxa"/>
            <w:shd w:val="clear" w:color="auto" w:fill="F2F2F2" w:themeFill="background1" w:themeFillShade="F2"/>
          </w:tcPr>
          <w:p w14:paraId="34579CE3" w14:textId="77777777" w:rsidR="00B31D38" w:rsidRDefault="00B31D38" w:rsidP="00BC11EA">
            <w:pPr>
              <w:spacing w:after="120"/>
            </w:pPr>
            <w:r>
              <w:t>Implementation of reforms identified in decision paper has commenced (due for completion in 2024). This includes clearance of 850 MHz expansion band for 2024 release</w:t>
            </w:r>
            <w:r w:rsidR="0006468B">
              <w:t>.</w:t>
            </w:r>
          </w:p>
        </w:tc>
      </w:tr>
      <w:tr w:rsidR="00B31D38" w14:paraId="447FD2CD" w14:textId="77777777" w:rsidTr="0039046B">
        <w:tc>
          <w:tcPr>
            <w:tcW w:w="1594" w:type="dxa"/>
            <w:vMerge/>
            <w:shd w:val="clear" w:color="auto" w:fill="F2F2F2" w:themeFill="background1" w:themeFillShade="F2"/>
          </w:tcPr>
          <w:p w14:paraId="1B929DCD" w14:textId="77777777" w:rsidR="00B31D38" w:rsidRDefault="00B31D38" w:rsidP="00B31D38"/>
        </w:tc>
        <w:tc>
          <w:tcPr>
            <w:tcW w:w="3969" w:type="dxa"/>
            <w:shd w:val="clear" w:color="auto" w:fill="F2F2F2" w:themeFill="background1" w:themeFillShade="F2"/>
          </w:tcPr>
          <w:p w14:paraId="62BC94DE" w14:textId="77777777" w:rsidR="00B31D38" w:rsidRDefault="00B31D38" w:rsidP="00B31D38">
            <w:r>
              <w:rPr>
                <w:rFonts w:cs="Arial"/>
              </w:rPr>
              <w:t>900 MHz (890–915/935–960 MHz)</w:t>
            </w:r>
          </w:p>
        </w:tc>
        <w:tc>
          <w:tcPr>
            <w:tcW w:w="3969" w:type="dxa"/>
            <w:shd w:val="clear" w:color="auto" w:fill="F2F2F2" w:themeFill="background1" w:themeFillShade="F2"/>
          </w:tcPr>
          <w:p w14:paraId="77A7E8DA" w14:textId="77777777" w:rsidR="00B31D38" w:rsidRDefault="00B31D38" w:rsidP="00B31D38">
            <w:r>
              <w:t>Ongoing liaison with incumbent licensees</w:t>
            </w:r>
            <w:r w:rsidR="0006468B">
              <w:t>.</w:t>
            </w:r>
          </w:p>
        </w:tc>
        <w:tc>
          <w:tcPr>
            <w:tcW w:w="4217" w:type="dxa"/>
            <w:shd w:val="clear" w:color="auto" w:fill="F2F2F2" w:themeFill="background1" w:themeFillShade="F2"/>
          </w:tcPr>
          <w:p w14:paraId="7F9CFC16" w14:textId="77777777" w:rsidR="00B31D38" w:rsidRDefault="00B31D38" w:rsidP="00BC11EA">
            <w:pPr>
              <w:spacing w:after="120"/>
            </w:pPr>
            <w:r>
              <w:t xml:space="preserve">Public paper detailing options for </w:t>
            </w:r>
            <w:r w:rsidRPr="00E86448">
              <w:t>reconfiguration into 5 MHz licence blocks expected to be released in Q3</w:t>
            </w:r>
            <w:r>
              <w:t>,</w:t>
            </w:r>
            <w:r w:rsidRPr="00E86448">
              <w:t xml:space="preserve"> 2016</w:t>
            </w:r>
            <w:r w:rsidR="0006468B">
              <w:t>.</w:t>
            </w:r>
            <w:r w:rsidRPr="00372FDC">
              <w:t xml:space="preserve">  </w:t>
            </w:r>
          </w:p>
        </w:tc>
      </w:tr>
    </w:tbl>
    <w:p w14:paraId="76C6D138" w14:textId="77777777" w:rsidR="004D0DEA" w:rsidRDefault="004D0DEA" w:rsidP="004D0DEA">
      <w:pPr>
        <w:pStyle w:val="ACMASpaceaftertable"/>
        <w:spacing w:after="0"/>
      </w:pPr>
    </w:p>
    <w:p w14:paraId="44554DE0" w14:textId="77777777" w:rsidR="004D0DEA" w:rsidRDefault="004D0DEA" w:rsidP="004D0DEA">
      <w:pPr>
        <w:pStyle w:val="ACMASpaceaftertable"/>
        <w:sectPr w:rsidR="004D0DEA" w:rsidSect="00375F63">
          <w:pgSz w:w="16838" w:h="11906" w:orient="landscape" w:code="9"/>
          <w:pgMar w:top="1134" w:right="1945" w:bottom="993" w:left="1134" w:header="709" w:footer="119" w:gutter="0"/>
          <w:cols w:space="708"/>
          <w:docGrid w:linePitch="360"/>
        </w:sectPr>
      </w:pPr>
    </w:p>
    <w:p w14:paraId="17996005" w14:textId="77777777" w:rsidR="004D0DEA" w:rsidRDefault="004D0DEA" w:rsidP="004D0DEA">
      <w:pPr>
        <w:pStyle w:val="Heading2"/>
      </w:pPr>
      <w:bookmarkStart w:id="346" w:name="_Toc458084574"/>
      <w:bookmarkStart w:id="347" w:name="_Toc458608711"/>
      <w:bookmarkStart w:id="348" w:name="_Toc461108017"/>
      <w:bookmarkStart w:id="349" w:name="_Toc461194844"/>
      <w:bookmarkStart w:id="350" w:name="_Toc461445494"/>
      <w:bookmarkStart w:id="351" w:name="_Toc463351332"/>
      <w:r w:rsidRPr="00C9178C">
        <w:t>Monitoring</w:t>
      </w:r>
      <w:bookmarkEnd w:id="346"/>
      <w:bookmarkEnd w:id="347"/>
      <w:bookmarkEnd w:id="348"/>
      <w:bookmarkEnd w:id="349"/>
      <w:bookmarkEnd w:id="350"/>
      <w:bookmarkEnd w:id="351"/>
    </w:p>
    <w:p w14:paraId="72056AE4" w14:textId="77777777" w:rsidR="004D0DEA" w:rsidRDefault="004D0DEA" w:rsidP="004D0DEA">
      <w:pPr>
        <w:spacing w:after="80"/>
      </w:pPr>
      <w:r w:rsidRPr="00186A8A">
        <w:rPr>
          <w:rFonts w:cs="Arial"/>
        </w:rPr>
        <w:t xml:space="preserve">Table </w:t>
      </w:r>
      <w:r w:rsidR="00186A8A" w:rsidRPr="0039046B">
        <w:rPr>
          <w:rFonts w:cs="Arial"/>
        </w:rPr>
        <w:t>14</w:t>
      </w:r>
      <w:r w:rsidRPr="00186A8A">
        <w:rPr>
          <w:rFonts w:cs="Arial"/>
        </w:rPr>
        <w:t xml:space="preserve"> below</w:t>
      </w:r>
      <w:r w:rsidRPr="00E248AD">
        <w:rPr>
          <w:rFonts w:cs="Arial"/>
        </w:rPr>
        <w:t xml:space="preserve"> outlines the bands currently in</w:t>
      </w:r>
      <w:r>
        <w:rPr>
          <w:rFonts w:cs="Arial"/>
        </w:rPr>
        <w:t xml:space="preserve"> the </w:t>
      </w:r>
      <w:r w:rsidRPr="00FC2E2B">
        <w:rPr>
          <w:rFonts w:cs="Arial"/>
          <w:i/>
        </w:rPr>
        <w:t>monitoring</w:t>
      </w:r>
      <w:r>
        <w:rPr>
          <w:rFonts w:cs="Arial"/>
        </w:rPr>
        <w:t xml:space="preserve"> stage,</w:t>
      </w:r>
      <w:r w:rsidRPr="00E95553">
        <w:rPr>
          <w:rFonts w:cs="Arial"/>
        </w:rPr>
        <w:t xml:space="preserve"> </w:t>
      </w:r>
      <w:r w:rsidRPr="00E248AD">
        <w:rPr>
          <w:rFonts w:cs="Arial"/>
        </w:rPr>
        <w:t>as well as the status of the bands against some of the key consideration</w:t>
      </w:r>
      <w:r>
        <w:rPr>
          <w:rFonts w:cs="Arial"/>
        </w:rPr>
        <w:t>s</w:t>
      </w:r>
      <w:r w:rsidRPr="00E248AD">
        <w:rPr>
          <w:rFonts w:cs="Arial"/>
        </w:rPr>
        <w:t xml:space="preserve"> that have led to their inclusion at the </w:t>
      </w:r>
      <w:r w:rsidRPr="00FC2E2B">
        <w:rPr>
          <w:rFonts w:cs="Arial"/>
          <w:i/>
        </w:rPr>
        <w:t>monitoring</w:t>
      </w:r>
      <w:r w:rsidRPr="00E248AD">
        <w:rPr>
          <w:rFonts w:cs="Arial"/>
        </w:rPr>
        <w:t xml:space="preserve"> stage. </w:t>
      </w:r>
      <w:r>
        <w:rPr>
          <w:rFonts w:cs="Arial"/>
        </w:rPr>
        <w:t>These considerations include (but are not always limited to):</w:t>
      </w:r>
    </w:p>
    <w:p w14:paraId="54E2AD2E" w14:textId="77777777" w:rsidR="004D0DEA" w:rsidRDefault="004D0DEA" w:rsidP="004D0DEA">
      <w:pPr>
        <w:pStyle w:val="ListBullet"/>
      </w:pPr>
      <w:r>
        <w:rPr>
          <w:i/>
        </w:rPr>
        <w:t>Domestic interest</w:t>
      </w:r>
      <w:r>
        <w:t>—interest has been expressed from Australian proponents for consideration of the use of the band for mobile broadband services.</w:t>
      </w:r>
    </w:p>
    <w:p w14:paraId="171A9D66" w14:textId="77777777" w:rsidR="004D0DEA" w:rsidRDefault="004D0DEA" w:rsidP="004D0DEA">
      <w:pPr>
        <w:pStyle w:val="ListBullet"/>
      </w:pPr>
      <w:r w:rsidRPr="00833BBE">
        <w:rPr>
          <w:i/>
        </w:rPr>
        <w:t>International spectrum ha</w:t>
      </w:r>
      <w:r>
        <w:rPr>
          <w:i/>
        </w:rPr>
        <w:t>r</w:t>
      </w:r>
      <w:r w:rsidRPr="00833BBE">
        <w:rPr>
          <w:i/>
        </w:rPr>
        <w:t>monisation (IMT</w:t>
      </w:r>
      <w:r>
        <w:rPr>
          <w:i/>
        </w:rPr>
        <w:t>/RLAN</w:t>
      </w:r>
      <w:r w:rsidRPr="00833BBE">
        <w:rPr>
          <w:i/>
        </w:rPr>
        <w:t xml:space="preserve"> identification)</w:t>
      </w:r>
      <w:r>
        <w:t>—the band is identified in Article 5 of the Radio Regulations for International Mobile Telecommunications (IMT) or the band is under consideration at WRC-19 for such an identification. Alternatively, the band is identified for use by RLANs.</w:t>
      </w:r>
    </w:p>
    <w:p w14:paraId="731503CE" w14:textId="77777777" w:rsidR="004D0DEA" w:rsidRPr="00C63826" w:rsidRDefault="004D0DEA" w:rsidP="004D0DEA">
      <w:pPr>
        <w:pStyle w:val="ListBullet"/>
      </w:pPr>
      <w:r>
        <w:rPr>
          <w:i/>
        </w:rPr>
        <w:t>Technology standardisation (for example, 3GPP and IEEE)</w:t>
      </w:r>
      <w:r>
        <w:t>—standardised arrangements for mobile broadband that have been or are being developed.</w:t>
      </w:r>
    </w:p>
    <w:p w14:paraId="083FE70E" w14:textId="77777777" w:rsidR="004D0DEA" w:rsidRDefault="004D0DEA" w:rsidP="004D0DEA">
      <w:pPr>
        <w:pStyle w:val="ListBullet"/>
      </w:pPr>
      <w:r>
        <w:rPr>
          <w:i/>
        </w:rPr>
        <w:t>Potential or evolving ecosystem</w:t>
      </w:r>
      <w:r>
        <w:t xml:space="preserve">—an equipment ecosystem exists for devices </w:t>
      </w:r>
      <w:r>
        <w:rPr>
          <w:szCs w:val="20"/>
        </w:rPr>
        <w:t>to generate economies of scale for equipment and roaming benefits</w:t>
      </w:r>
      <w:r>
        <w:t>, alternatively there are indications that such an ecosystem could develop over time.</w:t>
      </w:r>
    </w:p>
    <w:p w14:paraId="168FC93F" w14:textId="77777777" w:rsidR="004D0DEA" w:rsidRDefault="004D0DEA" w:rsidP="004D0DEA">
      <w:pPr>
        <w:pStyle w:val="ListBullet"/>
      </w:pPr>
      <w:r>
        <w:rPr>
          <w:i/>
        </w:rPr>
        <w:t>Regional group interest</w:t>
      </w:r>
      <w:r>
        <w:t xml:space="preserve">—there is interest in this band from regional organisations such as CEPT, CITEL and APT.  </w:t>
      </w:r>
    </w:p>
    <w:p w14:paraId="25284277" w14:textId="77777777" w:rsidR="004D0DEA" w:rsidRDefault="004D0DEA" w:rsidP="004D0DEA">
      <w:pPr>
        <w:pStyle w:val="ListBulletLast"/>
      </w:pPr>
      <w:r>
        <w:rPr>
          <w:i/>
        </w:rPr>
        <w:t>Other relevant issues</w:t>
      </w:r>
      <w:r>
        <w:t xml:space="preserve">—where applicable. </w:t>
      </w:r>
    </w:p>
    <w:p w14:paraId="148A9B23" w14:textId="77777777" w:rsidR="004D0DEA" w:rsidRDefault="004D0DEA" w:rsidP="004D0DEA">
      <w:pPr>
        <w:rPr>
          <w:rFonts w:cs="Arial"/>
        </w:rPr>
      </w:pPr>
      <w:r>
        <w:rPr>
          <w:rFonts w:cs="Arial"/>
        </w:rPr>
        <w:t xml:space="preserve">An additional set of bands has been added to the monitoring stage since the February 2016 update of the mobile broadband work program. These are bands being considered for 5G </w:t>
      </w:r>
      <w:r w:rsidR="00F70ABB">
        <w:rPr>
          <w:rFonts w:cs="Arial"/>
        </w:rPr>
        <w:t xml:space="preserve">use </w:t>
      </w:r>
      <w:r>
        <w:rPr>
          <w:rFonts w:cs="Arial"/>
        </w:rPr>
        <w:t xml:space="preserve">by the US and Korea, in addition to those identified for investigation as part of WRC-19 agenda item 1.13. </w:t>
      </w:r>
    </w:p>
    <w:p w14:paraId="246E4144" w14:textId="77777777" w:rsidR="004D0DEA" w:rsidRDefault="004D0DEA" w:rsidP="004D0DEA">
      <w:pPr>
        <w:rPr>
          <w:rFonts w:cs="Arial"/>
        </w:rPr>
      </w:pPr>
      <w:r w:rsidRPr="00E248AD">
        <w:rPr>
          <w:rFonts w:cs="Arial"/>
        </w:rPr>
        <w:t>Note that the process for consideration of additional spectrum for mobile broadband services relates to the domestic re-planning process. For bands being considered within international fora such as the ITU, the ACMA will, where appropriate, engage with stakeholders via the international preparatory process to develop Australian positions on relevant issues. Where appropriate, this international engagement can include participation in relevant studies</w:t>
      </w:r>
      <w:r>
        <w:rPr>
          <w:rFonts w:cs="Arial"/>
        </w:rPr>
        <w:t>,</w:t>
      </w:r>
      <w:r w:rsidRPr="00E248AD">
        <w:rPr>
          <w:rFonts w:cs="Arial"/>
        </w:rPr>
        <w:t xml:space="preserve"> for example. </w:t>
      </w:r>
    </w:p>
    <w:p w14:paraId="34CAA658" w14:textId="77777777" w:rsidR="004D0DEA" w:rsidRPr="004D0DEA" w:rsidRDefault="004D0DEA" w:rsidP="0039046B">
      <w:pPr>
        <w:keepNext/>
        <w:numPr>
          <w:ilvl w:val="0"/>
          <w:numId w:val="27"/>
        </w:numPr>
        <w:spacing w:after="160" w:line="240" w:lineRule="auto"/>
        <w:rPr>
          <w:b/>
        </w:rPr>
      </w:pPr>
      <w:r w:rsidRPr="004D0DEA">
        <w:rPr>
          <w:b/>
        </w:rPr>
        <w:t xml:space="preserve">Frequency bands at the </w:t>
      </w:r>
      <w:r w:rsidRPr="004D0DEA">
        <w:rPr>
          <w:b/>
          <w:i/>
        </w:rPr>
        <w:t>monitoring</w:t>
      </w:r>
      <w:r w:rsidRPr="004D0DEA">
        <w:rPr>
          <w:b/>
        </w:rPr>
        <w:t xml:space="preserve"> stage within the process for consideration of additional spectrum for mobile broadband services</w:t>
      </w:r>
    </w:p>
    <w:tbl>
      <w:tblPr>
        <w:tblW w:w="9634" w:type="dxa"/>
        <w:tblInd w:w="90" w:type="dxa"/>
        <w:tblBorders>
          <w:top w:val="single" w:sz="4" w:space="0" w:color="auto"/>
          <w:bottom w:val="single" w:sz="4" w:space="0" w:color="auto"/>
          <w:insideH w:val="single" w:sz="4" w:space="0" w:color="auto"/>
        </w:tblBorders>
        <w:tblLayout w:type="fixed"/>
        <w:tblCellMar>
          <w:top w:w="57" w:type="dxa"/>
          <w:left w:w="57" w:type="dxa"/>
          <w:bottom w:w="57" w:type="dxa"/>
          <w:right w:w="57" w:type="dxa"/>
        </w:tblCellMar>
        <w:tblLook w:val="01E0" w:firstRow="1" w:lastRow="1" w:firstColumn="1" w:lastColumn="1" w:noHBand="0" w:noVBand="0"/>
        <w:tblCaption w:val="Frequency bands at the monitoring stage within the process for consideration of additional spectrum for mobile broadband services"/>
        <w:tblDescription w:val="Includes band, the domestic interest, international spectrum harmonisation identification, technology standardisation, potential or evolving ecosystem, regional group interest and other relevant issues."/>
      </w:tblPr>
      <w:tblGrid>
        <w:gridCol w:w="1531"/>
        <w:gridCol w:w="1129"/>
        <w:gridCol w:w="1554"/>
        <w:gridCol w:w="1696"/>
        <w:gridCol w:w="1154"/>
        <w:gridCol w:w="1109"/>
        <w:gridCol w:w="1461"/>
      </w:tblGrid>
      <w:tr w:rsidR="004D0DEA" w:rsidRPr="006D46E5" w14:paraId="5908E3F0" w14:textId="77777777" w:rsidTr="000A7B0D">
        <w:trPr>
          <w:tblHeader/>
        </w:trPr>
        <w:tc>
          <w:tcPr>
            <w:tcW w:w="1531" w:type="dxa"/>
            <w:tcBorders>
              <w:bottom w:val="single" w:sz="4" w:space="0" w:color="auto"/>
            </w:tcBorders>
            <w:shd w:val="clear" w:color="auto" w:fill="404040" w:themeFill="text1" w:themeFillTint="BF"/>
          </w:tcPr>
          <w:p w14:paraId="5D5C533C" w14:textId="7777777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Band</w:t>
            </w:r>
          </w:p>
        </w:tc>
        <w:tc>
          <w:tcPr>
            <w:tcW w:w="1129" w:type="dxa"/>
            <w:tcBorders>
              <w:bottom w:val="single" w:sz="4" w:space="0" w:color="auto"/>
            </w:tcBorders>
            <w:shd w:val="clear" w:color="auto" w:fill="404040" w:themeFill="text1" w:themeFillTint="BF"/>
          </w:tcPr>
          <w:p w14:paraId="39F219C3" w14:textId="7777777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 xml:space="preserve">Domestic </w:t>
            </w:r>
            <w:r>
              <w:rPr>
                <w:rFonts w:cs="Arial"/>
                <w:color w:val="FFFFFF" w:themeColor="background1"/>
                <w:szCs w:val="20"/>
              </w:rPr>
              <w:t>i</w:t>
            </w:r>
            <w:r w:rsidRPr="00660E21">
              <w:rPr>
                <w:rFonts w:cs="Arial"/>
                <w:color w:val="FFFFFF" w:themeColor="background1"/>
                <w:szCs w:val="20"/>
              </w:rPr>
              <w:t>nterest</w:t>
            </w:r>
          </w:p>
        </w:tc>
        <w:tc>
          <w:tcPr>
            <w:tcW w:w="1554" w:type="dxa"/>
            <w:tcBorders>
              <w:bottom w:val="single" w:sz="4" w:space="0" w:color="auto"/>
            </w:tcBorders>
            <w:shd w:val="clear" w:color="auto" w:fill="404040" w:themeFill="text1" w:themeFillTint="BF"/>
          </w:tcPr>
          <w:p w14:paraId="17D31613" w14:textId="7777777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 xml:space="preserve">International </w:t>
            </w:r>
            <w:r>
              <w:rPr>
                <w:rFonts w:cs="Arial"/>
                <w:color w:val="FFFFFF" w:themeColor="background1"/>
                <w:szCs w:val="20"/>
              </w:rPr>
              <w:t>s</w:t>
            </w:r>
            <w:r w:rsidRPr="00660E21">
              <w:rPr>
                <w:rFonts w:cs="Arial"/>
                <w:color w:val="FFFFFF" w:themeColor="background1"/>
                <w:szCs w:val="20"/>
              </w:rPr>
              <w:t xml:space="preserve">pectrum </w:t>
            </w:r>
            <w:r>
              <w:rPr>
                <w:rFonts w:cs="Arial"/>
                <w:color w:val="FFFFFF" w:themeColor="background1"/>
                <w:szCs w:val="20"/>
              </w:rPr>
              <w:t>h</w:t>
            </w:r>
            <w:r w:rsidRPr="00660E21">
              <w:rPr>
                <w:rFonts w:cs="Arial"/>
                <w:color w:val="FFFFFF" w:themeColor="background1"/>
                <w:szCs w:val="20"/>
              </w:rPr>
              <w:t xml:space="preserve">armonisation </w:t>
            </w:r>
            <w:r>
              <w:rPr>
                <w:rFonts w:cs="Arial"/>
                <w:color w:val="FFFFFF" w:themeColor="background1"/>
                <w:szCs w:val="20"/>
              </w:rPr>
              <w:t>(</w:t>
            </w:r>
            <w:r w:rsidRPr="00660E21">
              <w:rPr>
                <w:rFonts w:cs="Arial"/>
                <w:color w:val="FFFFFF" w:themeColor="background1"/>
                <w:szCs w:val="20"/>
              </w:rPr>
              <w:t>IMT</w:t>
            </w:r>
            <w:r>
              <w:rPr>
                <w:rFonts w:cs="Arial"/>
                <w:color w:val="FFFFFF" w:themeColor="background1"/>
                <w:szCs w:val="20"/>
              </w:rPr>
              <w:t>/RLAN</w:t>
            </w:r>
            <w:r w:rsidRPr="00660E21">
              <w:rPr>
                <w:rFonts w:cs="Arial"/>
                <w:color w:val="FFFFFF" w:themeColor="background1"/>
                <w:szCs w:val="20"/>
              </w:rPr>
              <w:t xml:space="preserve"> </w:t>
            </w:r>
            <w:r>
              <w:rPr>
                <w:rFonts w:cs="Arial"/>
                <w:color w:val="FFFFFF" w:themeColor="background1"/>
                <w:szCs w:val="20"/>
              </w:rPr>
              <w:t>identification)</w:t>
            </w:r>
          </w:p>
        </w:tc>
        <w:tc>
          <w:tcPr>
            <w:tcW w:w="1696" w:type="dxa"/>
            <w:tcBorders>
              <w:bottom w:val="single" w:sz="4" w:space="0" w:color="auto"/>
            </w:tcBorders>
            <w:shd w:val="clear" w:color="auto" w:fill="404040" w:themeFill="text1" w:themeFillTint="BF"/>
          </w:tcPr>
          <w:p w14:paraId="3518F630" w14:textId="6BE7989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Technology standardisation</w:t>
            </w:r>
            <w:r w:rsidR="002B3DF6">
              <w:rPr>
                <w:rFonts w:cs="Arial"/>
                <w:color w:val="FFFFFF" w:themeColor="background1"/>
                <w:szCs w:val="20"/>
              </w:rPr>
              <w:t xml:space="preserve"> </w:t>
            </w:r>
            <w:r>
              <w:rPr>
                <w:rFonts w:cs="Arial"/>
                <w:color w:val="FFFFFF" w:themeColor="background1"/>
                <w:szCs w:val="20"/>
              </w:rPr>
              <w:t xml:space="preserve">(e.g. </w:t>
            </w:r>
            <w:r w:rsidRPr="00660E21">
              <w:rPr>
                <w:rFonts w:cs="Arial"/>
                <w:color w:val="FFFFFF" w:themeColor="background1"/>
                <w:szCs w:val="20"/>
              </w:rPr>
              <w:t>3GPP</w:t>
            </w:r>
            <w:r>
              <w:rPr>
                <w:rFonts w:cs="Arial"/>
                <w:color w:val="FFFFFF" w:themeColor="background1"/>
                <w:szCs w:val="20"/>
              </w:rPr>
              <w:t xml:space="preserve">, </w:t>
            </w:r>
            <w:r w:rsidRPr="00660E21">
              <w:rPr>
                <w:rFonts w:cs="Arial"/>
                <w:color w:val="FFFFFF" w:themeColor="background1"/>
                <w:szCs w:val="20"/>
              </w:rPr>
              <w:t>IE</w:t>
            </w:r>
            <w:r>
              <w:rPr>
                <w:rFonts w:cs="Arial"/>
                <w:color w:val="FFFFFF" w:themeColor="background1"/>
                <w:szCs w:val="20"/>
              </w:rPr>
              <w:t>E</w:t>
            </w:r>
            <w:r w:rsidRPr="00660E21">
              <w:rPr>
                <w:rFonts w:cs="Arial"/>
                <w:color w:val="FFFFFF" w:themeColor="background1"/>
                <w:szCs w:val="20"/>
              </w:rPr>
              <w:t>E etc.</w:t>
            </w:r>
            <w:r>
              <w:rPr>
                <w:rFonts w:cs="Arial"/>
                <w:color w:val="FFFFFF" w:themeColor="background1"/>
                <w:szCs w:val="20"/>
              </w:rPr>
              <w:t>)</w:t>
            </w:r>
          </w:p>
        </w:tc>
        <w:tc>
          <w:tcPr>
            <w:tcW w:w="1154" w:type="dxa"/>
            <w:tcBorders>
              <w:bottom w:val="single" w:sz="4" w:space="0" w:color="auto"/>
            </w:tcBorders>
            <w:shd w:val="clear" w:color="auto" w:fill="404040" w:themeFill="text1" w:themeFillTint="BF"/>
          </w:tcPr>
          <w:p w14:paraId="19A9525A" w14:textId="7777777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Potential</w:t>
            </w:r>
            <w:r w:rsidR="00BC11EA">
              <w:rPr>
                <w:rFonts w:cs="Arial"/>
                <w:color w:val="FFFFFF" w:themeColor="background1"/>
                <w:szCs w:val="20"/>
              </w:rPr>
              <w:t xml:space="preserve"> </w:t>
            </w:r>
            <w:r>
              <w:rPr>
                <w:rFonts w:cs="Arial"/>
                <w:color w:val="FFFFFF" w:themeColor="background1"/>
                <w:szCs w:val="20"/>
              </w:rPr>
              <w:t>or evolving</w:t>
            </w:r>
            <w:r w:rsidR="00BC11EA">
              <w:rPr>
                <w:rFonts w:cs="Arial"/>
                <w:color w:val="FFFFFF" w:themeColor="background1"/>
                <w:szCs w:val="20"/>
              </w:rPr>
              <w:t xml:space="preserve"> </w:t>
            </w:r>
            <w:r>
              <w:rPr>
                <w:rFonts w:cs="Arial"/>
                <w:color w:val="FFFFFF" w:themeColor="background1"/>
                <w:szCs w:val="20"/>
              </w:rPr>
              <w:t>e</w:t>
            </w:r>
            <w:r w:rsidRPr="00660E21">
              <w:rPr>
                <w:rFonts w:cs="Arial"/>
                <w:color w:val="FFFFFF" w:themeColor="background1"/>
                <w:szCs w:val="20"/>
              </w:rPr>
              <w:t>cosystem</w:t>
            </w:r>
          </w:p>
        </w:tc>
        <w:tc>
          <w:tcPr>
            <w:tcW w:w="1109" w:type="dxa"/>
            <w:tcBorders>
              <w:bottom w:val="single" w:sz="4" w:space="0" w:color="auto"/>
            </w:tcBorders>
            <w:shd w:val="clear" w:color="auto" w:fill="404040" w:themeFill="text1" w:themeFillTint="BF"/>
          </w:tcPr>
          <w:p w14:paraId="0FC9020B" w14:textId="7777777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 xml:space="preserve">Regional </w:t>
            </w:r>
            <w:r>
              <w:rPr>
                <w:rFonts w:cs="Arial"/>
                <w:color w:val="FFFFFF" w:themeColor="background1"/>
                <w:szCs w:val="20"/>
              </w:rPr>
              <w:t>group i</w:t>
            </w:r>
            <w:r w:rsidRPr="00660E21">
              <w:rPr>
                <w:rFonts w:cs="Arial"/>
                <w:color w:val="FFFFFF" w:themeColor="background1"/>
                <w:szCs w:val="20"/>
              </w:rPr>
              <w:t>nterest</w:t>
            </w:r>
          </w:p>
        </w:tc>
        <w:tc>
          <w:tcPr>
            <w:tcW w:w="1461" w:type="dxa"/>
            <w:tcBorders>
              <w:bottom w:val="single" w:sz="4" w:space="0" w:color="auto"/>
            </w:tcBorders>
            <w:shd w:val="clear" w:color="auto" w:fill="404040" w:themeFill="text1" w:themeFillTint="BF"/>
          </w:tcPr>
          <w:p w14:paraId="2D600E14" w14:textId="77777777" w:rsidR="004D0DEA" w:rsidRPr="00660E21" w:rsidRDefault="004D0DEA" w:rsidP="00375F63">
            <w:pPr>
              <w:pStyle w:val="TableHeading"/>
              <w:keepNext/>
              <w:keepLines/>
              <w:rPr>
                <w:rFonts w:cs="Arial"/>
                <w:color w:val="FFFFFF" w:themeColor="background1"/>
                <w:szCs w:val="20"/>
              </w:rPr>
            </w:pPr>
            <w:r w:rsidRPr="00660E21">
              <w:rPr>
                <w:rFonts w:cs="Arial"/>
                <w:color w:val="FFFFFF" w:themeColor="background1"/>
                <w:szCs w:val="20"/>
              </w:rPr>
              <w:t xml:space="preserve">Other </w:t>
            </w:r>
            <w:r>
              <w:rPr>
                <w:rFonts w:cs="Arial"/>
                <w:color w:val="FFFFFF" w:themeColor="background1"/>
                <w:szCs w:val="20"/>
              </w:rPr>
              <w:t>r</w:t>
            </w:r>
            <w:r w:rsidRPr="00660E21">
              <w:rPr>
                <w:rFonts w:cs="Arial"/>
                <w:color w:val="FFFFFF" w:themeColor="background1"/>
                <w:szCs w:val="20"/>
              </w:rPr>
              <w:t xml:space="preserve">elevant </w:t>
            </w:r>
            <w:r>
              <w:rPr>
                <w:rFonts w:cs="Arial"/>
                <w:color w:val="FFFFFF" w:themeColor="background1"/>
                <w:szCs w:val="20"/>
              </w:rPr>
              <w:t>i</w:t>
            </w:r>
            <w:r w:rsidRPr="00660E21">
              <w:rPr>
                <w:rFonts w:cs="Arial"/>
                <w:color w:val="FFFFFF" w:themeColor="background1"/>
                <w:szCs w:val="20"/>
              </w:rPr>
              <w:t>ssues</w:t>
            </w:r>
          </w:p>
        </w:tc>
      </w:tr>
      <w:tr w:rsidR="004D0DEA" w:rsidRPr="006D46E5" w14:paraId="3451CCEF" w14:textId="77777777" w:rsidTr="000A7B0D">
        <w:trPr>
          <w:tblHeader/>
        </w:trPr>
        <w:tc>
          <w:tcPr>
            <w:tcW w:w="1531" w:type="dxa"/>
            <w:tcBorders>
              <w:left w:val="single" w:sz="4" w:space="0" w:color="auto"/>
              <w:right w:val="single" w:sz="4" w:space="0" w:color="auto"/>
            </w:tcBorders>
            <w:shd w:val="clear" w:color="auto" w:fill="FFFFFF" w:themeFill="background1"/>
          </w:tcPr>
          <w:p w14:paraId="451D63C0" w14:textId="77777777" w:rsidR="004D0DEA" w:rsidRPr="00660E21" w:rsidRDefault="004D0DEA" w:rsidP="00375F63">
            <w:pPr>
              <w:pStyle w:val="TableBody"/>
              <w:keepNext/>
              <w:keepLines/>
              <w:rPr>
                <w:rFonts w:cs="Arial"/>
                <w:szCs w:val="20"/>
              </w:rPr>
            </w:pPr>
            <w:r w:rsidRPr="00660E21">
              <w:rPr>
                <w:rFonts w:cs="Arial"/>
                <w:szCs w:val="20"/>
              </w:rPr>
              <w:t>600 MHz</w:t>
            </w:r>
          </w:p>
        </w:tc>
        <w:tc>
          <w:tcPr>
            <w:tcW w:w="1129" w:type="dxa"/>
            <w:tcBorders>
              <w:left w:val="single" w:sz="4" w:space="0" w:color="auto"/>
              <w:right w:val="single" w:sz="4" w:space="0" w:color="auto"/>
            </w:tcBorders>
            <w:shd w:val="clear" w:color="auto" w:fill="FFFFFF" w:themeFill="background1"/>
          </w:tcPr>
          <w:p w14:paraId="1388965E" w14:textId="77777777" w:rsidR="004D0DEA" w:rsidRPr="00660E21" w:rsidRDefault="004D0DEA" w:rsidP="00375F63">
            <w:pPr>
              <w:pStyle w:val="TableBody"/>
              <w:keepNext/>
              <w:keepLines/>
              <w:rPr>
                <w:rFonts w:cs="Arial"/>
                <w:szCs w:val="20"/>
              </w:rPr>
            </w:pPr>
            <w:r w:rsidRPr="00660E21">
              <w:rPr>
                <w:rFonts w:cs="Arial"/>
                <w:szCs w:val="20"/>
              </w:rPr>
              <w:t>Yes</w:t>
            </w:r>
          </w:p>
        </w:tc>
        <w:tc>
          <w:tcPr>
            <w:tcW w:w="1554" w:type="dxa"/>
            <w:tcBorders>
              <w:left w:val="single" w:sz="4" w:space="0" w:color="auto"/>
              <w:right w:val="single" w:sz="4" w:space="0" w:color="auto"/>
            </w:tcBorders>
            <w:shd w:val="clear" w:color="auto" w:fill="FFFFFF" w:themeFill="background1"/>
          </w:tcPr>
          <w:p w14:paraId="79FD50E9" w14:textId="77777777" w:rsidR="004D0DEA" w:rsidRPr="00660E21" w:rsidRDefault="004D0DEA" w:rsidP="00375F63">
            <w:pPr>
              <w:pStyle w:val="TableBody"/>
              <w:keepNext/>
              <w:keepLines/>
              <w:rPr>
                <w:rFonts w:cs="Arial"/>
                <w:szCs w:val="20"/>
              </w:rPr>
            </w:pPr>
            <w:r w:rsidRPr="00660E21">
              <w:rPr>
                <w:rFonts w:cs="Arial"/>
                <w:szCs w:val="20"/>
              </w:rPr>
              <w:t>Yes</w:t>
            </w:r>
          </w:p>
        </w:tc>
        <w:tc>
          <w:tcPr>
            <w:tcW w:w="1696" w:type="dxa"/>
            <w:tcBorders>
              <w:left w:val="single" w:sz="4" w:space="0" w:color="auto"/>
              <w:right w:val="single" w:sz="4" w:space="0" w:color="auto"/>
            </w:tcBorders>
            <w:shd w:val="clear" w:color="auto" w:fill="FFFFFF" w:themeFill="background1"/>
          </w:tcPr>
          <w:p w14:paraId="061606C4" w14:textId="77777777" w:rsidR="004D0DEA" w:rsidRPr="00660E21" w:rsidRDefault="004D0DEA" w:rsidP="00375F63">
            <w:pPr>
              <w:pStyle w:val="TableBody"/>
              <w:keepNext/>
              <w:keepLines/>
              <w:rPr>
                <w:rFonts w:cs="Arial"/>
                <w:szCs w:val="20"/>
              </w:rPr>
            </w:pPr>
            <w:r w:rsidRPr="00660E21">
              <w:rPr>
                <w:rFonts w:cs="Arial"/>
                <w:szCs w:val="20"/>
              </w:rPr>
              <w:t>No</w:t>
            </w:r>
          </w:p>
        </w:tc>
        <w:tc>
          <w:tcPr>
            <w:tcW w:w="1154" w:type="dxa"/>
            <w:tcBorders>
              <w:left w:val="single" w:sz="4" w:space="0" w:color="auto"/>
              <w:right w:val="single" w:sz="4" w:space="0" w:color="auto"/>
            </w:tcBorders>
            <w:shd w:val="clear" w:color="auto" w:fill="FFFFFF" w:themeFill="background1"/>
          </w:tcPr>
          <w:p w14:paraId="160E3418" w14:textId="77777777" w:rsidR="004D0DEA" w:rsidRPr="00660E21" w:rsidRDefault="004D0DEA" w:rsidP="00375F63">
            <w:pPr>
              <w:pStyle w:val="TableBody"/>
              <w:keepNext/>
              <w:keepLines/>
              <w:rPr>
                <w:rFonts w:cs="Arial"/>
                <w:szCs w:val="20"/>
              </w:rPr>
            </w:pPr>
            <w:r w:rsidRPr="00660E21">
              <w:rPr>
                <w:rFonts w:cs="Arial"/>
                <w:szCs w:val="20"/>
              </w:rPr>
              <w:t>Yes</w:t>
            </w:r>
          </w:p>
        </w:tc>
        <w:tc>
          <w:tcPr>
            <w:tcW w:w="1109" w:type="dxa"/>
            <w:tcBorders>
              <w:left w:val="single" w:sz="4" w:space="0" w:color="auto"/>
              <w:right w:val="single" w:sz="4" w:space="0" w:color="auto"/>
            </w:tcBorders>
            <w:shd w:val="clear" w:color="auto" w:fill="FFFFFF" w:themeFill="background1"/>
          </w:tcPr>
          <w:p w14:paraId="39F13A9C" w14:textId="77777777" w:rsidR="004D0DEA" w:rsidRPr="00660E21" w:rsidRDefault="004D0DEA" w:rsidP="00375F63">
            <w:pPr>
              <w:pStyle w:val="TableBody"/>
              <w:keepNext/>
              <w:keepLines/>
              <w:rPr>
                <w:rFonts w:cs="Arial"/>
                <w:szCs w:val="20"/>
              </w:rPr>
            </w:pPr>
            <w:r w:rsidRPr="00660E21">
              <w:rPr>
                <w:rFonts w:cs="Arial"/>
                <w:szCs w:val="20"/>
              </w:rPr>
              <w:t>No</w:t>
            </w:r>
          </w:p>
        </w:tc>
        <w:tc>
          <w:tcPr>
            <w:tcW w:w="1461" w:type="dxa"/>
            <w:tcBorders>
              <w:left w:val="single" w:sz="4" w:space="0" w:color="auto"/>
              <w:right w:val="single" w:sz="4" w:space="0" w:color="auto"/>
            </w:tcBorders>
            <w:shd w:val="clear" w:color="auto" w:fill="FFFFFF" w:themeFill="background1"/>
          </w:tcPr>
          <w:p w14:paraId="76624DDB" w14:textId="77777777" w:rsidR="004D0DEA" w:rsidRPr="00660E21" w:rsidRDefault="004D0DEA" w:rsidP="00375F63">
            <w:pPr>
              <w:pStyle w:val="TableBody"/>
              <w:keepNext/>
              <w:keepLines/>
              <w:rPr>
                <w:rFonts w:cs="Arial"/>
                <w:szCs w:val="20"/>
              </w:rPr>
            </w:pPr>
            <w:r w:rsidRPr="00660E21">
              <w:rPr>
                <w:rFonts w:cs="Arial"/>
                <w:szCs w:val="20"/>
              </w:rPr>
              <w:t xml:space="preserve">The US and </w:t>
            </w:r>
            <w:r>
              <w:rPr>
                <w:rFonts w:cs="Arial"/>
                <w:szCs w:val="20"/>
              </w:rPr>
              <w:t>13</w:t>
            </w:r>
            <w:r w:rsidRPr="00660E21">
              <w:rPr>
                <w:rFonts w:cs="Arial"/>
                <w:szCs w:val="20"/>
              </w:rPr>
              <w:t xml:space="preserve"> other countries have identified for IMT</w:t>
            </w:r>
          </w:p>
        </w:tc>
      </w:tr>
      <w:tr w:rsidR="004D0DEA" w:rsidRPr="006D46E5" w14:paraId="3953517F" w14:textId="77777777" w:rsidTr="000A7B0D">
        <w:trPr>
          <w:tblHeader/>
        </w:trPr>
        <w:tc>
          <w:tcPr>
            <w:tcW w:w="1531" w:type="dxa"/>
            <w:tcBorders>
              <w:left w:val="single" w:sz="4" w:space="0" w:color="auto"/>
              <w:right w:val="single" w:sz="4" w:space="0" w:color="auto"/>
            </w:tcBorders>
            <w:shd w:val="clear" w:color="auto" w:fill="F2F2F2" w:themeFill="background1" w:themeFillShade="F2"/>
          </w:tcPr>
          <w:p w14:paraId="412FC8C3" w14:textId="77777777" w:rsidR="004D0DEA" w:rsidRPr="00E248AD" w:rsidRDefault="004D0DEA" w:rsidP="00375F63">
            <w:pPr>
              <w:pStyle w:val="TableBody"/>
              <w:keepNext/>
              <w:keepLines/>
              <w:spacing w:after="80"/>
              <w:rPr>
                <w:rFonts w:cs="Arial"/>
                <w:szCs w:val="20"/>
              </w:rPr>
            </w:pPr>
            <w:r>
              <w:rPr>
                <w:rFonts w:cs="Arial"/>
                <w:szCs w:val="20"/>
              </w:rPr>
              <w:t>3.3 GHz</w:t>
            </w:r>
          </w:p>
        </w:tc>
        <w:tc>
          <w:tcPr>
            <w:tcW w:w="1129" w:type="dxa"/>
            <w:tcBorders>
              <w:left w:val="single" w:sz="4" w:space="0" w:color="auto"/>
              <w:right w:val="single" w:sz="4" w:space="0" w:color="auto"/>
            </w:tcBorders>
            <w:shd w:val="clear" w:color="auto" w:fill="F2F2F2" w:themeFill="background1" w:themeFillShade="F2"/>
          </w:tcPr>
          <w:p w14:paraId="6135B5CF" w14:textId="77777777" w:rsidR="004D0DEA" w:rsidRPr="00660E21" w:rsidRDefault="004D0DEA" w:rsidP="00375F63">
            <w:pPr>
              <w:pStyle w:val="TableBody"/>
              <w:keepNext/>
              <w:keepLines/>
              <w:rPr>
                <w:rFonts w:cs="Arial"/>
                <w:szCs w:val="20"/>
              </w:rPr>
            </w:pPr>
            <w:r w:rsidRPr="00660E21">
              <w:rPr>
                <w:rFonts w:cs="Arial"/>
                <w:szCs w:val="20"/>
              </w:rPr>
              <w:t>Yes</w:t>
            </w:r>
          </w:p>
        </w:tc>
        <w:tc>
          <w:tcPr>
            <w:tcW w:w="1554" w:type="dxa"/>
            <w:tcBorders>
              <w:left w:val="single" w:sz="4" w:space="0" w:color="auto"/>
              <w:right w:val="single" w:sz="4" w:space="0" w:color="auto"/>
            </w:tcBorders>
            <w:shd w:val="clear" w:color="auto" w:fill="F2F2F2" w:themeFill="background1" w:themeFillShade="F2"/>
          </w:tcPr>
          <w:p w14:paraId="648C9F49" w14:textId="77777777" w:rsidR="004D0DEA" w:rsidRPr="00660E21" w:rsidRDefault="004D0DEA" w:rsidP="00375F63">
            <w:pPr>
              <w:pStyle w:val="TableBody"/>
              <w:keepNext/>
              <w:keepLines/>
              <w:rPr>
                <w:rFonts w:cs="Arial"/>
                <w:szCs w:val="20"/>
              </w:rPr>
            </w:pPr>
            <w:r w:rsidRPr="00660E21">
              <w:rPr>
                <w:rFonts w:cs="Arial"/>
                <w:szCs w:val="20"/>
              </w:rPr>
              <w:t>Yes</w:t>
            </w:r>
          </w:p>
        </w:tc>
        <w:tc>
          <w:tcPr>
            <w:tcW w:w="1696" w:type="dxa"/>
            <w:tcBorders>
              <w:left w:val="single" w:sz="4" w:space="0" w:color="auto"/>
              <w:right w:val="single" w:sz="4" w:space="0" w:color="auto"/>
            </w:tcBorders>
            <w:shd w:val="clear" w:color="auto" w:fill="F2F2F2" w:themeFill="background1" w:themeFillShade="F2"/>
          </w:tcPr>
          <w:p w14:paraId="01C7B29A" w14:textId="77777777" w:rsidR="004D0DEA" w:rsidRPr="00660E21" w:rsidRDefault="004D0DEA" w:rsidP="00375F63">
            <w:pPr>
              <w:pStyle w:val="TableBody"/>
              <w:keepNext/>
              <w:keepLines/>
              <w:rPr>
                <w:rFonts w:cs="Arial"/>
                <w:szCs w:val="20"/>
              </w:rPr>
            </w:pPr>
            <w:r>
              <w:rPr>
                <w:rFonts w:cs="Arial"/>
                <w:szCs w:val="20"/>
              </w:rPr>
              <w:t>Yes (WiMAX)</w:t>
            </w:r>
          </w:p>
        </w:tc>
        <w:tc>
          <w:tcPr>
            <w:tcW w:w="1154" w:type="dxa"/>
            <w:tcBorders>
              <w:left w:val="single" w:sz="4" w:space="0" w:color="auto"/>
              <w:right w:val="single" w:sz="4" w:space="0" w:color="auto"/>
            </w:tcBorders>
            <w:shd w:val="clear" w:color="auto" w:fill="F2F2F2" w:themeFill="background1" w:themeFillShade="F2"/>
          </w:tcPr>
          <w:p w14:paraId="651B73D1" w14:textId="77777777" w:rsidR="004D0DEA" w:rsidRPr="00660E21" w:rsidRDefault="004D0DEA" w:rsidP="00375F63">
            <w:pPr>
              <w:pStyle w:val="TableBody"/>
              <w:keepNext/>
              <w:keepLines/>
              <w:rPr>
                <w:rFonts w:cs="Arial"/>
                <w:szCs w:val="20"/>
              </w:rPr>
            </w:pPr>
            <w:r w:rsidRPr="00660E21">
              <w:rPr>
                <w:rFonts w:cs="Arial"/>
                <w:szCs w:val="20"/>
              </w:rPr>
              <w:t>Yes</w:t>
            </w:r>
          </w:p>
        </w:tc>
        <w:tc>
          <w:tcPr>
            <w:tcW w:w="1109" w:type="dxa"/>
            <w:tcBorders>
              <w:left w:val="single" w:sz="4" w:space="0" w:color="auto"/>
              <w:right w:val="single" w:sz="4" w:space="0" w:color="auto"/>
            </w:tcBorders>
            <w:shd w:val="clear" w:color="auto" w:fill="F2F2F2" w:themeFill="background1" w:themeFillShade="F2"/>
          </w:tcPr>
          <w:p w14:paraId="693709C5" w14:textId="77777777" w:rsidR="004D0DEA" w:rsidRPr="00660E21" w:rsidRDefault="004D0DEA" w:rsidP="00375F63">
            <w:pPr>
              <w:pStyle w:val="TableBody"/>
              <w:keepNext/>
              <w:keepLines/>
              <w:rPr>
                <w:rFonts w:cs="Arial"/>
                <w:szCs w:val="20"/>
              </w:rPr>
            </w:pPr>
            <w:r w:rsidRPr="00660E21">
              <w:rPr>
                <w:rFonts w:cs="Arial"/>
                <w:szCs w:val="20"/>
              </w:rPr>
              <w:t>No</w:t>
            </w:r>
          </w:p>
        </w:tc>
        <w:tc>
          <w:tcPr>
            <w:tcW w:w="1461" w:type="dxa"/>
            <w:tcBorders>
              <w:left w:val="single" w:sz="4" w:space="0" w:color="auto"/>
              <w:right w:val="single" w:sz="4" w:space="0" w:color="auto"/>
            </w:tcBorders>
            <w:shd w:val="clear" w:color="auto" w:fill="F2F2F2" w:themeFill="background1" w:themeFillShade="F2"/>
          </w:tcPr>
          <w:p w14:paraId="7F7EAA2C" w14:textId="77777777" w:rsidR="004D0DEA" w:rsidRPr="00660E21" w:rsidRDefault="004D0DEA" w:rsidP="00375F63">
            <w:pPr>
              <w:pStyle w:val="TableBody"/>
              <w:keepNext/>
              <w:keepLines/>
              <w:rPr>
                <w:rFonts w:cs="Arial"/>
                <w:szCs w:val="20"/>
              </w:rPr>
            </w:pPr>
            <w:r w:rsidRPr="00660E21">
              <w:rPr>
                <w:rFonts w:cs="Arial"/>
                <w:szCs w:val="20"/>
              </w:rPr>
              <w:t>46 countries have identified for IMT</w:t>
            </w:r>
          </w:p>
        </w:tc>
      </w:tr>
      <w:tr w:rsidR="004D0DEA" w:rsidRPr="006D46E5" w14:paraId="3B3688FD" w14:textId="77777777" w:rsidTr="000A7B0D">
        <w:trPr>
          <w:tblHeader/>
        </w:trPr>
        <w:tc>
          <w:tcPr>
            <w:tcW w:w="1531" w:type="dxa"/>
            <w:tcBorders>
              <w:left w:val="single" w:sz="4" w:space="0" w:color="auto"/>
              <w:right w:val="single" w:sz="4" w:space="0" w:color="auto"/>
            </w:tcBorders>
            <w:shd w:val="clear" w:color="auto" w:fill="FFFFFF" w:themeFill="background1"/>
          </w:tcPr>
          <w:p w14:paraId="4C6A4430" w14:textId="77777777" w:rsidR="004D0DEA" w:rsidRPr="00E248AD" w:rsidRDefault="004D0DEA" w:rsidP="00375F63">
            <w:pPr>
              <w:pStyle w:val="TableBody"/>
              <w:keepNext/>
              <w:keepLines/>
              <w:spacing w:after="80"/>
              <w:rPr>
                <w:rFonts w:cs="Arial"/>
                <w:szCs w:val="20"/>
              </w:rPr>
            </w:pPr>
            <w:r>
              <w:rPr>
                <w:rFonts w:cs="Arial"/>
                <w:szCs w:val="20"/>
              </w:rPr>
              <w:t>4.9 GHz</w:t>
            </w:r>
          </w:p>
        </w:tc>
        <w:tc>
          <w:tcPr>
            <w:tcW w:w="1129" w:type="dxa"/>
            <w:tcBorders>
              <w:left w:val="single" w:sz="4" w:space="0" w:color="auto"/>
              <w:right w:val="single" w:sz="4" w:space="0" w:color="auto"/>
            </w:tcBorders>
            <w:shd w:val="clear" w:color="auto" w:fill="FFFFFF" w:themeFill="background1"/>
          </w:tcPr>
          <w:p w14:paraId="23C6B11E" w14:textId="77777777" w:rsidR="004D0DEA" w:rsidRPr="00660E21" w:rsidRDefault="004D0DEA" w:rsidP="00375F63">
            <w:pPr>
              <w:pStyle w:val="TableBody"/>
              <w:keepNext/>
              <w:keepLines/>
              <w:rPr>
                <w:rFonts w:cs="Arial"/>
                <w:szCs w:val="20"/>
              </w:rPr>
            </w:pPr>
            <w:r w:rsidRPr="00660E21">
              <w:rPr>
                <w:rFonts w:cs="Arial"/>
                <w:szCs w:val="20"/>
              </w:rPr>
              <w:t>Yes</w:t>
            </w:r>
          </w:p>
        </w:tc>
        <w:tc>
          <w:tcPr>
            <w:tcW w:w="1554" w:type="dxa"/>
            <w:tcBorders>
              <w:left w:val="single" w:sz="4" w:space="0" w:color="auto"/>
              <w:right w:val="single" w:sz="4" w:space="0" w:color="auto"/>
            </w:tcBorders>
            <w:shd w:val="clear" w:color="auto" w:fill="FFFFFF" w:themeFill="background1"/>
          </w:tcPr>
          <w:p w14:paraId="188590E9" w14:textId="77777777" w:rsidR="004D0DEA" w:rsidRPr="00660E21" w:rsidRDefault="004D0DEA" w:rsidP="00375F63">
            <w:pPr>
              <w:pStyle w:val="TableBody"/>
              <w:keepNext/>
              <w:keepLines/>
              <w:rPr>
                <w:rFonts w:cs="Arial"/>
                <w:szCs w:val="20"/>
              </w:rPr>
            </w:pPr>
            <w:r w:rsidRPr="00660E21">
              <w:rPr>
                <w:rFonts w:cs="Arial"/>
                <w:szCs w:val="20"/>
              </w:rPr>
              <w:t>Yes</w:t>
            </w:r>
          </w:p>
        </w:tc>
        <w:tc>
          <w:tcPr>
            <w:tcW w:w="1696" w:type="dxa"/>
            <w:tcBorders>
              <w:left w:val="single" w:sz="4" w:space="0" w:color="auto"/>
              <w:right w:val="single" w:sz="4" w:space="0" w:color="auto"/>
            </w:tcBorders>
            <w:shd w:val="clear" w:color="auto" w:fill="FFFFFF" w:themeFill="background1"/>
          </w:tcPr>
          <w:p w14:paraId="5714F949" w14:textId="77777777" w:rsidR="004D0DEA" w:rsidRPr="00660E21" w:rsidRDefault="004D0DEA" w:rsidP="00375F63">
            <w:pPr>
              <w:pStyle w:val="TableBody"/>
              <w:keepNext/>
              <w:keepLines/>
              <w:rPr>
                <w:rFonts w:cs="Arial"/>
                <w:szCs w:val="20"/>
              </w:rPr>
            </w:pPr>
            <w:r>
              <w:rPr>
                <w:rFonts w:cs="Arial"/>
                <w:szCs w:val="20"/>
              </w:rPr>
              <w:t>Yes (RLAN)</w:t>
            </w:r>
          </w:p>
        </w:tc>
        <w:tc>
          <w:tcPr>
            <w:tcW w:w="1154" w:type="dxa"/>
            <w:tcBorders>
              <w:left w:val="single" w:sz="4" w:space="0" w:color="auto"/>
              <w:right w:val="single" w:sz="4" w:space="0" w:color="auto"/>
            </w:tcBorders>
            <w:shd w:val="clear" w:color="auto" w:fill="FFFFFF" w:themeFill="background1"/>
          </w:tcPr>
          <w:p w14:paraId="5AAC39AA" w14:textId="77777777" w:rsidR="004D0DEA" w:rsidRPr="00660E21" w:rsidRDefault="004D0DEA" w:rsidP="00375F63">
            <w:pPr>
              <w:pStyle w:val="TableBody"/>
              <w:keepNext/>
              <w:keepLines/>
              <w:rPr>
                <w:rFonts w:cs="Arial"/>
                <w:szCs w:val="20"/>
              </w:rPr>
            </w:pPr>
            <w:r w:rsidRPr="00660E21">
              <w:rPr>
                <w:rFonts w:cs="Arial"/>
                <w:szCs w:val="20"/>
              </w:rPr>
              <w:t>Yes</w:t>
            </w:r>
          </w:p>
        </w:tc>
        <w:tc>
          <w:tcPr>
            <w:tcW w:w="1109" w:type="dxa"/>
            <w:tcBorders>
              <w:left w:val="single" w:sz="4" w:space="0" w:color="auto"/>
              <w:right w:val="single" w:sz="4" w:space="0" w:color="auto"/>
            </w:tcBorders>
            <w:shd w:val="clear" w:color="auto" w:fill="FFFFFF" w:themeFill="background1"/>
          </w:tcPr>
          <w:p w14:paraId="1C2D07ED" w14:textId="77777777" w:rsidR="004D0DEA" w:rsidRPr="00660E21" w:rsidRDefault="004D0DEA" w:rsidP="00375F63">
            <w:pPr>
              <w:pStyle w:val="TableBody"/>
              <w:keepNext/>
              <w:keepLines/>
              <w:rPr>
                <w:rFonts w:cs="Arial"/>
                <w:szCs w:val="20"/>
              </w:rPr>
            </w:pPr>
            <w:r w:rsidRPr="00660E21">
              <w:rPr>
                <w:rFonts w:cs="Arial"/>
                <w:szCs w:val="20"/>
              </w:rPr>
              <w:t>No</w:t>
            </w:r>
          </w:p>
        </w:tc>
        <w:tc>
          <w:tcPr>
            <w:tcW w:w="1461" w:type="dxa"/>
            <w:tcBorders>
              <w:left w:val="single" w:sz="4" w:space="0" w:color="auto"/>
              <w:right w:val="single" w:sz="4" w:space="0" w:color="auto"/>
            </w:tcBorders>
            <w:shd w:val="clear" w:color="auto" w:fill="FFFFFF" w:themeFill="background1"/>
          </w:tcPr>
          <w:p w14:paraId="0695C86C" w14:textId="77777777" w:rsidR="004D0DEA" w:rsidRPr="00660E21" w:rsidRDefault="004D0DEA" w:rsidP="00375F63">
            <w:pPr>
              <w:pStyle w:val="TableBody"/>
              <w:keepNext/>
              <w:keepLines/>
              <w:rPr>
                <w:rFonts w:cs="Arial"/>
                <w:szCs w:val="20"/>
              </w:rPr>
            </w:pPr>
            <w:r>
              <w:rPr>
                <w:rFonts w:cs="Arial"/>
                <w:szCs w:val="20"/>
              </w:rPr>
              <w:t>RLAN standards across part of the band</w:t>
            </w:r>
          </w:p>
        </w:tc>
      </w:tr>
      <w:tr w:rsidR="004D0DEA" w:rsidRPr="006D46E5" w14:paraId="5C1FF258" w14:textId="77777777" w:rsidTr="000A7B0D">
        <w:trPr>
          <w:tblHeader/>
        </w:trPr>
        <w:tc>
          <w:tcPr>
            <w:tcW w:w="1531" w:type="dxa"/>
            <w:tcBorders>
              <w:left w:val="single" w:sz="4" w:space="0" w:color="auto"/>
              <w:right w:val="single" w:sz="4" w:space="0" w:color="auto"/>
            </w:tcBorders>
            <w:shd w:val="clear" w:color="auto" w:fill="F2F2F2" w:themeFill="background1" w:themeFillShade="F2"/>
          </w:tcPr>
          <w:p w14:paraId="36321CC4" w14:textId="77777777" w:rsidR="004D0DEA" w:rsidRPr="00660E21" w:rsidRDefault="004D0DEA" w:rsidP="00375F63">
            <w:pPr>
              <w:pStyle w:val="TableBody"/>
              <w:keepNext/>
              <w:keepLines/>
              <w:spacing w:after="80"/>
              <w:rPr>
                <w:rFonts w:cs="Arial"/>
                <w:szCs w:val="20"/>
              </w:rPr>
            </w:pPr>
            <w:r w:rsidRPr="00660E21">
              <w:rPr>
                <w:rFonts w:cs="Arial"/>
                <w:szCs w:val="20"/>
              </w:rPr>
              <w:t xml:space="preserve">WRC-19 </w:t>
            </w:r>
            <w:r>
              <w:rPr>
                <w:rFonts w:cs="Arial"/>
                <w:szCs w:val="20"/>
              </w:rPr>
              <w:t>agenda item</w:t>
            </w:r>
            <w:r w:rsidRPr="00660E21">
              <w:rPr>
                <w:rFonts w:cs="Arial"/>
                <w:szCs w:val="20"/>
              </w:rPr>
              <w:t xml:space="preserve"> 1.16 </w:t>
            </w:r>
            <w:r>
              <w:rPr>
                <w:rFonts w:cs="Arial"/>
                <w:szCs w:val="20"/>
              </w:rPr>
              <w:t>b</w:t>
            </w:r>
            <w:r w:rsidRPr="00660E21">
              <w:rPr>
                <w:rFonts w:cs="Arial"/>
                <w:szCs w:val="20"/>
              </w:rPr>
              <w:t>ands</w:t>
            </w:r>
          </w:p>
        </w:tc>
        <w:tc>
          <w:tcPr>
            <w:tcW w:w="1129" w:type="dxa"/>
            <w:tcBorders>
              <w:left w:val="single" w:sz="4" w:space="0" w:color="auto"/>
              <w:right w:val="single" w:sz="4" w:space="0" w:color="auto"/>
            </w:tcBorders>
            <w:shd w:val="clear" w:color="auto" w:fill="F2F2F2" w:themeFill="background1" w:themeFillShade="F2"/>
          </w:tcPr>
          <w:p w14:paraId="3B86504A" w14:textId="77777777" w:rsidR="004D0DEA" w:rsidRPr="00660E21" w:rsidRDefault="004D0DEA" w:rsidP="00375F63">
            <w:pPr>
              <w:pStyle w:val="TableBody"/>
              <w:keepNext/>
              <w:keepLines/>
              <w:rPr>
                <w:rFonts w:cs="Arial"/>
                <w:szCs w:val="20"/>
              </w:rPr>
            </w:pPr>
            <w:r w:rsidRPr="00660E21">
              <w:rPr>
                <w:rFonts w:cs="Arial"/>
                <w:szCs w:val="20"/>
              </w:rPr>
              <w:t>Yes</w:t>
            </w:r>
          </w:p>
        </w:tc>
        <w:tc>
          <w:tcPr>
            <w:tcW w:w="1554" w:type="dxa"/>
            <w:tcBorders>
              <w:left w:val="single" w:sz="4" w:space="0" w:color="auto"/>
              <w:right w:val="single" w:sz="4" w:space="0" w:color="auto"/>
            </w:tcBorders>
            <w:shd w:val="clear" w:color="auto" w:fill="F2F2F2" w:themeFill="background1" w:themeFillShade="F2"/>
          </w:tcPr>
          <w:p w14:paraId="2AC2EC7E" w14:textId="77777777" w:rsidR="004D0DEA" w:rsidRPr="00660E21" w:rsidRDefault="004D0DEA" w:rsidP="00375F63">
            <w:pPr>
              <w:pStyle w:val="TableBody"/>
              <w:keepNext/>
              <w:keepLines/>
              <w:rPr>
                <w:rFonts w:cs="Arial"/>
                <w:szCs w:val="20"/>
              </w:rPr>
            </w:pPr>
            <w:r>
              <w:rPr>
                <w:rFonts w:cs="Arial"/>
                <w:szCs w:val="20"/>
              </w:rPr>
              <w:t>Potential</w:t>
            </w:r>
          </w:p>
          <w:p w14:paraId="12F76DCD" w14:textId="77777777" w:rsidR="004D0DEA" w:rsidRPr="00660E21" w:rsidRDefault="004D0DEA" w:rsidP="00375F63">
            <w:pPr>
              <w:pStyle w:val="TableBody"/>
              <w:keepNext/>
              <w:keepLines/>
              <w:rPr>
                <w:rFonts w:cs="Arial"/>
                <w:szCs w:val="20"/>
              </w:rPr>
            </w:pPr>
            <w:r>
              <w:rPr>
                <w:rFonts w:cs="Arial"/>
                <w:szCs w:val="20"/>
              </w:rPr>
              <w:t>(</w:t>
            </w:r>
            <w:r w:rsidRPr="00660E21">
              <w:rPr>
                <w:rFonts w:cs="Arial"/>
                <w:szCs w:val="20"/>
              </w:rPr>
              <w:t>WRC-19</w:t>
            </w:r>
            <w:r>
              <w:rPr>
                <w:rFonts w:cs="Arial"/>
                <w:szCs w:val="20"/>
              </w:rPr>
              <w:t xml:space="preserve"> agenda item)</w:t>
            </w:r>
          </w:p>
        </w:tc>
        <w:tc>
          <w:tcPr>
            <w:tcW w:w="1696" w:type="dxa"/>
            <w:tcBorders>
              <w:left w:val="single" w:sz="4" w:space="0" w:color="auto"/>
              <w:right w:val="single" w:sz="4" w:space="0" w:color="auto"/>
            </w:tcBorders>
            <w:shd w:val="clear" w:color="auto" w:fill="F2F2F2" w:themeFill="background1" w:themeFillShade="F2"/>
          </w:tcPr>
          <w:p w14:paraId="393C04A6" w14:textId="77777777" w:rsidR="004D0DEA" w:rsidRPr="00660E21" w:rsidRDefault="004D0DEA" w:rsidP="00375F63">
            <w:pPr>
              <w:pStyle w:val="TableBody"/>
              <w:keepNext/>
              <w:keepLines/>
              <w:rPr>
                <w:rFonts w:cs="Arial"/>
                <w:szCs w:val="20"/>
              </w:rPr>
            </w:pPr>
            <w:r>
              <w:rPr>
                <w:rFonts w:cs="Arial"/>
                <w:szCs w:val="20"/>
              </w:rPr>
              <w:t>Yes (RLAN)</w:t>
            </w:r>
          </w:p>
        </w:tc>
        <w:tc>
          <w:tcPr>
            <w:tcW w:w="1154" w:type="dxa"/>
            <w:tcBorders>
              <w:left w:val="single" w:sz="4" w:space="0" w:color="auto"/>
              <w:right w:val="single" w:sz="4" w:space="0" w:color="auto"/>
            </w:tcBorders>
            <w:shd w:val="clear" w:color="auto" w:fill="F2F2F2" w:themeFill="background1" w:themeFillShade="F2"/>
          </w:tcPr>
          <w:p w14:paraId="4E8B3077" w14:textId="77777777" w:rsidR="004D0DEA" w:rsidRPr="00660E21" w:rsidRDefault="004D0DEA" w:rsidP="00375F63">
            <w:pPr>
              <w:pStyle w:val="TableBody"/>
              <w:keepNext/>
              <w:keepLines/>
              <w:rPr>
                <w:rFonts w:cs="Arial"/>
                <w:szCs w:val="20"/>
              </w:rPr>
            </w:pPr>
            <w:r>
              <w:rPr>
                <w:rFonts w:cs="Arial"/>
                <w:szCs w:val="20"/>
              </w:rPr>
              <w:t>Yes</w:t>
            </w:r>
          </w:p>
        </w:tc>
        <w:tc>
          <w:tcPr>
            <w:tcW w:w="1109" w:type="dxa"/>
            <w:tcBorders>
              <w:left w:val="single" w:sz="4" w:space="0" w:color="auto"/>
              <w:right w:val="single" w:sz="4" w:space="0" w:color="auto"/>
            </w:tcBorders>
            <w:shd w:val="clear" w:color="auto" w:fill="F2F2F2" w:themeFill="background1" w:themeFillShade="F2"/>
          </w:tcPr>
          <w:p w14:paraId="4CCF2F1B" w14:textId="77777777" w:rsidR="004D0DEA" w:rsidRPr="00660E21" w:rsidRDefault="004D0DEA" w:rsidP="00375F63">
            <w:pPr>
              <w:pStyle w:val="TableBody"/>
              <w:keepNext/>
              <w:keepLines/>
              <w:rPr>
                <w:rFonts w:cs="Arial"/>
                <w:szCs w:val="20"/>
              </w:rPr>
            </w:pPr>
            <w:r w:rsidRPr="00660E21">
              <w:rPr>
                <w:rFonts w:cs="Arial"/>
                <w:szCs w:val="20"/>
              </w:rPr>
              <w:t>Yes</w:t>
            </w:r>
          </w:p>
        </w:tc>
        <w:tc>
          <w:tcPr>
            <w:tcW w:w="1461" w:type="dxa"/>
            <w:tcBorders>
              <w:left w:val="single" w:sz="4" w:space="0" w:color="auto"/>
              <w:right w:val="single" w:sz="4" w:space="0" w:color="auto"/>
            </w:tcBorders>
            <w:shd w:val="clear" w:color="auto" w:fill="F2F2F2" w:themeFill="background1" w:themeFillShade="F2"/>
          </w:tcPr>
          <w:p w14:paraId="434EEB89" w14:textId="77777777" w:rsidR="004D0DEA" w:rsidRDefault="004D0DEA" w:rsidP="00375F63">
            <w:pPr>
              <w:pStyle w:val="TableBody"/>
              <w:keepNext/>
              <w:keepLines/>
              <w:spacing w:after="80"/>
              <w:rPr>
                <w:rFonts w:cs="Arial"/>
                <w:szCs w:val="20"/>
              </w:rPr>
            </w:pPr>
            <w:r w:rsidRPr="00660E21">
              <w:rPr>
                <w:rFonts w:cs="Arial"/>
                <w:szCs w:val="20"/>
              </w:rPr>
              <w:t>Increased demand for RLAN spectrum</w:t>
            </w:r>
          </w:p>
          <w:p w14:paraId="45AEC09C" w14:textId="77777777" w:rsidR="004D0DEA" w:rsidRPr="00660E21" w:rsidRDefault="004D0DEA" w:rsidP="00375F63">
            <w:pPr>
              <w:pStyle w:val="TableBody"/>
              <w:keepNext/>
              <w:keepLines/>
              <w:rPr>
                <w:rFonts w:cs="Arial"/>
                <w:szCs w:val="20"/>
              </w:rPr>
            </w:pPr>
            <w:r>
              <w:rPr>
                <w:rFonts w:cs="Arial"/>
                <w:szCs w:val="20"/>
              </w:rPr>
              <w:t>RLAN standards across some of these bands</w:t>
            </w:r>
          </w:p>
        </w:tc>
      </w:tr>
      <w:tr w:rsidR="000A7B0D" w:rsidRPr="006D46E5" w14:paraId="6E8300D8" w14:textId="77777777" w:rsidTr="000A7B0D">
        <w:trPr>
          <w:tblHeader/>
        </w:trPr>
        <w:tc>
          <w:tcPr>
            <w:tcW w:w="1531" w:type="dxa"/>
            <w:tcBorders>
              <w:left w:val="single" w:sz="4" w:space="0" w:color="auto"/>
              <w:right w:val="single" w:sz="4" w:space="0" w:color="auto"/>
            </w:tcBorders>
            <w:shd w:val="clear" w:color="auto" w:fill="FFFFFF" w:themeFill="background1"/>
          </w:tcPr>
          <w:p w14:paraId="50A0F35C" w14:textId="77777777" w:rsidR="004D0DEA" w:rsidRPr="00660E21" w:rsidRDefault="004D0DEA" w:rsidP="00375F63">
            <w:pPr>
              <w:pStyle w:val="TableBody"/>
              <w:keepNext/>
              <w:keepLines/>
              <w:rPr>
                <w:rFonts w:cs="Arial"/>
                <w:szCs w:val="20"/>
              </w:rPr>
            </w:pPr>
            <w:r w:rsidRPr="00660E21">
              <w:rPr>
                <w:rFonts w:cs="Arial"/>
                <w:szCs w:val="20"/>
              </w:rPr>
              <w:t xml:space="preserve">WRC-19 </w:t>
            </w:r>
            <w:r>
              <w:rPr>
                <w:rFonts w:cs="Arial"/>
                <w:szCs w:val="20"/>
              </w:rPr>
              <w:t>agenda item</w:t>
            </w:r>
            <w:r w:rsidRPr="00660E21">
              <w:rPr>
                <w:rFonts w:cs="Arial"/>
                <w:szCs w:val="20"/>
              </w:rPr>
              <w:t xml:space="preserve"> 1.13 </w:t>
            </w:r>
            <w:r>
              <w:rPr>
                <w:rFonts w:cs="Arial"/>
                <w:szCs w:val="20"/>
              </w:rPr>
              <w:t>b</w:t>
            </w:r>
            <w:r w:rsidRPr="00660E21">
              <w:rPr>
                <w:rFonts w:cs="Arial"/>
                <w:szCs w:val="20"/>
              </w:rPr>
              <w:t>ands</w:t>
            </w:r>
          </w:p>
        </w:tc>
        <w:tc>
          <w:tcPr>
            <w:tcW w:w="1129" w:type="dxa"/>
            <w:tcBorders>
              <w:left w:val="single" w:sz="4" w:space="0" w:color="auto"/>
              <w:right w:val="single" w:sz="4" w:space="0" w:color="auto"/>
            </w:tcBorders>
            <w:shd w:val="clear" w:color="auto" w:fill="FFFFFF" w:themeFill="background1"/>
          </w:tcPr>
          <w:p w14:paraId="49A4DEA6" w14:textId="77777777" w:rsidR="004D0DEA" w:rsidRPr="00660E21" w:rsidRDefault="004D0DEA" w:rsidP="00375F63">
            <w:pPr>
              <w:pStyle w:val="TableBody"/>
              <w:keepNext/>
              <w:keepLines/>
              <w:rPr>
                <w:rFonts w:cs="Arial"/>
                <w:szCs w:val="20"/>
              </w:rPr>
            </w:pPr>
            <w:r w:rsidRPr="00660E21">
              <w:rPr>
                <w:rFonts w:cs="Arial"/>
                <w:szCs w:val="20"/>
              </w:rPr>
              <w:t>Yes</w:t>
            </w:r>
          </w:p>
        </w:tc>
        <w:tc>
          <w:tcPr>
            <w:tcW w:w="1554" w:type="dxa"/>
            <w:tcBorders>
              <w:left w:val="single" w:sz="4" w:space="0" w:color="auto"/>
              <w:right w:val="single" w:sz="4" w:space="0" w:color="auto"/>
            </w:tcBorders>
            <w:shd w:val="clear" w:color="auto" w:fill="FFFFFF" w:themeFill="background1"/>
          </w:tcPr>
          <w:p w14:paraId="54FE520E" w14:textId="77777777" w:rsidR="004D0DEA" w:rsidRPr="00660E21" w:rsidRDefault="004D0DEA" w:rsidP="00375F63">
            <w:pPr>
              <w:pStyle w:val="TableBody"/>
              <w:keepNext/>
              <w:keepLines/>
              <w:rPr>
                <w:rFonts w:cs="Arial"/>
                <w:szCs w:val="20"/>
              </w:rPr>
            </w:pPr>
            <w:r>
              <w:rPr>
                <w:rFonts w:cs="Arial"/>
                <w:szCs w:val="20"/>
              </w:rPr>
              <w:t>Potential</w:t>
            </w:r>
            <w:r w:rsidR="00184327">
              <w:rPr>
                <w:rFonts w:cs="Arial"/>
                <w:szCs w:val="20"/>
              </w:rPr>
              <w:t xml:space="preserve"> </w:t>
            </w:r>
            <w:r>
              <w:rPr>
                <w:rFonts w:cs="Arial"/>
                <w:szCs w:val="20"/>
              </w:rPr>
              <w:t>(</w:t>
            </w:r>
            <w:r w:rsidRPr="00660E21">
              <w:rPr>
                <w:rFonts w:cs="Arial"/>
                <w:szCs w:val="20"/>
              </w:rPr>
              <w:t>WRC-19</w:t>
            </w:r>
            <w:r w:rsidR="00046674">
              <w:rPr>
                <w:rFonts w:cs="Arial"/>
                <w:szCs w:val="20"/>
              </w:rPr>
              <w:t xml:space="preserve"> </w:t>
            </w:r>
            <w:r>
              <w:rPr>
                <w:rFonts w:cs="Arial"/>
                <w:szCs w:val="20"/>
              </w:rPr>
              <w:t>agenda item)</w:t>
            </w:r>
          </w:p>
        </w:tc>
        <w:tc>
          <w:tcPr>
            <w:tcW w:w="1696" w:type="dxa"/>
            <w:tcBorders>
              <w:left w:val="single" w:sz="4" w:space="0" w:color="auto"/>
              <w:right w:val="single" w:sz="4" w:space="0" w:color="auto"/>
            </w:tcBorders>
            <w:shd w:val="clear" w:color="auto" w:fill="FFFFFF" w:themeFill="background1"/>
          </w:tcPr>
          <w:p w14:paraId="3B9ED56D" w14:textId="77777777" w:rsidR="004D0DEA" w:rsidRPr="00660E21" w:rsidRDefault="004D0DEA" w:rsidP="00375F63">
            <w:pPr>
              <w:pStyle w:val="TableBody"/>
              <w:keepNext/>
              <w:keepLines/>
              <w:rPr>
                <w:rFonts w:cs="Arial"/>
                <w:szCs w:val="20"/>
              </w:rPr>
            </w:pPr>
            <w:r w:rsidRPr="00660E21">
              <w:rPr>
                <w:rFonts w:cs="Arial"/>
                <w:szCs w:val="20"/>
              </w:rPr>
              <w:t>No</w:t>
            </w:r>
          </w:p>
        </w:tc>
        <w:tc>
          <w:tcPr>
            <w:tcW w:w="1154" w:type="dxa"/>
            <w:tcBorders>
              <w:left w:val="single" w:sz="4" w:space="0" w:color="auto"/>
              <w:right w:val="single" w:sz="4" w:space="0" w:color="auto"/>
            </w:tcBorders>
            <w:shd w:val="clear" w:color="auto" w:fill="FFFFFF" w:themeFill="background1"/>
          </w:tcPr>
          <w:p w14:paraId="576E977B" w14:textId="77777777" w:rsidR="004D0DEA" w:rsidRPr="00660E21" w:rsidRDefault="00046674" w:rsidP="00375F63">
            <w:pPr>
              <w:pStyle w:val="TableBody"/>
              <w:keepNext/>
              <w:keepLines/>
              <w:rPr>
                <w:rFonts w:cs="Arial"/>
                <w:szCs w:val="20"/>
              </w:rPr>
            </w:pPr>
            <w:r>
              <w:rPr>
                <w:rFonts w:cs="Arial"/>
                <w:szCs w:val="20"/>
              </w:rPr>
              <w:t>–</w:t>
            </w:r>
          </w:p>
        </w:tc>
        <w:tc>
          <w:tcPr>
            <w:tcW w:w="1109" w:type="dxa"/>
            <w:tcBorders>
              <w:left w:val="single" w:sz="4" w:space="0" w:color="auto"/>
              <w:right w:val="single" w:sz="4" w:space="0" w:color="auto"/>
            </w:tcBorders>
            <w:shd w:val="clear" w:color="auto" w:fill="FFFFFF" w:themeFill="background1"/>
          </w:tcPr>
          <w:p w14:paraId="48B61E34" w14:textId="77777777" w:rsidR="004D0DEA" w:rsidRPr="00660E21" w:rsidRDefault="004D0DEA" w:rsidP="00375F63">
            <w:pPr>
              <w:pStyle w:val="TableBody"/>
              <w:keepNext/>
              <w:keepLines/>
              <w:rPr>
                <w:rFonts w:cs="Arial"/>
                <w:szCs w:val="20"/>
              </w:rPr>
            </w:pPr>
            <w:r w:rsidRPr="00660E21">
              <w:rPr>
                <w:rFonts w:cs="Arial"/>
                <w:szCs w:val="20"/>
              </w:rPr>
              <w:t>Yes</w:t>
            </w:r>
          </w:p>
        </w:tc>
        <w:tc>
          <w:tcPr>
            <w:tcW w:w="1461" w:type="dxa"/>
            <w:tcBorders>
              <w:left w:val="single" w:sz="4" w:space="0" w:color="auto"/>
              <w:right w:val="single" w:sz="4" w:space="0" w:color="auto"/>
            </w:tcBorders>
            <w:shd w:val="clear" w:color="auto" w:fill="FFFFFF" w:themeFill="background1"/>
          </w:tcPr>
          <w:p w14:paraId="0DB18689" w14:textId="77777777" w:rsidR="004D0DEA" w:rsidRPr="00660E21" w:rsidRDefault="004D0DEA" w:rsidP="00375F63">
            <w:pPr>
              <w:pStyle w:val="TableBody"/>
              <w:keepNext/>
              <w:keepLines/>
              <w:rPr>
                <w:rFonts w:cs="Arial"/>
                <w:szCs w:val="20"/>
              </w:rPr>
            </w:pPr>
            <w:r w:rsidRPr="00660E21">
              <w:rPr>
                <w:rFonts w:cs="Arial"/>
                <w:szCs w:val="20"/>
              </w:rPr>
              <w:t>Significant interest world-wide</w:t>
            </w:r>
          </w:p>
        </w:tc>
      </w:tr>
      <w:tr w:rsidR="004D0DEA" w:rsidRPr="006D46E5" w14:paraId="1079FF64" w14:textId="77777777" w:rsidTr="000A7B0D">
        <w:trPr>
          <w:tblHeader/>
        </w:trPr>
        <w:tc>
          <w:tcPr>
            <w:tcW w:w="1531" w:type="dxa"/>
            <w:tcBorders>
              <w:left w:val="single" w:sz="4" w:space="0" w:color="auto"/>
              <w:right w:val="single" w:sz="4" w:space="0" w:color="auto"/>
            </w:tcBorders>
            <w:shd w:val="clear" w:color="auto" w:fill="F2F2F2" w:themeFill="background1" w:themeFillShade="F2"/>
          </w:tcPr>
          <w:p w14:paraId="32C45ED2" w14:textId="77777777" w:rsidR="004D0DEA" w:rsidRDefault="004D0DEA" w:rsidP="00375F63">
            <w:pPr>
              <w:pStyle w:val="TableBody"/>
              <w:keepNext/>
              <w:keepLines/>
              <w:spacing w:after="80"/>
              <w:rPr>
                <w:rFonts w:cs="Arial"/>
                <w:szCs w:val="20"/>
              </w:rPr>
            </w:pPr>
            <w:r w:rsidRPr="003E659E">
              <w:rPr>
                <w:rFonts w:cs="Arial"/>
                <w:szCs w:val="20"/>
              </w:rPr>
              <w:t xml:space="preserve">Bands announced </w:t>
            </w:r>
            <w:r w:rsidRPr="00EC1445">
              <w:rPr>
                <w:rFonts w:cs="Arial"/>
                <w:szCs w:val="20"/>
              </w:rPr>
              <w:t>internationally for early implementation of 5G</w:t>
            </w:r>
            <w:r w:rsidDel="00C87649">
              <w:rPr>
                <w:rFonts w:cs="Arial"/>
                <w:szCs w:val="20"/>
              </w:rPr>
              <w:t xml:space="preserve"> </w:t>
            </w:r>
          </w:p>
        </w:tc>
        <w:tc>
          <w:tcPr>
            <w:tcW w:w="1129" w:type="dxa"/>
            <w:tcBorders>
              <w:left w:val="single" w:sz="4" w:space="0" w:color="auto"/>
              <w:right w:val="single" w:sz="4" w:space="0" w:color="auto"/>
            </w:tcBorders>
            <w:shd w:val="clear" w:color="auto" w:fill="F2F2F2" w:themeFill="background1" w:themeFillShade="F2"/>
          </w:tcPr>
          <w:p w14:paraId="32767DF9" w14:textId="77777777" w:rsidR="004D0DEA" w:rsidRDefault="004D0DEA" w:rsidP="00375F63">
            <w:pPr>
              <w:pStyle w:val="TableBody"/>
              <w:keepNext/>
              <w:keepLines/>
              <w:spacing w:after="80"/>
              <w:rPr>
                <w:rFonts w:cs="Arial"/>
                <w:szCs w:val="20"/>
              </w:rPr>
            </w:pPr>
            <w:r>
              <w:rPr>
                <w:rFonts w:cs="Arial"/>
                <w:szCs w:val="20"/>
              </w:rPr>
              <w:t>Unknown at this stage</w:t>
            </w:r>
            <w:r w:rsidDel="00084C3C">
              <w:rPr>
                <w:rFonts w:cs="Arial"/>
                <w:szCs w:val="20"/>
              </w:rPr>
              <w:t xml:space="preserve"> </w:t>
            </w:r>
          </w:p>
        </w:tc>
        <w:tc>
          <w:tcPr>
            <w:tcW w:w="1554" w:type="dxa"/>
            <w:tcBorders>
              <w:left w:val="single" w:sz="4" w:space="0" w:color="auto"/>
              <w:right w:val="single" w:sz="4" w:space="0" w:color="auto"/>
            </w:tcBorders>
            <w:shd w:val="clear" w:color="auto" w:fill="F2F2F2" w:themeFill="background1" w:themeFillShade="F2"/>
          </w:tcPr>
          <w:p w14:paraId="06CB9194" w14:textId="77777777" w:rsidR="004D0DEA" w:rsidRDefault="004D0DEA" w:rsidP="00375F63">
            <w:pPr>
              <w:pStyle w:val="TableBody"/>
              <w:keepNext/>
              <w:keepLines/>
              <w:spacing w:after="80"/>
              <w:rPr>
                <w:rFonts w:cs="Arial"/>
                <w:szCs w:val="20"/>
              </w:rPr>
            </w:pPr>
            <w:r>
              <w:rPr>
                <w:rFonts w:cs="Arial"/>
                <w:szCs w:val="20"/>
              </w:rPr>
              <w:t>No</w:t>
            </w:r>
          </w:p>
        </w:tc>
        <w:tc>
          <w:tcPr>
            <w:tcW w:w="1696" w:type="dxa"/>
            <w:tcBorders>
              <w:left w:val="single" w:sz="4" w:space="0" w:color="auto"/>
              <w:right w:val="single" w:sz="4" w:space="0" w:color="auto"/>
            </w:tcBorders>
            <w:shd w:val="clear" w:color="auto" w:fill="F2F2F2" w:themeFill="background1" w:themeFillShade="F2"/>
          </w:tcPr>
          <w:p w14:paraId="4A9C7F41" w14:textId="77777777" w:rsidR="004D0DEA" w:rsidRDefault="004D0DEA" w:rsidP="00375F63">
            <w:pPr>
              <w:pStyle w:val="TableBody"/>
              <w:keepNext/>
              <w:keepLines/>
              <w:spacing w:after="80"/>
              <w:rPr>
                <w:rFonts w:cs="Arial"/>
                <w:szCs w:val="20"/>
              </w:rPr>
            </w:pPr>
            <w:r>
              <w:rPr>
                <w:rFonts w:cs="Arial"/>
                <w:szCs w:val="20"/>
              </w:rPr>
              <w:t>No</w:t>
            </w:r>
          </w:p>
        </w:tc>
        <w:tc>
          <w:tcPr>
            <w:tcW w:w="1154" w:type="dxa"/>
            <w:tcBorders>
              <w:left w:val="single" w:sz="4" w:space="0" w:color="auto"/>
              <w:right w:val="single" w:sz="4" w:space="0" w:color="auto"/>
            </w:tcBorders>
            <w:shd w:val="clear" w:color="auto" w:fill="F2F2F2" w:themeFill="background1" w:themeFillShade="F2"/>
          </w:tcPr>
          <w:p w14:paraId="70CACC0F" w14:textId="77777777" w:rsidR="004D0DEA" w:rsidRDefault="004D0DEA" w:rsidP="00375F63">
            <w:pPr>
              <w:pStyle w:val="TableBody"/>
              <w:keepNext/>
              <w:keepLines/>
              <w:spacing w:after="80"/>
              <w:rPr>
                <w:rFonts w:cs="Arial"/>
                <w:szCs w:val="20"/>
              </w:rPr>
            </w:pPr>
            <w:r>
              <w:rPr>
                <w:rFonts w:cs="Arial"/>
                <w:szCs w:val="20"/>
              </w:rPr>
              <w:t>Yes</w:t>
            </w:r>
          </w:p>
        </w:tc>
        <w:tc>
          <w:tcPr>
            <w:tcW w:w="1109" w:type="dxa"/>
            <w:tcBorders>
              <w:left w:val="single" w:sz="4" w:space="0" w:color="auto"/>
              <w:right w:val="single" w:sz="4" w:space="0" w:color="auto"/>
            </w:tcBorders>
            <w:shd w:val="clear" w:color="auto" w:fill="F2F2F2" w:themeFill="background1" w:themeFillShade="F2"/>
          </w:tcPr>
          <w:p w14:paraId="2F03476C" w14:textId="77777777" w:rsidR="004D0DEA" w:rsidRDefault="004D0DEA" w:rsidP="00375F63">
            <w:pPr>
              <w:pStyle w:val="TableBody"/>
              <w:keepNext/>
              <w:keepLines/>
              <w:spacing w:after="80"/>
              <w:rPr>
                <w:rFonts w:cs="Arial"/>
                <w:szCs w:val="20"/>
              </w:rPr>
            </w:pPr>
            <w:r>
              <w:rPr>
                <w:rFonts w:cs="Arial"/>
                <w:szCs w:val="20"/>
              </w:rPr>
              <w:t>No</w:t>
            </w:r>
          </w:p>
        </w:tc>
        <w:tc>
          <w:tcPr>
            <w:tcW w:w="1461" w:type="dxa"/>
            <w:tcBorders>
              <w:left w:val="single" w:sz="4" w:space="0" w:color="auto"/>
              <w:right w:val="single" w:sz="4" w:space="0" w:color="auto"/>
            </w:tcBorders>
            <w:shd w:val="clear" w:color="auto" w:fill="F2F2F2" w:themeFill="background1" w:themeFillShade="F2"/>
          </w:tcPr>
          <w:p w14:paraId="2BD7CA56" w14:textId="77777777" w:rsidR="004D0DEA" w:rsidRDefault="004D0DEA" w:rsidP="00375F63">
            <w:pPr>
              <w:pStyle w:val="TableBody"/>
              <w:keepNext/>
              <w:keepLines/>
              <w:spacing w:after="80"/>
              <w:rPr>
                <w:rFonts w:cs="Arial"/>
                <w:szCs w:val="20"/>
              </w:rPr>
            </w:pPr>
            <w:r>
              <w:rPr>
                <w:rFonts w:cs="Arial"/>
                <w:szCs w:val="20"/>
              </w:rPr>
              <w:t xml:space="preserve">In the US, the FCC has announced these bands will be released for 5G in the US </w:t>
            </w:r>
          </w:p>
        </w:tc>
      </w:tr>
      <w:tr w:rsidR="004D0DEA" w:rsidRPr="006D46E5" w14:paraId="6CDF5426" w14:textId="77777777" w:rsidTr="000A7B0D">
        <w:trPr>
          <w:tblHeader/>
        </w:trPr>
        <w:tc>
          <w:tcPr>
            <w:tcW w:w="1531" w:type="dxa"/>
            <w:tcBorders>
              <w:left w:val="single" w:sz="4" w:space="0" w:color="auto"/>
              <w:right w:val="single" w:sz="4" w:space="0" w:color="auto"/>
            </w:tcBorders>
            <w:shd w:val="clear" w:color="auto" w:fill="FFFFFF" w:themeFill="background1"/>
          </w:tcPr>
          <w:p w14:paraId="33475102" w14:textId="77777777" w:rsidR="004D0DEA" w:rsidRDefault="004D0DEA" w:rsidP="00375F63">
            <w:pPr>
              <w:pStyle w:val="TableBody"/>
              <w:keepNext/>
              <w:keepLines/>
              <w:rPr>
                <w:rFonts w:cs="Arial"/>
                <w:szCs w:val="20"/>
              </w:rPr>
            </w:pPr>
            <w:r>
              <w:rPr>
                <w:rFonts w:cs="Arial"/>
              </w:rPr>
              <w:t>Additional bands being considered internationally for 5G</w:t>
            </w:r>
          </w:p>
        </w:tc>
        <w:tc>
          <w:tcPr>
            <w:tcW w:w="1129" w:type="dxa"/>
            <w:tcBorders>
              <w:left w:val="single" w:sz="4" w:space="0" w:color="auto"/>
              <w:right w:val="single" w:sz="4" w:space="0" w:color="auto"/>
            </w:tcBorders>
            <w:shd w:val="clear" w:color="auto" w:fill="FFFFFF" w:themeFill="background1"/>
          </w:tcPr>
          <w:p w14:paraId="51FB7D9C" w14:textId="77777777" w:rsidR="004D0DEA" w:rsidRDefault="004D0DEA" w:rsidP="00375F63">
            <w:pPr>
              <w:pStyle w:val="TableBody"/>
              <w:keepNext/>
              <w:keepLines/>
              <w:rPr>
                <w:rFonts w:cs="Arial"/>
                <w:szCs w:val="20"/>
              </w:rPr>
            </w:pPr>
            <w:r>
              <w:rPr>
                <w:rFonts w:cs="Arial"/>
                <w:szCs w:val="20"/>
              </w:rPr>
              <w:t>Unknown at this stage</w:t>
            </w:r>
          </w:p>
        </w:tc>
        <w:tc>
          <w:tcPr>
            <w:tcW w:w="1554" w:type="dxa"/>
            <w:tcBorders>
              <w:left w:val="single" w:sz="4" w:space="0" w:color="auto"/>
              <w:right w:val="single" w:sz="4" w:space="0" w:color="auto"/>
            </w:tcBorders>
            <w:shd w:val="clear" w:color="auto" w:fill="FFFFFF" w:themeFill="background1"/>
          </w:tcPr>
          <w:p w14:paraId="380EB93E" w14:textId="77777777" w:rsidR="004D0DEA" w:rsidRDefault="004D0DEA" w:rsidP="00375F63">
            <w:pPr>
              <w:pStyle w:val="TableBody"/>
              <w:keepNext/>
              <w:keepLines/>
              <w:rPr>
                <w:rFonts w:cs="Arial"/>
                <w:szCs w:val="20"/>
              </w:rPr>
            </w:pPr>
            <w:r>
              <w:rPr>
                <w:rFonts w:cs="Arial"/>
                <w:szCs w:val="20"/>
              </w:rPr>
              <w:t>No</w:t>
            </w:r>
          </w:p>
        </w:tc>
        <w:tc>
          <w:tcPr>
            <w:tcW w:w="1696" w:type="dxa"/>
            <w:tcBorders>
              <w:left w:val="single" w:sz="4" w:space="0" w:color="auto"/>
              <w:right w:val="single" w:sz="4" w:space="0" w:color="auto"/>
            </w:tcBorders>
            <w:shd w:val="clear" w:color="auto" w:fill="FFFFFF" w:themeFill="background1"/>
          </w:tcPr>
          <w:p w14:paraId="27E544C2" w14:textId="77777777" w:rsidR="004D0DEA" w:rsidRDefault="004D0DEA" w:rsidP="00375F63">
            <w:pPr>
              <w:pStyle w:val="TableBody"/>
              <w:keepNext/>
              <w:keepLines/>
              <w:rPr>
                <w:rFonts w:cs="Arial"/>
                <w:szCs w:val="20"/>
              </w:rPr>
            </w:pPr>
            <w:r>
              <w:rPr>
                <w:rFonts w:cs="Arial"/>
                <w:szCs w:val="20"/>
              </w:rPr>
              <w:t>No</w:t>
            </w:r>
          </w:p>
        </w:tc>
        <w:tc>
          <w:tcPr>
            <w:tcW w:w="1154" w:type="dxa"/>
            <w:tcBorders>
              <w:left w:val="single" w:sz="4" w:space="0" w:color="auto"/>
              <w:right w:val="single" w:sz="4" w:space="0" w:color="auto"/>
            </w:tcBorders>
            <w:shd w:val="clear" w:color="auto" w:fill="FFFFFF" w:themeFill="background1"/>
          </w:tcPr>
          <w:p w14:paraId="218B9A06" w14:textId="77777777" w:rsidR="004D0DEA" w:rsidRDefault="004D0DEA" w:rsidP="00375F63">
            <w:pPr>
              <w:pStyle w:val="TableBody"/>
              <w:keepNext/>
              <w:keepLines/>
              <w:rPr>
                <w:rFonts w:cs="Arial"/>
                <w:szCs w:val="20"/>
              </w:rPr>
            </w:pPr>
            <w:r>
              <w:rPr>
                <w:rFonts w:cs="Arial"/>
                <w:szCs w:val="20"/>
              </w:rPr>
              <w:t>Yes</w:t>
            </w:r>
          </w:p>
        </w:tc>
        <w:tc>
          <w:tcPr>
            <w:tcW w:w="1109" w:type="dxa"/>
            <w:tcBorders>
              <w:left w:val="single" w:sz="4" w:space="0" w:color="auto"/>
              <w:right w:val="single" w:sz="4" w:space="0" w:color="auto"/>
            </w:tcBorders>
            <w:shd w:val="clear" w:color="auto" w:fill="FFFFFF" w:themeFill="background1"/>
          </w:tcPr>
          <w:p w14:paraId="03A09FF7" w14:textId="77777777" w:rsidR="004D0DEA" w:rsidRDefault="004D0DEA" w:rsidP="00375F63">
            <w:pPr>
              <w:pStyle w:val="TableBody"/>
              <w:keepNext/>
              <w:keepLines/>
              <w:rPr>
                <w:rFonts w:cs="Arial"/>
                <w:szCs w:val="20"/>
              </w:rPr>
            </w:pPr>
            <w:r>
              <w:rPr>
                <w:rFonts w:cs="Arial"/>
                <w:szCs w:val="20"/>
              </w:rPr>
              <w:t>No</w:t>
            </w:r>
          </w:p>
        </w:tc>
        <w:tc>
          <w:tcPr>
            <w:tcW w:w="1461" w:type="dxa"/>
            <w:tcBorders>
              <w:left w:val="single" w:sz="4" w:space="0" w:color="auto"/>
              <w:right w:val="single" w:sz="4" w:space="0" w:color="auto"/>
            </w:tcBorders>
            <w:shd w:val="clear" w:color="auto" w:fill="FFFFFF" w:themeFill="background1"/>
          </w:tcPr>
          <w:p w14:paraId="44257AA8" w14:textId="77777777" w:rsidR="004D0DEA" w:rsidRDefault="004D0DEA" w:rsidP="00375F63">
            <w:pPr>
              <w:pStyle w:val="TableBody"/>
              <w:keepNext/>
              <w:keepLines/>
              <w:rPr>
                <w:rFonts w:cs="Arial"/>
                <w:szCs w:val="20"/>
              </w:rPr>
            </w:pPr>
            <w:r>
              <w:rPr>
                <w:rFonts w:cs="Arial"/>
                <w:szCs w:val="20"/>
              </w:rPr>
              <w:t>Korea and the US are considering additional bands for 5G outside the WRC process</w:t>
            </w:r>
          </w:p>
        </w:tc>
      </w:tr>
    </w:tbl>
    <w:p w14:paraId="4EAC1CD5" w14:textId="77777777" w:rsidR="004D0DEA" w:rsidRPr="00046674" w:rsidRDefault="004D0DEA" w:rsidP="00046674">
      <w:pPr>
        <w:pStyle w:val="ACMASpaceaftertable"/>
      </w:pPr>
    </w:p>
    <w:p w14:paraId="3BDAE7ED" w14:textId="77777777" w:rsidR="004D0DEA" w:rsidRPr="005075D7" w:rsidRDefault="004D0DEA" w:rsidP="004D0DEA">
      <w:pPr>
        <w:pStyle w:val="Heading3"/>
      </w:pPr>
      <w:bookmarkStart w:id="352" w:name="_Toc458084575"/>
      <w:bookmarkStart w:id="353" w:name="_Toc458608712"/>
      <w:bookmarkStart w:id="354" w:name="_Toc461108018"/>
      <w:bookmarkStart w:id="355" w:name="_Toc461194845"/>
      <w:bookmarkStart w:id="356" w:name="_Toc461445495"/>
      <w:bookmarkStart w:id="357" w:name="_Toc463351333"/>
      <w:r>
        <w:t>600 MHz (520–694 MHz)</w:t>
      </w:r>
      <w:bookmarkEnd w:id="352"/>
      <w:bookmarkEnd w:id="353"/>
      <w:bookmarkEnd w:id="354"/>
      <w:bookmarkEnd w:id="355"/>
      <w:bookmarkEnd w:id="356"/>
      <w:bookmarkEnd w:id="357"/>
    </w:p>
    <w:p w14:paraId="5800530D" w14:textId="77777777" w:rsidR="004D0DEA" w:rsidRDefault="004D0DEA" w:rsidP="004D0DEA">
      <w:r>
        <w:t xml:space="preserve">At WRC-15, all or part of the 600 MHz band was identified for IMT by the </w:t>
      </w:r>
      <w:r w:rsidRPr="00EB45EF">
        <w:t xml:space="preserve">Bahamas, Barbados, Belize, Canada, Colombia, the </w:t>
      </w:r>
      <w:r w:rsidR="00046674">
        <w:t>US</w:t>
      </w:r>
      <w:r>
        <w:t>,</w:t>
      </w:r>
      <w:r w:rsidRPr="00EB45EF">
        <w:t xml:space="preserve"> Mexico</w:t>
      </w:r>
      <w:r>
        <w:t xml:space="preserve">, </w:t>
      </w:r>
      <w:r>
        <w:rPr>
          <w:lang w:val="en-US"/>
        </w:rPr>
        <w:t xml:space="preserve">Micronesia, the Solomon Islands, Tuvalu, Vanuatu, Bangladesh, Maldives </w:t>
      </w:r>
      <w:r w:rsidRPr="000F064B">
        <w:t>and New Zealand</w:t>
      </w:r>
      <w:r>
        <w:t xml:space="preserve">. The band is being allocated or considered for allocation in countries such as the US and Canada. </w:t>
      </w:r>
    </w:p>
    <w:p w14:paraId="1F7EFF67" w14:textId="77777777" w:rsidR="004D0DEA" w:rsidRDefault="004D0DEA" w:rsidP="004D0DEA">
      <w:r w:rsidRPr="00C3421D">
        <w:t>There is support from domestic mobile broadband interests in pursuing this band for mobile broadband in Australia</w:t>
      </w:r>
      <w:r>
        <w:t>. Mobile broadband interests have argued that the ACMA could take a more proactive interest in the band</w:t>
      </w:r>
      <w:r w:rsidRPr="00C3421D">
        <w:t>.</w:t>
      </w:r>
      <w:r>
        <w:t xml:space="preserve"> This view is encouraged by the outcomes of WRC-15 and the push by </w:t>
      </w:r>
      <w:r w:rsidRPr="00E657B5">
        <w:t xml:space="preserve">the </w:t>
      </w:r>
      <w:r w:rsidRPr="0039046B">
        <w:t>Federal Communications Commission</w:t>
      </w:r>
      <w:r>
        <w:t xml:space="preserve"> (FCC) in the US to conduct incentive auctions in the band. In addition, the Radio Spectrum Policy Group (RSPG) of the European Commission (EC) has also provided a </w:t>
      </w:r>
      <w:hyperlink r:id="rId94" w:history="1">
        <w:r w:rsidRPr="006E585B">
          <w:rPr>
            <w:rStyle w:val="Hyperlink"/>
            <w:rFonts w:cs="Arial"/>
          </w:rPr>
          <w:t>long-term strategy for the future of the UHF band</w:t>
        </w:r>
      </w:hyperlink>
      <w:r w:rsidRPr="0003332A">
        <w:rPr>
          <w:rStyle w:val="Hyperlink"/>
          <w:rFonts w:cs="Arial"/>
          <w:color w:val="auto"/>
          <w:u w:val="none"/>
        </w:rPr>
        <w:t>,</w:t>
      </w:r>
      <w:r w:rsidRPr="0003332A">
        <w:t xml:space="preserve"> </w:t>
      </w:r>
      <w:r>
        <w:t xml:space="preserve">which suggests the band remain available for broadcasting services until at least 2030. It also recommends that the band should be available for downlink-only broadband services on a secondary basis. This outcome is reflected in the </w:t>
      </w:r>
      <w:hyperlink r:id="rId95" w:history="1">
        <w:r w:rsidRPr="00765224">
          <w:rPr>
            <w:rStyle w:val="Hyperlink"/>
            <w:rFonts w:cs="Arial"/>
          </w:rPr>
          <w:t>EC’s inception assessment</w:t>
        </w:r>
      </w:hyperlink>
      <w:r>
        <w:t>, but a final decision is still pending.</w:t>
      </w:r>
    </w:p>
    <w:p w14:paraId="6618D88D" w14:textId="77777777" w:rsidR="004D0DEA" w:rsidRPr="00E7054F" w:rsidRDefault="004D0DEA" w:rsidP="004D0DEA">
      <w:pPr>
        <w:rPr>
          <w:rFonts w:cs="Arial"/>
          <w:szCs w:val="20"/>
          <w:lang w:val="en"/>
        </w:rPr>
      </w:pPr>
      <w:r>
        <w:rPr>
          <w:rFonts w:cs="Arial"/>
          <w:szCs w:val="20"/>
          <w:lang w:val="en"/>
        </w:rPr>
        <w:t xml:space="preserve">The 600 MHz band is currently used by digital television services in Australia and is available for some services </w:t>
      </w:r>
      <w:r w:rsidRPr="00E7054F">
        <w:rPr>
          <w:rFonts w:cs="Arial"/>
          <w:szCs w:val="20"/>
          <w:lang w:val="en"/>
        </w:rPr>
        <w:t xml:space="preserve">under the </w:t>
      </w:r>
      <w:hyperlink r:id="rId96" w:history="1">
        <w:r w:rsidRPr="00E7054F">
          <w:rPr>
            <w:rStyle w:val="Hyperlink"/>
            <w:rFonts w:cs="Arial"/>
            <w:szCs w:val="20"/>
            <w:lang w:val="en"/>
          </w:rPr>
          <w:t>Radiocommunications (Low Interference Potential Devices) Class Licence 2015</w:t>
        </w:r>
      </w:hyperlink>
      <w:r w:rsidRPr="00E7054F">
        <w:rPr>
          <w:rFonts w:cs="Arial"/>
          <w:szCs w:val="20"/>
          <w:lang w:val="en"/>
        </w:rPr>
        <w:t>.</w:t>
      </w:r>
    </w:p>
    <w:p w14:paraId="623873A9" w14:textId="77777777" w:rsidR="004D0DEA" w:rsidRDefault="004D0DEA" w:rsidP="004D0DEA">
      <w:pPr>
        <w:rPr>
          <w:rFonts w:cs="Arial"/>
        </w:rPr>
      </w:pPr>
      <w:r>
        <w:rPr>
          <w:rFonts w:cs="Arial"/>
          <w:szCs w:val="20"/>
          <w:lang w:val="en"/>
        </w:rPr>
        <w:t>C</w:t>
      </w:r>
      <w:r w:rsidRPr="008B68FC">
        <w:rPr>
          <w:rFonts w:cs="Arial"/>
          <w:szCs w:val="20"/>
          <w:lang w:val="en"/>
        </w:rPr>
        <w:t xml:space="preserve">onsistent with the </w:t>
      </w:r>
      <w:r>
        <w:rPr>
          <w:rFonts w:cs="Arial"/>
          <w:szCs w:val="20"/>
          <w:lang w:val="en"/>
        </w:rPr>
        <w:t xml:space="preserve">Australian </w:t>
      </w:r>
      <w:r w:rsidRPr="008B68FC">
        <w:rPr>
          <w:rFonts w:cs="Arial"/>
          <w:szCs w:val="20"/>
          <w:lang w:val="en"/>
        </w:rPr>
        <w:t xml:space="preserve">Government’s interest in </w:t>
      </w:r>
      <w:r>
        <w:rPr>
          <w:rFonts w:cs="Arial"/>
          <w:szCs w:val="20"/>
          <w:lang w:val="en"/>
        </w:rPr>
        <w:t xml:space="preserve">considering the potential for long-term availability of the television ‘sixth channel’ for non-broadcasting uses and whether there is </w:t>
      </w:r>
      <w:r w:rsidRPr="008B68FC">
        <w:rPr>
          <w:rFonts w:cs="Arial"/>
          <w:szCs w:val="20"/>
          <w:lang w:val="en"/>
        </w:rPr>
        <w:t>the possibility of a second digital dividend</w:t>
      </w:r>
      <w:r>
        <w:rPr>
          <w:rStyle w:val="FootnoteReference"/>
          <w:rFonts w:cs="Arial"/>
          <w:szCs w:val="20"/>
          <w:lang w:val="en"/>
        </w:rPr>
        <w:footnoteReference w:id="33"/>
      </w:r>
      <w:r>
        <w:rPr>
          <w:rFonts w:cs="Arial"/>
          <w:szCs w:val="20"/>
          <w:lang w:val="en"/>
        </w:rPr>
        <w:t>,</w:t>
      </w:r>
      <w:r w:rsidDel="000476F2">
        <w:rPr>
          <w:rFonts w:cs="Arial"/>
          <w:szCs w:val="20"/>
          <w:lang w:val="en"/>
        </w:rPr>
        <w:t xml:space="preserve"> </w:t>
      </w:r>
      <w:r>
        <w:rPr>
          <w:rFonts w:cs="Arial"/>
        </w:rPr>
        <w:t>this band will continue to be monitored by the ACMA,</w:t>
      </w:r>
      <w:r w:rsidRPr="00AB3B86" w:rsidDel="000476F2">
        <w:rPr>
          <w:rFonts w:cs="Arial"/>
        </w:rPr>
        <w:t xml:space="preserve"> </w:t>
      </w:r>
      <w:r>
        <w:rPr>
          <w:rFonts w:cs="Arial"/>
        </w:rPr>
        <w:t xml:space="preserve">while noting Australia’s current use of the band for terrestrial broadcasting of digital television. </w:t>
      </w:r>
    </w:p>
    <w:p w14:paraId="2AB9FD74" w14:textId="77777777" w:rsidR="004D0DEA" w:rsidRPr="00E95553" w:rsidRDefault="004D0DEA" w:rsidP="004D0DEA">
      <w:pPr>
        <w:pStyle w:val="BodySubHeader"/>
      </w:pPr>
      <w:r>
        <w:t>Developments since February 2016</w:t>
      </w:r>
    </w:p>
    <w:p w14:paraId="3C3D0390" w14:textId="77777777" w:rsidR="004D0DEA" w:rsidRDefault="004D0DEA" w:rsidP="004D0DEA">
      <w:pPr>
        <w:rPr>
          <w:rFonts w:cs="Arial"/>
        </w:rPr>
      </w:pPr>
      <w:r>
        <w:rPr>
          <w:rFonts w:cs="Arial"/>
        </w:rPr>
        <w:t>The FCC incentive auction began on 29 March 2016. Bidding in the reverse auction began on 31 May 2016 and concluded on 29 June 2016. The forward auction began on 16 August 2016</w:t>
      </w:r>
      <w:r w:rsidR="00046674">
        <w:rPr>
          <w:rFonts w:cs="Arial"/>
        </w:rPr>
        <w:t>,</w:t>
      </w:r>
      <w:r>
        <w:rPr>
          <w:rFonts w:cs="Arial"/>
        </w:rPr>
        <w:t xml:space="preserve"> with 62 applicants qualified to participate</w:t>
      </w:r>
      <w:r w:rsidR="00046674">
        <w:rPr>
          <w:rFonts w:cs="Arial"/>
        </w:rPr>
        <w:t>.</w:t>
      </w:r>
      <w:r>
        <w:rPr>
          <w:rStyle w:val="FootnoteReference"/>
          <w:rFonts w:cs="Arial"/>
        </w:rPr>
        <w:footnoteReference w:id="34"/>
      </w:r>
      <w:r>
        <w:rPr>
          <w:rFonts w:cs="Arial"/>
        </w:rPr>
        <w:t xml:space="preserve"> </w:t>
      </w:r>
    </w:p>
    <w:p w14:paraId="0BBE7C8A" w14:textId="77777777" w:rsidR="004D0DEA" w:rsidRDefault="004D0DEA" w:rsidP="004D0DEA">
      <w:pPr>
        <w:rPr>
          <w:rFonts w:eastAsia="SimSun"/>
          <w:lang w:eastAsia="zh-CN"/>
        </w:rPr>
      </w:pPr>
      <w:r>
        <w:rPr>
          <w:rFonts w:cs="Arial"/>
        </w:rPr>
        <w:t xml:space="preserve">In February 2016, ITU-R Working Party 5D </w:t>
      </w:r>
      <w:r>
        <w:rPr>
          <w:lang w:eastAsia="zh-CN"/>
        </w:rPr>
        <w:t xml:space="preserve">commenced </w:t>
      </w:r>
      <w:r>
        <w:rPr>
          <w:rFonts w:eastAsia="SimSun"/>
          <w:lang w:eastAsia="zh-CN"/>
        </w:rPr>
        <w:t xml:space="preserve">revision of Recommendation ITU-R M.1036-5 </w:t>
      </w:r>
      <w:r w:rsidRPr="00A35227">
        <w:rPr>
          <w:rFonts w:cs="Arial"/>
        </w:rPr>
        <w:t>on Frequency arrangements for implementation of the terrestrial component of International Mobile Telecommunications (IMT) in the bands identified for IMT in the Radio Regulations (RR)</w:t>
      </w:r>
      <w:r>
        <w:rPr>
          <w:rFonts w:cs="Arial"/>
        </w:rPr>
        <w:t xml:space="preserve">. The draft revision </w:t>
      </w:r>
      <w:r w:rsidRPr="00A35227">
        <w:rPr>
          <w:rFonts w:cs="Arial"/>
        </w:rPr>
        <w:t>include</w:t>
      </w:r>
      <w:r>
        <w:rPr>
          <w:rFonts w:cs="Arial"/>
        </w:rPr>
        <w:t>s arrangements for</w:t>
      </w:r>
      <w:r>
        <w:rPr>
          <w:rFonts w:eastAsia="SimSun"/>
          <w:lang w:eastAsia="zh-CN"/>
        </w:rPr>
        <w:t xml:space="preserve"> the frequency band 470</w:t>
      </w:r>
      <w:r w:rsidR="00046674">
        <w:rPr>
          <w:rFonts w:eastAsia="SimSun"/>
          <w:lang w:eastAsia="zh-CN"/>
        </w:rPr>
        <w:t>–</w:t>
      </w:r>
      <w:r>
        <w:rPr>
          <w:rFonts w:eastAsia="SimSun"/>
          <w:lang w:eastAsia="zh-CN"/>
        </w:rPr>
        <w:t xml:space="preserve">698 MHz. Working Party 5D is aiming to complete the revision in late 2017. </w:t>
      </w:r>
    </w:p>
    <w:p w14:paraId="48305212" w14:textId="59E81F5E" w:rsidR="002111F7" w:rsidRDefault="002111F7" w:rsidP="004D0DEA">
      <w:pPr>
        <w:rPr>
          <w:rFonts w:eastAsia="SimSun"/>
          <w:lang w:eastAsia="zh-CN"/>
        </w:rPr>
      </w:pPr>
      <w:r w:rsidRPr="001637DE">
        <w:rPr>
          <w:rFonts w:eastAsia="SimSun"/>
          <w:lang w:eastAsia="zh-CN"/>
        </w:rPr>
        <w:t>The AWG has a work plan to develop a recommendation on fre</w:t>
      </w:r>
      <w:r w:rsidR="00804AF2">
        <w:rPr>
          <w:rFonts w:eastAsia="SimSun"/>
          <w:lang w:eastAsia="zh-CN"/>
        </w:rPr>
        <w:t>quency arrangements for the 470–</w:t>
      </w:r>
      <w:r w:rsidRPr="001637DE">
        <w:rPr>
          <w:rFonts w:eastAsia="SimSun"/>
          <w:lang w:eastAsia="zh-CN"/>
        </w:rPr>
        <w:t>698 MHz band. The current proposal is to finalise the work in late 2017.</w:t>
      </w:r>
      <w:r>
        <w:rPr>
          <w:rFonts w:eastAsia="SimSun"/>
          <w:lang w:eastAsia="zh-CN"/>
        </w:rPr>
        <w:t xml:space="preserve"> </w:t>
      </w:r>
    </w:p>
    <w:p w14:paraId="00C9460C" w14:textId="77777777" w:rsidR="004D0DEA" w:rsidRPr="00D26DC4" w:rsidRDefault="004D0DEA" w:rsidP="004D0DEA">
      <w:pPr>
        <w:pStyle w:val="BodySubHeader"/>
      </w:pPr>
      <w:r w:rsidRPr="00E95553">
        <w:t>Next steps</w:t>
      </w:r>
    </w:p>
    <w:p w14:paraId="4490F51A" w14:textId="77777777" w:rsidR="004D0DEA" w:rsidRDefault="004D0DEA" w:rsidP="004D0DEA">
      <w:pPr>
        <w:rPr>
          <w:rFonts w:cs="Arial"/>
        </w:rPr>
      </w:pPr>
      <w:r>
        <w:rPr>
          <w:rFonts w:cs="Arial"/>
        </w:rPr>
        <w:t>Given the outcome of WRC-15 and ongoing work internationally, the ACMA will continue to monitor</w:t>
      </w:r>
      <w:r w:rsidDel="00802E60">
        <w:rPr>
          <w:rFonts w:cs="Arial"/>
        </w:rPr>
        <w:t xml:space="preserve"> </w:t>
      </w:r>
      <w:r>
        <w:rPr>
          <w:rFonts w:cs="Arial"/>
        </w:rPr>
        <w:t xml:space="preserve">international developments in the 600 MHz band. In particular, the outcomes of the incentive auction process underway in the US will be of key interest. </w:t>
      </w:r>
    </w:p>
    <w:p w14:paraId="0817CFE0" w14:textId="77777777" w:rsidR="004D0DEA" w:rsidRPr="00AB3B86" w:rsidRDefault="004D0DEA" w:rsidP="004D0DEA">
      <w:pPr>
        <w:rPr>
          <w:rFonts w:cs="Arial"/>
        </w:rPr>
      </w:pPr>
      <w:r>
        <w:rPr>
          <w:rFonts w:cs="Arial"/>
        </w:rPr>
        <w:t>The ACMA will also engage with industry and the government regarding technological evolution of terrestrial digital television, including DVB-T2 and HEVC. Adoption of these technologies is likely to be a pre-requisite for any future reallocation of broadcasting spectrum for non-broadcasting uses, though it is also key to the more efficient use of spectrum by the television industry itself. Both the government and the ACMA have emphasised the availability of ‘sixth channel’ spectrum for trialling the new standards.</w:t>
      </w:r>
    </w:p>
    <w:p w14:paraId="148E72C2" w14:textId="78E81E4E" w:rsidR="004D0DEA" w:rsidRPr="00AB3B86" w:rsidRDefault="004D0DEA" w:rsidP="002B3DF6">
      <w:pPr>
        <w:pStyle w:val="Heading3"/>
        <w:keepLines/>
      </w:pPr>
      <w:bookmarkStart w:id="358" w:name="_Toc458084576"/>
      <w:bookmarkStart w:id="359" w:name="_Toc458608713"/>
      <w:bookmarkStart w:id="360" w:name="_Toc461108019"/>
      <w:bookmarkStart w:id="361" w:name="_Toc461194846"/>
      <w:bookmarkStart w:id="362" w:name="_Toc461445496"/>
      <w:bookmarkStart w:id="363" w:name="_Toc463351334"/>
      <w:r>
        <w:t>3.3 GHz (</w:t>
      </w:r>
      <w:r w:rsidR="005356C6">
        <w:t>3</w:t>
      </w:r>
      <w:r w:rsidRPr="00AB3B86">
        <w:t>300</w:t>
      </w:r>
      <w:r>
        <w:t>–</w:t>
      </w:r>
      <w:r w:rsidR="005356C6">
        <w:t>3</w:t>
      </w:r>
      <w:r w:rsidRPr="00AB3B86">
        <w:t>400 MHz</w:t>
      </w:r>
      <w:r>
        <w:t>)</w:t>
      </w:r>
      <w:bookmarkEnd w:id="358"/>
      <w:bookmarkEnd w:id="359"/>
      <w:bookmarkEnd w:id="360"/>
      <w:bookmarkEnd w:id="361"/>
      <w:bookmarkEnd w:id="362"/>
      <w:bookmarkEnd w:id="363"/>
    </w:p>
    <w:p w14:paraId="37D540AA" w14:textId="77777777" w:rsidR="004D0DEA" w:rsidRDefault="004D0DEA" w:rsidP="002B3DF6">
      <w:pPr>
        <w:keepNext/>
        <w:keepLines/>
        <w:rPr>
          <w:rFonts w:cs="Arial"/>
        </w:rPr>
      </w:pPr>
      <w:r>
        <w:rPr>
          <w:rFonts w:cs="Arial"/>
        </w:rPr>
        <w:t xml:space="preserve">At WRC-15, the 3300–3400 MHz band was identified for IMT by a number of countries including 33 African countries, </w:t>
      </w:r>
      <w:r w:rsidRPr="00383F24">
        <w:rPr>
          <w:rFonts w:cs="Arial"/>
        </w:rPr>
        <w:t>Argentina, Colombia, Costa Rica, Ecuador,</w:t>
      </w:r>
      <w:r>
        <w:rPr>
          <w:rFonts w:cs="Arial"/>
        </w:rPr>
        <w:t xml:space="preserve"> Mexico, </w:t>
      </w:r>
      <w:r w:rsidRPr="00383F24">
        <w:rPr>
          <w:rFonts w:cs="Arial"/>
        </w:rPr>
        <w:t>Uruguay</w:t>
      </w:r>
      <w:r>
        <w:rPr>
          <w:rFonts w:cs="Arial"/>
        </w:rPr>
        <w:t xml:space="preserve">, </w:t>
      </w:r>
      <w:r w:rsidRPr="005075D7">
        <w:rPr>
          <w:rFonts w:cs="Arial"/>
        </w:rPr>
        <w:t>Cambodia, India, Lao PDR, Pakistan, Philippines and Viet</w:t>
      </w:r>
      <w:r>
        <w:rPr>
          <w:rFonts w:cs="Arial"/>
        </w:rPr>
        <w:t>n</w:t>
      </w:r>
      <w:r w:rsidRPr="005075D7">
        <w:rPr>
          <w:rFonts w:cs="Arial"/>
        </w:rPr>
        <w:t>am</w:t>
      </w:r>
      <w:r>
        <w:rPr>
          <w:rFonts w:cs="Arial"/>
        </w:rPr>
        <w:t xml:space="preserve"> (noting a primary mobile allocation was also made in Papua New Guinea). Notably there was also strong interest from China in identifying the band for IMT. This suggests that a viable ecosystem could develop for mobile broadband systems in this band, noting that this band is already a WiMAX profile band, which has been deployed in some countries.</w:t>
      </w:r>
      <w:r>
        <w:rPr>
          <w:rStyle w:val="FootnoteReference"/>
          <w:rFonts w:cs="Arial"/>
        </w:rPr>
        <w:footnoteReference w:id="35"/>
      </w:r>
      <w:r>
        <w:rPr>
          <w:rFonts w:cs="Arial"/>
        </w:rPr>
        <w:t xml:space="preserve"> </w:t>
      </w:r>
    </w:p>
    <w:p w14:paraId="0B1E787A" w14:textId="77777777" w:rsidR="004D0DEA" w:rsidRDefault="004D0DEA" w:rsidP="004D0DEA">
      <w:pPr>
        <w:spacing w:after="80"/>
      </w:pPr>
      <w:r>
        <w:t>The following t</w:t>
      </w:r>
      <w:r w:rsidRPr="00DD3864">
        <w:t xml:space="preserve">ext was also included in </w:t>
      </w:r>
      <w:r>
        <w:t xml:space="preserve">the </w:t>
      </w:r>
      <w:r w:rsidRPr="00E95553">
        <w:rPr>
          <w:i/>
        </w:rPr>
        <w:t>invites ITU-R</w:t>
      </w:r>
      <w:r>
        <w:t xml:space="preserve"> </w:t>
      </w:r>
      <w:r w:rsidRPr="00E248AD">
        <w:t xml:space="preserve">of </w:t>
      </w:r>
      <w:r w:rsidRPr="00E95553">
        <w:t>Resolution</w:t>
      </w:r>
      <w:r w:rsidRPr="00DD3864">
        <w:rPr>
          <w:b/>
        </w:rPr>
        <w:t xml:space="preserve"> 223</w:t>
      </w:r>
      <w:r>
        <w:rPr>
          <w:b/>
        </w:rPr>
        <w:t xml:space="preserve"> (Rev. WRC-15)</w:t>
      </w:r>
      <w:r w:rsidRPr="00E95553">
        <w:t>:</w:t>
      </w:r>
      <w:r w:rsidRPr="00DD3864">
        <w:t xml:space="preserve"> </w:t>
      </w:r>
    </w:p>
    <w:p w14:paraId="2B009512" w14:textId="77777777" w:rsidR="004D0DEA" w:rsidRPr="00E95553" w:rsidRDefault="004D0DEA" w:rsidP="004D0DEA">
      <w:pPr>
        <w:spacing w:after="80"/>
        <w:ind w:left="426" w:hanging="426"/>
        <w:rPr>
          <w:rFonts w:cs="Arial"/>
        </w:rPr>
      </w:pPr>
      <w:r w:rsidRPr="00E248AD">
        <w:rPr>
          <w:rFonts w:cs="Arial"/>
        </w:rPr>
        <w:t>3</w:t>
      </w:r>
      <w:r>
        <w:rPr>
          <w:rFonts w:cs="Arial"/>
        </w:rPr>
        <w:tab/>
      </w:r>
      <w:r w:rsidRPr="00E95553">
        <w:rPr>
          <w:rFonts w:cs="Arial"/>
        </w:rPr>
        <w:t>to further study operational measures to enable the coexistence of IMT and</w:t>
      </w:r>
      <w:r>
        <w:rPr>
          <w:rFonts w:cs="Arial"/>
        </w:rPr>
        <w:t xml:space="preserve"> </w:t>
      </w:r>
      <w:r w:rsidRPr="00E95553">
        <w:rPr>
          <w:rFonts w:cs="Arial"/>
        </w:rPr>
        <w:t>radiolocation service in the frequency band 3300</w:t>
      </w:r>
      <w:r>
        <w:rPr>
          <w:rFonts w:cs="Arial"/>
        </w:rPr>
        <w:t>–</w:t>
      </w:r>
      <w:r w:rsidRPr="00E95553">
        <w:rPr>
          <w:rFonts w:cs="Arial"/>
        </w:rPr>
        <w:t>3400 MHz;</w:t>
      </w:r>
    </w:p>
    <w:p w14:paraId="5063A895" w14:textId="77777777" w:rsidR="004D0DEA" w:rsidRPr="00E95553" w:rsidRDefault="004D0DEA" w:rsidP="004D0DEA">
      <w:pPr>
        <w:spacing w:after="80"/>
        <w:ind w:left="426" w:hanging="426"/>
        <w:rPr>
          <w:rFonts w:cs="Arial"/>
        </w:rPr>
      </w:pPr>
      <w:r w:rsidRPr="00E248AD">
        <w:rPr>
          <w:rFonts w:cs="Arial"/>
        </w:rPr>
        <w:t>4</w:t>
      </w:r>
      <w:r>
        <w:rPr>
          <w:rFonts w:cs="Arial"/>
        </w:rPr>
        <w:tab/>
      </w:r>
      <w:r w:rsidRPr="00E95553">
        <w:rPr>
          <w:rFonts w:cs="Arial"/>
        </w:rPr>
        <w:t>to develop an ITU-R Recommendation providing tec</w:t>
      </w:r>
      <w:r w:rsidRPr="00E248AD">
        <w:rPr>
          <w:rFonts w:cs="Arial"/>
        </w:rPr>
        <w:t>hnical and operational measures</w:t>
      </w:r>
      <w:r>
        <w:rPr>
          <w:rFonts w:cs="Arial"/>
        </w:rPr>
        <w:t xml:space="preserve"> </w:t>
      </w:r>
      <w:r w:rsidRPr="00E95553">
        <w:rPr>
          <w:rFonts w:cs="Arial"/>
        </w:rPr>
        <w:t>regarding adjacent band compatibility between IMT systems op</w:t>
      </w:r>
      <w:r w:rsidRPr="00E248AD">
        <w:rPr>
          <w:rFonts w:cs="Arial"/>
        </w:rPr>
        <w:t>erating below 3400</w:t>
      </w:r>
      <w:r>
        <w:rPr>
          <w:rFonts w:cs="Arial"/>
        </w:rPr>
        <w:t> </w:t>
      </w:r>
      <w:r w:rsidRPr="00E248AD">
        <w:rPr>
          <w:rFonts w:cs="Arial"/>
        </w:rPr>
        <w:t>MHz and FSS</w:t>
      </w:r>
      <w:r>
        <w:rPr>
          <w:rFonts w:cs="Arial"/>
        </w:rPr>
        <w:t xml:space="preserve"> </w:t>
      </w:r>
      <w:r w:rsidR="0041475D">
        <w:rPr>
          <w:rFonts w:cs="Arial"/>
        </w:rPr>
        <w:t>E</w:t>
      </w:r>
      <w:r w:rsidRPr="00E95553">
        <w:rPr>
          <w:rFonts w:cs="Arial"/>
        </w:rPr>
        <w:t>arth stations operating above 3400</w:t>
      </w:r>
      <w:r>
        <w:rPr>
          <w:rFonts w:cs="Arial"/>
        </w:rPr>
        <w:t> </w:t>
      </w:r>
      <w:r w:rsidRPr="00E95553">
        <w:rPr>
          <w:rFonts w:cs="Arial"/>
        </w:rPr>
        <w:t>MHz;</w:t>
      </w:r>
    </w:p>
    <w:p w14:paraId="1A473C31" w14:textId="77777777" w:rsidR="004D0DEA" w:rsidRPr="00E95553" w:rsidRDefault="004D0DEA" w:rsidP="004D0DEA">
      <w:pPr>
        <w:spacing w:after="80"/>
        <w:ind w:left="426" w:hanging="426"/>
        <w:rPr>
          <w:rFonts w:cs="Arial"/>
        </w:rPr>
      </w:pPr>
      <w:r w:rsidRPr="00E248AD">
        <w:rPr>
          <w:rFonts w:cs="Arial"/>
        </w:rPr>
        <w:t>5</w:t>
      </w:r>
      <w:r>
        <w:rPr>
          <w:rFonts w:cs="Arial"/>
        </w:rPr>
        <w:tab/>
      </w:r>
      <w:r w:rsidRPr="00E95553">
        <w:rPr>
          <w:rFonts w:cs="Arial"/>
        </w:rPr>
        <w:t>to further study adjacent band compatibility between IMT in the frequency band</w:t>
      </w:r>
      <w:r>
        <w:rPr>
          <w:rFonts w:cs="Arial"/>
        </w:rPr>
        <w:t xml:space="preserve"> </w:t>
      </w:r>
      <w:r w:rsidRPr="00E95553">
        <w:rPr>
          <w:rFonts w:cs="Arial"/>
        </w:rPr>
        <w:t>3300</w:t>
      </w:r>
      <w:r>
        <w:rPr>
          <w:rFonts w:cs="Arial"/>
        </w:rPr>
        <w:t>–</w:t>
      </w:r>
      <w:r w:rsidRPr="00E95553">
        <w:rPr>
          <w:rFonts w:cs="Arial"/>
        </w:rPr>
        <w:t>3400</w:t>
      </w:r>
      <w:r>
        <w:rPr>
          <w:rFonts w:cs="Arial"/>
        </w:rPr>
        <w:t> </w:t>
      </w:r>
      <w:r w:rsidRPr="00E95553">
        <w:rPr>
          <w:rFonts w:cs="Arial"/>
        </w:rPr>
        <w:t>MHz and radiolocation service below 3300</w:t>
      </w:r>
      <w:r>
        <w:rPr>
          <w:rFonts w:cs="Arial"/>
        </w:rPr>
        <w:t> </w:t>
      </w:r>
      <w:r w:rsidRPr="00E95553">
        <w:rPr>
          <w:rFonts w:cs="Arial"/>
        </w:rPr>
        <w:t>MHz, in particular unwanted emissions of</w:t>
      </w:r>
      <w:r>
        <w:rPr>
          <w:rFonts w:cs="Arial"/>
        </w:rPr>
        <w:t xml:space="preserve"> </w:t>
      </w:r>
      <w:r w:rsidRPr="00E95553">
        <w:rPr>
          <w:rFonts w:cs="Arial"/>
        </w:rPr>
        <w:t>IMT systems in this frequency band;</w:t>
      </w:r>
    </w:p>
    <w:p w14:paraId="39DCD208" w14:textId="77777777" w:rsidR="004D0DEA" w:rsidRDefault="004D0DEA" w:rsidP="004D0DEA">
      <w:pPr>
        <w:ind w:left="426" w:hanging="426"/>
        <w:rPr>
          <w:rFonts w:cs="Arial"/>
        </w:rPr>
      </w:pPr>
      <w:r w:rsidRPr="00E248AD">
        <w:rPr>
          <w:rFonts w:cs="Arial"/>
        </w:rPr>
        <w:t>6</w:t>
      </w:r>
      <w:r>
        <w:rPr>
          <w:rFonts w:cs="Arial"/>
        </w:rPr>
        <w:tab/>
      </w:r>
      <w:r w:rsidRPr="00E95553">
        <w:rPr>
          <w:rFonts w:cs="Arial"/>
        </w:rPr>
        <w:t>to develop harmonized frequency arrangements for the frequency bands</w:t>
      </w:r>
      <w:r>
        <w:rPr>
          <w:rFonts w:cs="Arial"/>
        </w:rPr>
        <w:t xml:space="preserve"> </w:t>
      </w:r>
      <w:r w:rsidRPr="00E95553">
        <w:rPr>
          <w:rFonts w:cs="Arial"/>
        </w:rPr>
        <w:t>3300</w:t>
      </w:r>
      <w:r w:rsidR="00046674">
        <w:rPr>
          <w:rFonts w:cs="Arial"/>
        </w:rPr>
        <w:t>–</w:t>
      </w:r>
      <w:r w:rsidRPr="00E95553">
        <w:rPr>
          <w:rFonts w:cs="Arial"/>
        </w:rPr>
        <w:t>3400</w:t>
      </w:r>
      <w:r>
        <w:rPr>
          <w:rFonts w:cs="Arial"/>
        </w:rPr>
        <w:t> </w:t>
      </w:r>
      <w:r w:rsidRPr="00E95553">
        <w:rPr>
          <w:rFonts w:cs="Arial"/>
        </w:rPr>
        <w:t>MHz and 4800</w:t>
      </w:r>
      <w:r w:rsidR="00046674">
        <w:rPr>
          <w:rFonts w:cs="Arial"/>
        </w:rPr>
        <w:t>–</w:t>
      </w:r>
      <w:r w:rsidRPr="00E95553">
        <w:rPr>
          <w:rFonts w:cs="Arial"/>
        </w:rPr>
        <w:t>4990</w:t>
      </w:r>
      <w:r>
        <w:rPr>
          <w:rFonts w:cs="Arial"/>
        </w:rPr>
        <w:t> </w:t>
      </w:r>
      <w:r w:rsidRPr="00E95553">
        <w:rPr>
          <w:rFonts w:cs="Arial"/>
        </w:rPr>
        <w:t>MHz for operation of the terrestrial component of IMT, taking</w:t>
      </w:r>
      <w:r>
        <w:rPr>
          <w:rFonts w:cs="Arial"/>
        </w:rPr>
        <w:t xml:space="preserve"> </w:t>
      </w:r>
      <w:r w:rsidRPr="00E95553">
        <w:rPr>
          <w:rFonts w:cs="Arial"/>
        </w:rPr>
        <w:t>into account the results of the sharing studies;</w:t>
      </w:r>
    </w:p>
    <w:p w14:paraId="67725984" w14:textId="77777777" w:rsidR="004D0DEA" w:rsidRPr="00E95553" w:rsidRDefault="004D0DEA" w:rsidP="004D0DEA">
      <w:pPr>
        <w:spacing w:before="240"/>
        <w:rPr>
          <w:szCs w:val="20"/>
        </w:rPr>
      </w:pPr>
      <w:r w:rsidRPr="00E248AD">
        <w:rPr>
          <w:szCs w:val="20"/>
        </w:rPr>
        <w:t>There is some support from domestic mobile broadband interests in pursuing this band for mobile broadband in Australia.</w:t>
      </w:r>
      <w:r>
        <w:rPr>
          <w:szCs w:val="20"/>
        </w:rPr>
        <w:t xml:space="preserve"> The 3300–3400 MHz band is currently allocated on a primary basis to the radiolocation service worldwide. In Australia, the radiolocation service in this band is </w:t>
      </w:r>
      <w:r w:rsidRPr="00E95553">
        <w:rPr>
          <w:szCs w:val="20"/>
        </w:rPr>
        <w:t>designated to be used principally for the purposes of defence and national security</w:t>
      </w:r>
      <w:r>
        <w:rPr>
          <w:szCs w:val="20"/>
        </w:rPr>
        <w:t xml:space="preserve"> via footnote AUS101A of the Spectrum Plan</w:t>
      </w:r>
      <w:r w:rsidRPr="00E95553">
        <w:rPr>
          <w:szCs w:val="20"/>
        </w:rPr>
        <w:t>. The Department of Defence is normally consulted in considering non-defence use of this service.</w:t>
      </w:r>
    </w:p>
    <w:p w14:paraId="28E10A46" w14:textId="77777777" w:rsidR="004D0DEA" w:rsidRPr="00E95553" w:rsidRDefault="004D0DEA" w:rsidP="004D0DEA">
      <w:pPr>
        <w:pStyle w:val="BodySubHeader"/>
      </w:pPr>
      <w:r>
        <w:t>Developments since February 2016</w:t>
      </w:r>
    </w:p>
    <w:p w14:paraId="5C53F9CB" w14:textId="77777777" w:rsidR="004D0DEA" w:rsidRDefault="004D0DEA" w:rsidP="004D0DEA">
      <w:pPr>
        <w:spacing w:after="80"/>
        <w:rPr>
          <w:rFonts w:cs="Arial"/>
        </w:rPr>
      </w:pPr>
      <w:r>
        <w:rPr>
          <w:rFonts w:cs="Arial"/>
        </w:rPr>
        <w:t xml:space="preserve">In February 2016, ITU-R Working Party 5D </w:t>
      </w:r>
      <w:r>
        <w:rPr>
          <w:lang w:eastAsia="zh-CN"/>
        </w:rPr>
        <w:t xml:space="preserve">commenced </w:t>
      </w:r>
      <w:r>
        <w:rPr>
          <w:rFonts w:eastAsia="SimSun"/>
          <w:lang w:eastAsia="zh-CN"/>
        </w:rPr>
        <w:t>revision of Recommendation ITU-</w:t>
      </w:r>
      <w:r w:rsidRPr="00A35227">
        <w:rPr>
          <w:rFonts w:cs="Arial"/>
        </w:rPr>
        <w:t>R M.1036-5 on Frequency arrangements for implementation of the terrestrial component of International Mobile Telecommunications (IMT) in the bands identified for IMT in the Radio Regulations (RR)</w:t>
      </w:r>
      <w:r>
        <w:rPr>
          <w:rFonts w:cs="Arial"/>
        </w:rPr>
        <w:t xml:space="preserve">. The draft revision </w:t>
      </w:r>
      <w:r w:rsidRPr="00A35227">
        <w:rPr>
          <w:rFonts w:cs="Arial"/>
        </w:rPr>
        <w:t>include</w:t>
      </w:r>
      <w:r>
        <w:rPr>
          <w:rFonts w:cs="Arial"/>
        </w:rPr>
        <w:t xml:space="preserve">s arrangements for </w:t>
      </w:r>
      <w:r w:rsidRPr="00A35227">
        <w:rPr>
          <w:rFonts w:cs="Arial"/>
        </w:rPr>
        <w:t>the frequency band 3300</w:t>
      </w:r>
      <w:r w:rsidR="00046674">
        <w:rPr>
          <w:rFonts w:cs="Arial"/>
        </w:rPr>
        <w:t>–</w:t>
      </w:r>
      <w:r w:rsidRPr="00A35227">
        <w:rPr>
          <w:rFonts w:cs="Arial"/>
        </w:rPr>
        <w:t xml:space="preserve">3400 MHz. </w:t>
      </w:r>
      <w:r>
        <w:rPr>
          <w:rFonts w:cs="Arial"/>
        </w:rPr>
        <w:t>W</w:t>
      </w:r>
      <w:r w:rsidRPr="00A35227">
        <w:rPr>
          <w:rFonts w:cs="Arial"/>
        </w:rPr>
        <w:t xml:space="preserve">orking Party 5D also commenced studies as called for in Resolution </w:t>
      </w:r>
      <w:r w:rsidRPr="00A35227">
        <w:rPr>
          <w:rFonts w:cs="Arial"/>
          <w:b/>
        </w:rPr>
        <w:t>223 (Rev. WRC-15)</w:t>
      </w:r>
      <w:r w:rsidRPr="00A35227">
        <w:rPr>
          <w:rFonts w:cs="Arial"/>
        </w:rPr>
        <w:t xml:space="preserve"> on</w:t>
      </w:r>
      <w:r>
        <w:rPr>
          <w:rFonts w:cs="Arial"/>
        </w:rPr>
        <w:t>:</w:t>
      </w:r>
    </w:p>
    <w:p w14:paraId="1CA2BCD6" w14:textId="3113DDDF" w:rsidR="004D0DEA" w:rsidRPr="00CA5093" w:rsidRDefault="004D0DEA" w:rsidP="004D0DEA">
      <w:pPr>
        <w:pStyle w:val="ListBullet"/>
      </w:pPr>
      <w:r w:rsidRPr="00CA5093">
        <w:t>operational measures to enable the coexistence of IMT and radiolocation service in</w:t>
      </w:r>
      <w:r>
        <w:t xml:space="preserve"> the frequency band </w:t>
      </w:r>
      <w:r w:rsidR="005356C6">
        <w:t>3</w:t>
      </w:r>
      <w:r w:rsidRPr="00CA5093">
        <w:t>300</w:t>
      </w:r>
      <w:r w:rsidR="00046674">
        <w:t>–</w:t>
      </w:r>
      <w:r w:rsidR="005356C6">
        <w:t>3</w:t>
      </w:r>
      <w:r w:rsidRPr="00CA5093">
        <w:t>400</w:t>
      </w:r>
      <w:r>
        <w:t xml:space="preserve"> MHz</w:t>
      </w:r>
      <w:r w:rsidRPr="00CA5093">
        <w:t xml:space="preserve"> </w:t>
      </w:r>
    </w:p>
    <w:p w14:paraId="2A331A49" w14:textId="5C701932" w:rsidR="004D0DEA" w:rsidRPr="00CA5093" w:rsidRDefault="004D0DEA" w:rsidP="004D0DEA">
      <w:pPr>
        <w:pStyle w:val="ListBullet"/>
      </w:pPr>
      <w:r w:rsidRPr="00CA5093">
        <w:t>technical and operational measures regarding adjacent band compatibility betwee</w:t>
      </w:r>
      <w:r w:rsidR="005356C6">
        <w:t>n IMT systems operating below 3</w:t>
      </w:r>
      <w:r w:rsidRPr="00CA5093">
        <w:t xml:space="preserve">400 MHz and FSS </w:t>
      </w:r>
      <w:r w:rsidR="0041475D">
        <w:t>E</w:t>
      </w:r>
      <w:r w:rsidRPr="00CA5093">
        <w:t xml:space="preserve">arth stations operating above </w:t>
      </w:r>
      <w:r w:rsidR="00046674" w:rsidRPr="00CA5093">
        <w:t>3</w:t>
      </w:r>
      <w:r w:rsidRPr="00CA5093">
        <w:t>400 MHz</w:t>
      </w:r>
    </w:p>
    <w:p w14:paraId="0584335F" w14:textId="2E466121" w:rsidR="004D0DEA" w:rsidRPr="00CA5093" w:rsidRDefault="004D0DEA" w:rsidP="004D0DEA">
      <w:pPr>
        <w:pStyle w:val="ListBulletLast"/>
      </w:pPr>
      <w:r w:rsidRPr="00CA5093">
        <w:t>adjacent band compatibility betw</w:t>
      </w:r>
      <w:r w:rsidR="005356C6">
        <w:t>een IMT in the frequency band 3</w:t>
      </w:r>
      <w:r w:rsidRPr="00CA5093">
        <w:t>300</w:t>
      </w:r>
      <w:r w:rsidR="00046674">
        <w:t>–</w:t>
      </w:r>
      <w:r w:rsidR="005356C6">
        <w:t>3</w:t>
      </w:r>
      <w:r w:rsidRPr="00CA5093">
        <w:t>400 MHz an</w:t>
      </w:r>
      <w:r w:rsidR="005356C6">
        <w:t>d radiolocation service below 3</w:t>
      </w:r>
      <w:r w:rsidRPr="00CA5093">
        <w:t>300 MHz</w:t>
      </w:r>
      <w:r w:rsidR="00046674">
        <w:t>.</w:t>
      </w:r>
    </w:p>
    <w:p w14:paraId="3BB3769D" w14:textId="77777777" w:rsidR="004D0DEA" w:rsidRDefault="004D0DEA" w:rsidP="004D0DEA">
      <w:pPr>
        <w:rPr>
          <w:rFonts w:eastAsia="SimSun"/>
          <w:lang w:eastAsia="zh-CN"/>
        </w:rPr>
      </w:pPr>
      <w:r>
        <w:rPr>
          <w:rFonts w:eastAsia="SimSun"/>
          <w:lang w:eastAsia="zh-CN"/>
        </w:rPr>
        <w:t xml:space="preserve">Working Party 5D is aiming to complete these work items by late 2017. </w:t>
      </w:r>
    </w:p>
    <w:p w14:paraId="6EDA3A3A" w14:textId="77777777" w:rsidR="0015601F" w:rsidRDefault="0015601F" w:rsidP="004D0DEA">
      <w:pPr>
        <w:rPr>
          <w:rFonts w:eastAsia="SimSun"/>
          <w:lang w:eastAsia="zh-CN"/>
        </w:rPr>
      </w:pPr>
      <w:r w:rsidRPr="001637DE">
        <w:rPr>
          <w:rFonts w:eastAsia="SimSun"/>
          <w:lang w:eastAsia="zh-CN"/>
        </w:rPr>
        <w:t xml:space="preserve">The AWG has a work plan to develop a recommendation on frequency arrangements for the </w:t>
      </w:r>
      <w:r w:rsidRPr="001637DE">
        <w:rPr>
          <w:rFonts w:cs="Arial"/>
        </w:rPr>
        <w:t>3300–3400 MHz</w:t>
      </w:r>
      <w:r w:rsidRPr="001637DE">
        <w:rPr>
          <w:rFonts w:eastAsia="SimSun"/>
          <w:lang w:eastAsia="zh-CN"/>
        </w:rPr>
        <w:t xml:space="preserve"> band. The current proposal is to finalise the work in late 2017.</w:t>
      </w:r>
    </w:p>
    <w:p w14:paraId="44F8B111" w14:textId="77777777" w:rsidR="004D0DEA" w:rsidRPr="00E95553" w:rsidRDefault="004D0DEA" w:rsidP="00804AF2">
      <w:pPr>
        <w:pStyle w:val="BodySubHeader"/>
        <w:keepNext/>
      </w:pPr>
      <w:r w:rsidRPr="00E95553">
        <w:t>Next steps</w:t>
      </w:r>
    </w:p>
    <w:p w14:paraId="13ADA588" w14:textId="77777777" w:rsidR="004D0DEA" w:rsidRDefault="004D0DEA" w:rsidP="004D0DEA">
      <w:pPr>
        <w:rPr>
          <w:rFonts w:cs="Arial"/>
        </w:rPr>
      </w:pPr>
      <w:r>
        <w:rPr>
          <w:rFonts w:cs="Arial"/>
        </w:rPr>
        <w:t>Given the outcomes of WRC-15</w:t>
      </w:r>
      <w:r w:rsidR="00046674">
        <w:rPr>
          <w:rFonts w:cs="Arial"/>
        </w:rPr>
        <w:t>,</w:t>
      </w:r>
      <w:r>
        <w:rPr>
          <w:rFonts w:cs="Arial"/>
        </w:rPr>
        <w:t xml:space="preserve"> and the potential for economies of scale to develop for equipment, the ACMA will continue to monitor international developments in the 3.3 GHz band. </w:t>
      </w:r>
    </w:p>
    <w:p w14:paraId="07B40968" w14:textId="77777777" w:rsidR="004D0DEA" w:rsidRPr="00E248AD" w:rsidRDefault="004D0DEA" w:rsidP="004D0DEA">
      <w:pPr>
        <w:rPr>
          <w:rFonts w:cs="Arial"/>
        </w:rPr>
      </w:pPr>
      <w:r w:rsidRPr="00E248AD">
        <w:rPr>
          <w:rFonts w:cs="Arial"/>
        </w:rPr>
        <w:t xml:space="preserve">Possible engagement </w:t>
      </w:r>
      <w:r>
        <w:rPr>
          <w:rFonts w:cs="Arial"/>
        </w:rPr>
        <w:t xml:space="preserve">(including through contributions) </w:t>
      </w:r>
      <w:r w:rsidRPr="00E248AD">
        <w:rPr>
          <w:rFonts w:cs="Arial"/>
        </w:rPr>
        <w:t xml:space="preserve">in international studies </w:t>
      </w:r>
      <w:r>
        <w:rPr>
          <w:szCs w:val="20"/>
        </w:rPr>
        <w:t xml:space="preserve">as outlined in Resolution </w:t>
      </w:r>
      <w:r w:rsidRPr="00E7054F">
        <w:rPr>
          <w:b/>
          <w:szCs w:val="20"/>
        </w:rPr>
        <w:t>223 (Rev. WRC-15)</w:t>
      </w:r>
      <w:r>
        <w:rPr>
          <w:szCs w:val="20"/>
        </w:rPr>
        <w:t xml:space="preserve"> </w:t>
      </w:r>
      <w:r w:rsidRPr="00E248AD">
        <w:rPr>
          <w:rFonts w:cs="Arial"/>
        </w:rPr>
        <w:t xml:space="preserve">will be </w:t>
      </w:r>
      <w:r>
        <w:rPr>
          <w:rFonts w:cs="Arial"/>
        </w:rPr>
        <w:t>considered</w:t>
      </w:r>
      <w:r w:rsidRPr="00E248AD">
        <w:rPr>
          <w:rFonts w:cs="Arial"/>
        </w:rPr>
        <w:t xml:space="preserve"> as part of the ACMA’s international engagement processes. </w:t>
      </w:r>
    </w:p>
    <w:p w14:paraId="20D99AB3" w14:textId="77777777" w:rsidR="004D0DEA" w:rsidRPr="00AB3B86" w:rsidRDefault="004D0DEA" w:rsidP="004D0DEA">
      <w:pPr>
        <w:pStyle w:val="Heading3"/>
      </w:pPr>
      <w:bookmarkStart w:id="364" w:name="_Toc458084577"/>
      <w:bookmarkStart w:id="365" w:name="_Toc458608714"/>
      <w:bookmarkStart w:id="366" w:name="_Toc461108020"/>
      <w:bookmarkStart w:id="367" w:name="_Toc461194847"/>
      <w:bookmarkStart w:id="368" w:name="_Toc461445497"/>
      <w:bookmarkStart w:id="369" w:name="_Toc463351335"/>
      <w:r>
        <w:t>4.9 GHz (</w:t>
      </w:r>
      <w:r w:rsidRPr="00AB3B86">
        <w:t>4800</w:t>
      </w:r>
      <w:r>
        <w:t>–</w:t>
      </w:r>
      <w:r w:rsidRPr="00AB3B86">
        <w:t>4990 MHz</w:t>
      </w:r>
      <w:r>
        <w:t>)</w:t>
      </w:r>
      <w:bookmarkEnd w:id="364"/>
      <w:bookmarkEnd w:id="365"/>
      <w:bookmarkEnd w:id="366"/>
      <w:bookmarkEnd w:id="367"/>
      <w:bookmarkEnd w:id="368"/>
      <w:bookmarkEnd w:id="369"/>
    </w:p>
    <w:p w14:paraId="5710762E" w14:textId="77777777" w:rsidR="004D0DEA" w:rsidRDefault="004D0DEA" w:rsidP="004D0DEA">
      <w:pPr>
        <w:rPr>
          <w:rFonts w:cs="Arial"/>
        </w:rPr>
      </w:pPr>
      <w:r>
        <w:rPr>
          <w:rFonts w:cs="Arial"/>
        </w:rPr>
        <w:t xml:space="preserve">At WRC-15, the 4800–4990 MHz band was identified for IMT by a number of countries including Uruguay, </w:t>
      </w:r>
      <w:r w:rsidRPr="00383F24">
        <w:rPr>
          <w:rFonts w:cs="Arial"/>
        </w:rPr>
        <w:t>Cambodia, Lao PDR and Viet</w:t>
      </w:r>
      <w:r>
        <w:rPr>
          <w:rFonts w:cs="Arial"/>
        </w:rPr>
        <w:t>n</w:t>
      </w:r>
      <w:r w:rsidRPr="00383F24">
        <w:rPr>
          <w:rFonts w:cs="Arial"/>
        </w:rPr>
        <w:t>am</w:t>
      </w:r>
      <w:r>
        <w:rPr>
          <w:rFonts w:cs="Arial"/>
        </w:rPr>
        <w:t>. Notably</w:t>
      </w:r>
      <w:r w:rsidR="008B4B4F">
        <w:rPr>
          <w:rFonts w:cs="Arial"/>
        </w:rPr>
        <w:t>,</w:t>
      </w:r>
      <w:r>
        <w:rPr>
          <w:rFonts w:cs="Arial"/>
        </w:rPr>
        <w:t xml:space="preserve"> there was also strong interest from China and Japan in identifying the band for IMT. This suggests that a viable ecosystem could develop for mobile broadband systems in this band. </w:t>
      </w:r>
    </w:p>
    <w:p w14:paraId="2D92A28C" w14:textId="77777777" w:rsidR="004D0DEA" w:rsidRDefault="004D0DEA" w:rsidP="004D0DEA">
      <w:pPr>
        <w:spacing w:after="80"/>
      </w:pPr>
      <w:r>
        <w:t>The following t</w:t>
      </w:r>
      <w:r w:rsidRPr="00DD3864">
        <w:t xml:space="preserve">ext was also included in </w:t>
      </w:r>
      <w:r>
        <w:t xml:space="preserve">the </w:t>
      </w:r>
      <w:r w:rsidRPr="001848CA">
        <w:rPr>
          <w:i/>
        </w:rPr>
        <w:t>invites ITU-R</w:t>
      </w:r>
      <w:r>
        <w:t xml:space="preserve"> </w:t>
      </w:r>
      <w:r w:rsidRPr="001848CA">
        <w:t>of Resolution</w:t>
      </w:r>
      <w:r w:rsidRPr="00DD3864">
        <w:rPr>
          <w:b/>
        </w:rPr>
        <w:t xml:space="preserve"> 223</w:t>
      </w:r>
      <w:r>
        <w:rPr>
          <w:b/>
        </w:rPr>
        <w:t xml:space="preserve"> (Rev. WRC-15)</w:t>
      </w:r>
      <w:r w:rsidRPr="001848CA">
        <w:t>:</w:t>
      </w:r>
      <w:r w:rsidRPr="00DD3864">
        <w:t xml:space="preserve"> </w:t>
      </w:r>
    </w:p>
    <w:p w14:paraId="6D72948C" w14:textId="77777777" w:rsidR="004D0DEA" w:rsidRPr="00E95553" w:rsidRDefault="004D0DEA" w:rsidP="004D0DEA">
      <w:pPr>
        <w:spacing w:after="80"/>
        <w:ind w:left="426" w:hanging="426"/>
        <w:rPr>
          <w:rFonts w:cs="Arial"/>
        </w:rPr>
      </w:pPr>
      <w:r w:rsidRPr="00E248AD">
        <w:rPr>
          <w:rFonts w:cs="Arial"/>
        </w:rPr>
        <w:t>6</w:t>
      </w:r>
      <w:r>
        <w:rPr>
          <w:rFonts w:cs="Arial"/>
        </w:rPr>
        <w:tab/>
      </w:r>
      <w:r w:rsidRPr="00E95553">
        <w:rPr>
          <w:rFonts w:cs="Arial"/>
        </w:rPr>
        <w:t>to develop harmonized frequency arran</w:t>
      </w:r>
      <w:r w:rsidRPr="00E248AD">
        <w:rPr>
          <w:rFonts w:cs="Arial"/>
        </w:rPr>
        <w:t>gements for the frequency bands</w:t>
      </w:r>
      <w:r>
        <w:rPr>
          <w:rFonts w:cs="Arial"/>
        </w:rPr>
        <w:t xml:space="preserve"> </w:t>
      </w:r>
      <w:r w:rsidRPr="00E95553">
        <w:rPr>
          <w:rFonts w:cs="Arial"/>
        </w:rPr>
        <w:t>3300</w:t>
      </w:r>
      <w:r>
        <w:rPr>
          <w:rFonts w:cs="Arial"/>
        </w:rPr>
        <w:t>–</w:t>
      </w:r>
      <w:r w:rsidRPr="00E95553">
        <w:rPr>
          <w:rFonts w:cs="Arial"/>
        </w:rPr>
        <w:t>3400 MHz and 4800</w:t>
      </w:r>
      <w:r>
        <w:rPr>
          <w:rFonts w:cs="Arial"/>
        </w:rPr>
        <w:t>–</w:t>
      </w:r>
      <w:r w:rsidRPr="00E95553">
        <w:rPr>
          <w:rFonts w:cs="Arial"/>
        </w:rPr>
        <w:t>4990 MHz for operation of the terrestrial component of IMT, taking</w:t>
      </w:r>
      <w:r>
        <w:rPr>
          <w:rFonts w:cs="Arial"/>
        </w:rPr>
        <w:t xml:space="preserve"> </w:t>
      </w:r>
      <w:r w:rsidRPr="00E95553">
        <w:rPr>
          <w:rFonts w:cs="Arial"/>
        </w:rPr>
        <w:t>into account the results of the sharing studies;</w:t>
      </w:r>
    </w:p>
    <w:p w14:paraId="5FB9A7D5" w14:textId="77777777" w:rsidR="004D0DEA" w:rsidRPr="00E248AD" w:rsidRDefault="004D0DEA" w:rsidP="004D0DEA">
      <w:pPr>
        <w:ind w:left="426" w:hanging="426"/>
        <w:rPr>
          <w:rFonts w:cs="Arial"/>
        </w:rPr>
      </w:pPr>
      <w:r w:rsidRPr="00E248AD">
        <w:rPr>
          <w:rFonts w:cs="Arial"/>
        </w:rPr>
        <w:t>7</w:t>
      </w:r>
      <w:r>
        <w:rPr>
          <w:rFonts w:cs="Arial"/>
        </w:rPr>
        <w:tab/>
      </w:r>
      <w:r w:rsidRPr="00E95553">
        <w:rPr>
          <w:rFonts w:cs="Arial"/>
        </w:rPr>
        <w:t>to study the technical and regulatory conditions for the use of IMT in the frequency</w:t>
      </w:r>
      <w:r>
        <w:rPr>
          <w:rFonts w:cs="Arial"/>
        </w:rPr>
        <w:t xml:space="preserve"> </w:t>
      </w:r>
      <w:r w:rsidRPr="00E95553">
        <w:rPr>
          <w:rFonts w:cs="Arial"/>
        </w:rPr>
        <w:t>band 4800</w:t>
      </w:r>
      <w:r>
        <w:rPr>
          <w:rFonts w:cs="Arial"/>
        </w:rPr>
        <w:t>–</w:t>
      </w:r>
      <w:r w:rsidRPr="00E95553">
        <w:rPr>
          <w:rFonts w:cs="Arial"/>
        </w:rPr>
        <w:t>4990 MHz in order to protect the aeronautical mobile service;</w:t>
      </w:r>
    </w:p>
    <w:p w14:paraId="706882A6" w14:textId="77777777" w:rsidR="004D0DEA" w:rsidRDefault="004D0DEA" w:rsidP="004D0DEA">
      <w:pPr>
        <w:rPr>
          <w:szCs w:val="20"/>
        </w:rPr>
      </w:pPr>
      <w:r w:rsidRPr="00C3421D">
        <w:t xml:space="preserve">There is </w:t>
      </w:r>
      <w:r>
        <w:t xml:space="preserve">some </w:t>
      </w:r>
      <w:r w:rsidRPr="00C3421D">
        <w:t>support from domestic mobile broadband interests in pursuing this band for mobile broadband in Australia.</w:t>
      </w:r>
      <w:r w:rsidR="008B4B4F">
        <w:rPr>
          <w:szCs w:val="20"/>
        </w:rPr>
        <w:t xml:space="preserve"> </w:t>
      </w:r>
      <w:r w:rsidRPr="001848CA">
        <w:rPr>
          <w:szCs w:val="20"/>
        </w:rPr>
        <w:t xml:space="preserve">However, the ACMA is not aware of any significant interest in this band </w:t>
      </w:r>
      <w:r>
        <w:rPr>
          <w:szCs w:val="20"/>
        </w:rPr>
        <w:t>by regional bodies such as CEPT, CITEL or APT</w:t>
      </w:r>
      <w:r w:rsidRPr="001848CA" w:rsidDel="00C00B64">
        <w:rPr>
          <w:szCs w:val="20"/>
        </w:rPr>
        <w:t>.</w:t>
      </w:r>
      <w:r w:rsidRPr="001848CA">
        <w:rPr>
          <w:szCs w:val="20"/>
        </w:rPr>
        <w:t xml:space="preserve"> </w:t>
      </w:r>
    </w:p>
    <w:p w14:paraId="74690633" w14:textId="77777777" w:rsidR="004D0DEA" w:rsidRDefault="004D0DEA" w:rsidP="004D0DEA">
      <w:pPr>
        <w:rPr>
          <w:szCs w:val="20"/>
        </w:rPr>
      </w:pPr>
      <w:r>
        <w:rPr>
          <w:szCs w:val="20"/>
        </w:rPr>
        <w:t xml:space="preserve">The 4800–4990 MHz band is currently allocated on a primary basis for the fixed and mobile services in Australia. The fixed and mobile services in this band are </w:t>
      </w:r>
      <w:r w:rsidRPr="001848CA">
        <w:rPr>
          <w:szCs w:val="20"/>
        </w:rPr>
        <w:t>designated to be used principally for the purposes of defence and national security</w:t>
      </w:r>
      <w:r>
        <w:rPr>
          <w:szCs w:val="20"/>
        </w:rPr>
        <w:t xml:space="preserve"> as defined in footnote AUS101A of the Spectrum Plan</w:t>
      </w:r>
      <w:r w:rsidRPr="001848CA">
        <w:rPr>
          <w:szCs w:val="20"/>
        </w:rPr>
        <w:t xml:space="preserve">. The Department of Defence is normally consulted in considering non-defence use of </w:t>
      </w:r>
      <w:r>
        <w:rPr>
          <w:szCs w:val="20"/>
        </w:rPr>
        <w:t>these</w:t>
      </w:r>
      <w:r w:rsidRPr="001848CA">
        <w:rPr>
          <w:szCs w:val="20"/>
        </w:rPr>
        <w:t xml:space="preserve"> service</w:t>
      </w:r>
      <w:r>
        <w:rPr>
          <w:szCs w:val="20"/>
        </w:rPr>
        <w:t>s</w:t>
      </w:r>
      <w:r w:rsidRPr="001848CA">
        <w:rPr>
          <w:szCs w:val="20"/>
        </w:rPr>
        <w:t>.</w:t>
      </w:r>
    </w:p>
    <w:p w14:paraId="7C1FC1F1" w14:textId="77777777" w:rsidR="004D0DEA" w:rsidRPr="00E95553" w:rsidRDefault="004D0DEA" w:rsidP="004D0DEA">
      <w:pPr>
        <w:rPr>
          <w:szCs w:val="20"/>
        </w:rPr>
      </w:pPr>
      <w:r>
        <w:rPr>
          <w:szCs w:val="20"/>
        </w:rPr>
        <w:t xml:space="preserve">The </w:t>
      </w:r>
      <w:r w:rsidRPr="00E95553">
        <w:rPr>
          <w:szCs w:val="20"/>
        </w:rPr>
        <w:t>4950–4990 MHz</w:t>
      </w:r>
      <w:r>
        <w:rPr>
          <w:szCs w:val="20"/>
        </w:rPr>
        <w:t xml:space="preserve"> band</w:t>
      </w:r>
      <w:r w:rsidRPr="00E95553">
        <w:rPr>
          <w:szCs w:val="20"/>
        </w:rPr>
        <w:t xml:space="preserve"> </w:t>
      </w:r>
      <w:r>
        <w:rPr>
          <w:szCs w:val="20"/>
        </w:rPr>
        <w:t xml:space="preserve">is also allocated to </w:t>
      </w:r>
      <w:r w:rsidRPr="00E95553">
        <w:rPr>
          <w:szCs w:val="20"/>
        </w:rPr>
        <w:t>the radio astronomy service on a primary basis</w:t>
      </w:r>
      <w:r>
        <w:rPr>
          <w:szCs w:val="20"/>
        </w:rPr>
        <w:t xml:space="preserve"> under footnote 443 of the Spectrum Plan</w:t>
      </w:r>
      <w:r w:rsidRPr="00E95553">
        <w:rPr>
          <w:szCs w:val="20"/>
        </w:rPr>
        <w:t>.</w:t>
      </w:r>
    </w:p>
    <w:p w14:paraId="69603EA6" w14:textId="77777777" w:rsidR="004D0DEA" w:rsidRPr="001848CA" w:rsidRDefault="004D0DEA" w:rsidP="004D0DEA">
      <w:pPr>
        <w:rPr>
          <w:szCs w:val="20"/>
        </w:rPr>
      </w:pPr>
      <w:r>
        <w:rPr>
          <w:rFonts w:cs="Arial"/>
        </w:rPr>
        <w:t xml:space="preserve">At WRC-03, the </w:t>
      </w:r>
      <w:r>
        <w:rPr>
          <w:szCs w:val="20"/>
        </w:rPr>
        <w:t>4940–4990 MHz</w:t>
      </w:r>
      <w:r w:rsidRPr="008F02E7">
        <w:rPr>
          <w:rFonts w:cs="Arial"/>
        </w:rPr>
        <w:t xml:space="preserve"> band </w:t>
      </w:r>
      <w:r>
        <w:rPr>
          <w:rFonts w:cs="Arial"/>
        </w:rPr>
        <w:t xml:space="preserve">was identified </w:t>
      </w:r>
      <w:r w:rsidRPr="008F02E7">
        <w:rPr>
          <w:rFonts w:cs="Arial"/>
        </w:rPr>
        <w:t xml:space="preserve">to </w:t>
      </w:r>
      <w:r w:rsidRPr="00F612D7">
        <w:rPr>
          <w:rFonts w:cs="Arial"/>
        </w:rPr>
        <w:t>support public safety services in Regions 2 and 3 for use by government agencies responsible for the provision of defence, national security, law enforcement and emergency services.</w:t>
      </w:r>
      <w:r w:rsidRPr="00F612D7">
        <w:rPr>
          <w:rStyle w:val="FootnoteReference"/>
          <w:rFonts w:cs="Arial"/>
        </w:rPr>
        <w:footnoteReference w:id="36"/>
      </w:r>
      <w:r w:rsidRPr="00F612D7">
        <w:rPr>
          <w:rStyle w:val="FootnoteReference"/>
          <w:rFonts w:cs="Arial"/>
        </w:rPr>
        <w:t xml:space="preserve"> </w:t>
      </w:r>
      <w:r w:rsidRPr="00F612D7">
        <w:rPr>
          <w:rFonts w:cs="Arial"/>
        </w:rPr>
        <w:t xml:space="preserve"> A number of countries</w:t>
      </w:r>
      <w:r>
        <w:rPr>
          <w:rFonts w:cs="Arial"/>
        </w:rPr>
        <w:t xml:space="preserve">, including Australia, </w:t>
      </w:r>
      <w:r w:rsidRPr="00F612D7">
        <w:rPr>
          <w:rFonts w:cs="Arial"/>
        </w:rPr>
        <w:t xml:space="preserve">have implemented arrangements in the </w:t>
      </w:r>
      <w:r>
        <w:rPr>
          <w:szCs w:val="20"/>
        </w:rPr>
        <w:t>4940–4990 MHz</w:t>
      </w:r>
      <w:r w:rsidRPr="008F02E7">
        <w:rPr>
          <w:rFonts w:cs="Arial"/>
        </w:rPr>
        <w:t xml:space="preserve"> band</w:t>
      </w:r>
      <w:r w:rsidRPr="00F612D7">
        <w:rPr>
          <w:rFonts w:cs="Arial"/>
        </w:rPr>
        <w:t xml:space="preserve"> </w:t>
      </w:r>
      <w:r>
        <w:rPr>
          <w:rFonts w:cs="Arial"/>
        </w:rPr>
        <w:t>for this purpose.</w:t>
      </w:r>
      <w:r w:rsidRPr="00F612D7">
        <w:rPr>
          <w:rFonts w:cs="Arial"/>
        </w:rPr>
        <w:t xml:space="preserve"> </w:t>
      </w:r>
      <w:r w:rsidRPr="00BF403D">
        <w:rPr>
          <w:rFonts w:cs="Arial"/>
        </w:rPr>
        <w:t>This is principally to support high</w:t>
      </w:r>
      <w:r>
        <w:rPr>
          <w:rFonts w:cs="Arial"/>
        </w:rPr>
        <w:t>-</w:t>
      </w:r>
      <w:r w:rsidRPr="00BF403D">
        <w:rPr>
          <w:rFonts w:cs="Arial"/>
        </w:rPr>
        <w:t xml:space="preserve">speed localised coverage around an incident or event. </w:t>
      </w:r>
      <w:r>
        <w:rPr>
          <w:rFonts w:cs="Arial"/>
        </w:rPr>
        <w:t xml:space="preserve">The </w:t>
      </w:r>
      <w:hyperlink r:id="rId97" w:history="1">
        <w:r w:rsidRPr="003A031F">
          <w:rPr>
            <w:rStyle w:val="Hyperlink"/>
            <w:rFonts w:cs="Arial"/>
          </w:rPr>
          <w:t>Radiocommunications (Public Safety and Emergency Response) Class Licence 2013</w:t>
        </w:r>
      </w:hyperlink>
      <w:r>
        <w:rPr>
          <w:rFonts w:cs="Arial"/>
        </w:rPr>
        <w:t xml:space="preserve"> outlines arrangements for the use of this band, which allows public safety agencies to enhance their ability to perform public safety activities and provide significant flexibility in deployment during emergency response and disaster recovery activities. The 4940–4990 MHz is also included in IEEE standard 802.11y Public Safety WLAN. </w:t>
      </w:r>
    </w:p>
    <w:p w14:paraId="2C504923" w14:textId="77777777" w:rsidR="004D0DEA" w:rsidRPr="00E95553" w:rsidRDefault="004D0DEA" w:rsidP="004D0DEA">
      <w:pPr>
        <w:pStyle w:val="BodySubHeader"/>
      </w:pPr>
      <w:r>
        <w:t>Developments since February 2016</w:t>
      </w:r>
    </w:p>
    <w:p w14:paraId="1F128D99" w14:textId="77777777" w:rsidR="004D0DEA" w:rsidRDefault="004D0DEA" w:rsidP="004D0DEA">
      <w:pPr>
        <w:rPr>
          <w:rFonts w:eastAsia="SimSun"/>
          <w:lang w:eastAsia="zh-CN"/>
        </w:rPr>
      </w:pPr>
      <w:r>
        <w:rPr>
          <w:rFonts w:cs="Arial"/>
        </w:rPr>
        <w:t xml:space="preserve">In February 2016, ITU-R Working Party 5D </w:t>
      </w:r>
      <w:r>
        <w:rPr>
          <w:lang w:eastAsia="zh-CN"/>
        </w:rPr>
        <w:t xml:space="preserve">commenced </w:t>
      </w:r>
      <w:r>
        <w:rPr>
          <w:rFonts w:eastAsia="SimSun"/>
          <w:lang w:eastAsia="zh-CN"/>
        </w:rPr>
        <w:t>revision of Recommendation ITU-</w:t>
      </w:r>
      <w:r w:rsidRPr="00A35227">
        <w:rPr>
          <w:rFonts w:cs="Arial"/>
        </w:rPr>
        <w:t>R M.1036-5 on Frequency arrangements for implementation of the terrestrial component of International Mobile Telecommunications (IMT) in the bands identified for IMT in the Radio Regulations (RR)</w:t>
      </w:r>
      <w:r>
        <w:rPr>
          <w:rFonts w:cs="Arial"/>
        </w:rPr>
        <w:t xml:space="preserve">. The draft revision </w:t>
      </w:r>
      <w:r w:rsidRPr="00A35227">
        <w:rPr>
          <w:rFonts w:cs="Arial"/>
        </w:rPr>
        <w:t>include</w:t>
      </w:r>
      <w:r>
        <w:rPr>
          <w:rFonts w:cs="Arial"/>
        </w:rPr>
        <w:t xml:space="preserve">s arrangements for </w:t>
      </w:r>
      <w:r w:rsidRPr="00A35227">
        <w:rPr>
          <w:rFonts w:cs="Arial"/>
        </w:rPr>
        <w:t xml:space="preserve">the frequency band </w:t>
      </w:r>
      <w:r>
        <w:rPr>
          <w:rFonts w:cs="Arial"/>
        </w:rPr>
        <w:t>4800</w:t>
      </w:r>
      <w:r w:rsidR="008B4B4F">
        <w:rPr>
          <w:rFonts w:cs="Arial"/>
        </w:rPr>
        <w:t>–</w:t>
      </w:r>
      <w:r>
        <w:rPr>
          <w:rFonts w:cs="Arial"/>
        </w:rPr>
        <w:t>4990</w:t>
      </w:r>
      <w:r w:rsidRPr="00A35227">
        <w:rPr>
          <w:rFonts w:cs="Arial"/>
        </w:rPr>
        <w:t xml:space="preserve"> MHz.</w:t>
      </w:r>
      <w:r>
        <w:rPr>
          <w:rFonts w:cs="Arial"/>
        </w:rPr>
        <w:t xml:space="preserve"> W</w:t>
      </w:r>
      <w:r w:rsidRPr="00A35227">
        <w:rPr>
          <w:rFonts w:cs="Arial"/>
        </w:rPr>
        <w:t xml:space="preserve">orking Party 5D also commenced studies as called for in Resolution </w:t>
      </w:r>
      <w:r w:rsidRPr="00A35227">
        <w:rPr>
          <w:rFonts w:cs="Arial"/>
          <w:b/>
        </w:rPr>
        <w:t>223 (Rev. WRC-15)</w:t>
      </w:r>
      <w:r w:rsidRPr="00A35227">
        <w:rPr>
          <w:rFonts w:cs="Arial"/>
        </w:rPr>
        <w:t xml:space="preserve"> on</w:t>
      </w:r>
      <w:r>
        <w:t xml:space="preserve"> the </w:t>
      </w:r>
      <w:r w:rsidRPr="00A64785">
        <w:rPr>
          <w:lang w:val="en-US" w:eastAsia="ja-JP"/>
        </w:rPr>
        <w:t>coexistence conditions between IMT and</w:t>
      </w:r>
      <w:r>
        <w:rPr>
          <w:lang w:val="en-US" w:eastAsia="ja-JP"/>
        </w:rPr>
        <w:t xml:space="preserve"> aeronautical mobile service in </w:t>
      </w:r>
      <w:r w:rsidRPr="00A64785">
        <w:rPr>
          <w:lang w:val="en-US" w:eastAsia="ja-JP"/>
        </w:rPr>
        <w:t>the band</w:t>
      </w:r>
      <w:r>
        <w:t xml:space="preserve"> frequency band </w:t>
      </w:r>
      <w:r>
        <w:rPr>
          <w:rFonts w:cs="Arial"/>
        </w:rPr>
        <w:t>4800</w:t>
      </w:r>
      <w:r w:rsidR="008B4B4F">
        <w:rPr>
          <w:rFonts w:cs="Arial"/>
        </w:rPr>
        <w:t>–</w:t>
      </w:r>
      <w:r>
        <w:rPr>
          <w:rFonts w:cs="Arial"/>
        </w:rPr>
        <w:t>4990</w:t>
      </w:r>
      <w:r w:rsidRPr="00A35227">
        <w:rPr>
          <w:rFonts w:cs="Arial"/>
        </w:rPr>
        <w:t xml:space="preserve"> MHz</w:t>
      </w:r>
      <w:r>
        <w:t xml:space="preserve">. </w:t>
      </w:r>
      <w:r>
        <w:rPr>
          <w:rFonts w:eastAsia="SimSun"/>
          <w:lang w:eastAsia="zh-CN"/>
        </w:rPr>
        <w:t xml:space="preserve">Working Party 5D is aiming to complete these work items by late 2017. </w:t>
      </w:r>
    </w:p>
    <w:p w14:paraId="25CEDDCE" w14:textId="77777777" w:rsidR="0015601F" w:rsidRDefault="0015601F" w:rsidP="004D0DEA">
      <w:pPr>
        <w:rPr>
          <w:rFonts w:eastAsia="SimSun"/>
          <w:lang w:eastAsia="zh-CN"/>
        </w:rPr>
      </w:pPr>
      <w:r w:rsidRPr="001637DE">
        <w:rPr>
          <w:rFonts w:eastAsia="SimSun"/>
          <w:lang w:eastAsia="zh-CN"/>
        </w:rPr>
        <w:t xml:space="preserve">The AWG has a work plan to develop a recommendation on frequency arrangements for the </w:t>
      </w:r>
      <w:r w:rsidRPr="001637DE">
        <w:rPr>
          <w:szCs w:val="20"/>
        </w:rPr>
        <w:t xml:space="preserve">4800–4990 MHz </w:t>
      </w:r>
      <w:r w:rsidRPr="001637DE">
        <w:rPr>
          <w:rFonts w:eastAsia="SimSun"/>
          <w:lang w:eastAsia="zh-CN"/>
        </w:rPr>
        <w:t>band. The current proposal is to finalise the work in late 2017.</w:t>
      </w:r>
    </w:p>
    <w:p w14:paraId="0C1FFCA9" w14:textId="77777777" w:rsidR="004D0DEA" w:rsidRPr="00E95553" w:rsidRDefault="004D0DEA" w:rsidP="0039046B">
      <w:pPr>
        <w:pStyle w:val="BodySubHeader"/>
        <w:keepNext/>
      </w:pPr>
      <w:r w:rsidRPr="00E95553">
        <w:t>Next steps</w:t>
      </w:r>
    </w:p>
    <w:p w14:paraId="422C842F" w14:textId="77777777" w:rsidR="004D0DEA" w:rsidRDefault="004D0DEA" w:rsidP="004D0DEA">
      <w:pPr>
        <w:rPr>
          <w:rFonts w:cs="Arial"/>
        </w:rPr>
      </w:pPr>
      <w:r>
        <w:rPr>
          <w:rFonts w:cs="Arial"/>
        </w:rPr>
        <w:t>Given the outcomes of WRC-15</w:t>
      </w:r>
      <w:r w:rsidR="008B4B4F">
        <w:rPr>
          <w:rFonts w:cs="Arial"/>
        </w:rPr>
        <w:t>,</w:t>
      </w:r>
      <w:r>
        <w:rPr>
          <w:rFonts w:cs="Arial"/>
        </w:rPr>
        <w:t xml:space="preserve"> and the potential for economies of scale to develop for equipment, the ACMA will continue to monitor international developments in the 4.9 GHz band. </w:t>
      </w:r>
    </w:p>
    <w:p w14:paraId="40D7E008" w14:textId="77777777" w:rsidR="004D0DEA" w:rsidRPr="00E248AD" w:rsidRDefault="004D0DEA" w:rsidP="004D0DEA">
      <w:pPr>
        <w:rPr>
          <w:rFonts w:cs="Arial"/>
        </w:rPr>
      </w:pPr>
      <w:r w:rsidRPr="00E248AD">
        <w:rPr>
          <w:rFonts w:cs="Arial"/>
        </w:rPr>
        <w:t xml:space="preserve">Possible engagement </w:t>
      </w:r>
      <w:r>
        <w:rPr>
          <w:rFonts w:cs="Arial"/>
        </w:rPr>
        <w:t xml:space="preserve">(including through contributions) </w:t>
      </w:r>
      <w:r w:rsidRPr="00E248AD">
        <w:rPr>
          <w:rFonts w:cs="Arial"/>
        </w:rPr>
        <w:t xml:space="preserve">in international studies </w:t>
      </w:r>
      <w:r>
        <w:rPr>
          <w:szCs w:val="20"/>
        </w:rPr>
        <w:t xml:space="preserve">as outlined in Resolution </w:t>
      </w:r>
      <w:r w:rsidRPr="00E7054F">
        <w:rPr>
          <w:b/>
          <w:szCs w:val="20"/>
        </w:rPr>
        <w:t>223 (Rev. WRC-15)</w:t>
      </w:r>
      <w:r>
        <w:rPr>
          <w:szCs w:val="20"/>
        </w:rPr>
        <w:t xml:space="preserve"> </w:t>
      </w:r>
      <w:r w:rsidRPr="00E248AD">
        <w:rPr>
          <w:rFonts w:cs="Arial"/>
        </w:rPr>
        <w:t xml:space="preserve">will be </w:t>
      </w:r>
      <w:r>
        <w:rPr>
          <w:rFonts w:cs="Arial"/>
        </w:rPr>
        <w:t>considered</w:t>
      </w:r>
      <w:r w:rsidRPr="00E248AD">
        <w:rPr>
          <w:rFonts w:cs="Arial"/>
        </w:rPr>
        <w:t xml:space="preserve"> as part of the ACMA’s international engagement processes. </w:t>
      </w:r>
    </w:p>
    <w:p w14:paraId="34BA6E65" w14:textId="77777777" w:rsidR="004D0DEA" w:rsidRPr="00AB3B86" w:rsidRDefault="004D0DEA" w:rsidP="004D0DEA">
      <w:pPr>
        <w:pStyle w:val="Heading3"/>
      </w:pPr>
      <w:bookmarkStart w:id="370" w:name="_Toc458084578"/>
      <w:bookmarkStart w:id="371" w:name="_Toc458608715"/>
      <w:bookmarkStart w:id="372" w:name="_Toc461108021"/>
      <w:bookmarkStart w:id="373" w:name="_Toc461194848"/>
      <w:bookmarkStart w:id="374" w:name="_Toc461445498"/>
      <w:bookmarkStart w:id="375" w:name="_Toc463351336"/>
      <w:r w:rsidRPr="00AB3B86">
        <w:t xml:space="preserve">Bands being studied under WRC-19 </w:t>
      </w:r>
      <w:r>
        <w:t>agenda item</w:t>
      </w:r>
      <w:r w:rsidRPr="00AB3B86">
        <w:t xml:space="preserve"> 1.16</w:t>
      </w:r>
      <w:bookmarkEnd w:id="370"/>
      <w:bookmarkEnd w:id="371"/>
      <w:bookmarkEnd w:id="372"/>
      <w:bookmarkEnd w:id="373"/>
      <w:bookmarkEnd w:id="374"/>
      <w:bookmarkEnd w:id="375"/>
    </w:p>
    <w:p w14:paraId="6F29EA36" w14:textId="77777777" w:rsidR="004D0DEA" w:rsidRDefault="004D0DEA" w:rsidP="004D0DEA">
      <w:pPr>
        <w:rPr>
          <w:rFonts w:cs="Arial"/>
        </w:rPr>
      </w:pPr>
      <w:r w:rsidRPr="00A0361C">
        <w:rPr>
          <w:rFonts w:cs="Arial"/>
        </w:rPr>
        <w:t xml:space="preserve">WRC-19 </w:t>
      </w:r>
      <w:r>
        <w:rPr>
          <w:rFonts w:cs="Arial"/>
        </w:rPr>
        <w:t>agenda item</w:t>
      </w:r>
      <w:r w:rsidRPr="00A0361C">
        <w:rPr>
          <w:rFonts w:cs="Arial"/>
        </w:rPr>
        <w:t xml:space="preserve"> 1.16 is to consider issues related to wireless access systems, including radio local area networks (WAS/RLAN), in the frequency bands 5150</w:t>
      </w:r>
      <w:r>
        <w:rPr>
          <w:rFonts w:cs="Arial"/>
        </w:rPr>
        <w:t>–</w:t>
      </w:r>
      <w:r w:rsidRPr="00A0361C">
        <w:rPr>
          <w:rFonts w:cs="Arial"/>
        </w:rPr>
        <w:t>5350</w:t>
      </w:r>
      <w:r>
        <w:rPr>
          <w:rFonts w:cs="Arial"/>
        </w:rPr>
        <w:t> </w:t>
      </w:r>
      <w:r w:rsidRPr="00A0361C">
        <w:rPr>
          <w:rFonts w:cs="Arial"/>
        </w:rPr>
        <w:t>MHz</w:t>
      </w:r>
      <w:r>
        <w:rPr>
          <w:rFonts w:cs="Arial"/>
        </w:rPr>
        <w:t xml:space="preserve"> (to enable outdoor usage)</w:t>
      </w:r>
      <w:r w:rsidRPr="00A0361C">
        <w:rPr>
          <w:rFonts w:cs="Arial"/>
        </w:rPr>
        <w:t>, 5350</w:t>
      </w:r>
      <w:r>
        <w:rPr>
          <w:rFonts w:cs="Arial"/>
        </w:rPr>
        <w:t>–</w:t>
      </w:r>
      <w:r w:rsidRPr="00A0361C">
        <w:rPr>
          <w:rFonts w:cs="Arial"/>
        </w:rPr>
        <w:t>5470 MHz, 5725</w:t>
      </w:r>
      <w:r>
        <w:rPr>
          <w:rFonts w:cs="Arial"/>
        </w:rPr>
        <w:t>–</w:t>
      </w:r>
      <w:r w:rsidRPr="00A0361C">
        <w:rPr>
          <w:rFonts w:cs="Arial"/>
        </w:rPr>
        <w:t>5850 MHz and 5850</w:t>
      </w:r>
      <w:r>
        <w:rPr>
          <w:rFonts w:cs="Arial"/>
        </w:rPr>
        <w:t>–</w:t>
      </w:r>
      <w:r w:rsidRPr="00A0361C">
        <w:rPr>
          <w:rFonts w:cs="Arial"/>
        </w:rPr>
        <w:t>5925 MHz</w:t>
      </w:r>
      <w:r>
        <w:rPr>
          <w:rFonts w:cs="Arial"/>
        </w:rPr>
        <w:t xml:space="preserve">, </w:t>
      </w:r>
      <w:r w:rsidRPr="00A0361C">
        <w:rPr>
          <w:rFonts w:cs="Arial"/>
        </w:rPr>
        <w:t>while ensuring the protection of incumbent</w:t>
      </w:r>
      <w:r>
        <w:rPr>
          <w:rFonts w:cs="Arial"/>
        </w:rPr>
        <w:t xml:space="preserve"> </w:t>
      </w:r>
      <w:r w:rsidRPr="00A0361C">
        <w:rPr>
          <w:rFonts w:cs="Arial"/>
        </w:rPr>
        <w:t>services including their current and planned use</w:t>
      </w:r>
      <w:r>
        <w:rPr>
          <w:rFonts w:cs="Arial"/>
        </w:rPr>
        <w:t>.</w:t>
      </w:r>
    </w:p>
    <w:p w14:paraId="360B0B6F" w14:textId="77777777" w:rsidR="004D0DEA" w:rsidRDefault="004D0DEA" w:rsidP="004D0DEA">
      <w:pPr>
        <w:tabs>
          <w:tab w:val="left" w:pos="5655"/>
        </w:tabs>
        <w:spacing w:before="240"/>
        <w:rPr>
          <w:rFonts w:cs="Arial"/>
        </w:rPr>
      </w:pPr>
      <w:r>
        <w:rPr>
          <w:rFonts w:cs="Arial"/>
        </w:rPr>
        <w:t xml:space="preserve">There is strong interest from the </w:t>
      </w:r>
      <w:r w:rsidRPr="00E657B5">
        <w:rPr>
          <w:rFonts w:cs="Arial"/>
        </w:rPr>
        <w:t>US and the United Kingdom (UK) to</w:t>
      </w:r>
      <w:r>
        <w:rPr>
          <w:rFonts w:cs="Arial"/>
        </w:rPr>
        <w:t xml:space="preserve"> investigate use of the </w:t>
      </w:r>
      <w:r w:rsidRPr="00A0361C">
        <w:rPr>
          <w:rFonts w:cs="Arial"/>
        </w:rPr>
        <w:t>5350</w:t>
      </w:r>
      <w:r>
        <w:rPr>
          <w:rFonts w:cs="Arial"/>
        </w:rPr>
        <w:t>–</w:t>
      </w:r>
      <w:r w:rsidRPr="00A0361C">
        <w:rPr>
          <w:rFonts w:cs="Arial"/>
        </w:rPr>
        <w:t>5470 MHz</w:t>
      </w:r>
      <w:r>
        <w:rPr>
          <w:rFonts w:cs="Arial"/>
        </w:rPr>
        <w:t xml:space="preserve"> band for RLANs. Europe has indicated interest in investigating use of the </w:t>
      </w:r>
      <w:r w:rsidRPr="00A0361C">
        <w:rPr>
          <w:rFonts w:cs="Arial"/>
        </w:rPr>
        <w:t>5725</w:t>
      </w:r>
      <w:r>
        <w:rPr>
          <w:rFonts w:cs="Arial"/>
        </w:rPr>
        <w:t>–</w:t>
      </w:r>
      <w:r w:rsidRPr="00A0361C">
        <w:rPr>
          <w:rFonts w:cs="Arial"/>
        </w:rPr>
        <w:t>5850 MHz</w:t>
      </w:r>
      <w:r>
        <w:rPr>
          <w:rFonts w:cs="Arial"/>
        </w:rPr>
        <w:t xml:space="preserve"> band for RLANs. Arrangements already exist in Australia for RLANs in the </w:t>
      </w:r>
      <w:r w:rsidRPr="00A0361C">
        <w:rPr>
          <w:rFonts w:cs="Arial"/>
        </w:rPr>
        <w:t>5150</w:t>
      </w:r>
      <w:r>
        <w:rPr>
          <w:rFonts w:cs="Arial"/>
        </w:rPr>
        <w:t>–</w:t>
      </w:r>
      <w:r w:rsidRPr="00A0361C">
        <w:rPr>
          <w:rFonts w:cs="Arial"/>
        </w:rPr>
        <w:t>5350 MHz</w:t>
      </w:r>
      <w:r>
        <w:rPr>
          <w:rFonts w:cs="Arial"/>
        </w:rPr>
        <w:t xml:space="preserve"> band (low power indoor use only) and the</w:t>
      </w:r>
      <w:r w:rsidRPr="00A0361C">
        <w:rPr>
          <w:rFonts w:cs="Arial"/>
        </w:rPr>
        <w:t xml:space="preserve"> 5725</w:t>
      </w:r>
      <w:r>
        <w:rPr>
          <w:rFonts w:cs="Arial"/>
        </w:rPr>
        <w:t>–</w:t>
      </w:r>
      <w:r w:rsidRPr="00A0361C">
        <w:rPr>
          <w:rFonts w:cs="Arial"/>
        </w:rPr>
        <w:t>5850 MHz</w:t>
      </w:r>
      <w:r>
        <w:rPr>
          <w:rFonts w:cs="Arial"/>
        </w:rPr>
        <w:t xml:space="preserve"> band. The ACMA has also received requires to review existing Australian arrangement to align with US arrangements</w:t>
      </w:r>
      <w:r w:rsidR="00271EB7">
        <w:rPr>
          <w:rFonts w:cs="Arial"/>
        </w:rPr>
        <w:t>.</w:t>
      </w:r>
      <w:r>
        <w:rPr>
          <w:rStyle w:val="FootnoteReference"/>
          <w:rFonts w:cs="Arial"/>
        </w:rPr>
        <w:footnoteReference w:id="37"/>
      </w:r>
      <w:r>
        <w:rPr>
          <w:rFonts w:cs="Arial"/>
        </w:rPr>
        <w:t xml:space="preserve"> The </w:t>
      </w:r>
      <w:r w:rsidRPr="00A0361C">
        <w:rPr>
          <w:rFonts w:cs="Arial"/>
        </w:rPr>
        <w:t>5150</w:t>
      </w:r>
      <w:r>
        <w:rPr>
          <w:rFonts w:cs="Arial"/>
        </w:rPr>
        <w:t>–</w:t>
      </w:r>
      <w:r w:rsidRPr="00A0361C">
        <w:rPr>
          <w:rFonts w:cs="Arial"/>
        </w:rPr>
        <w:t>5350 MHz</w:t>
      </w:r>
      <w:r>
        <w:rPr>
          <w:rFonts w:cs="Arial"/>
        </w:rPr>
        <w:t xml:space="preserve"> and </w:t>
      </w:r>
      <w:r w:rsidRPr="00A0361C">
        <w:rPr>
          <w:rFonts w:cs="Arial"/>
        </w:rPr>
        <w:t>5725</w:t>
      </w:r>
      <w:r>
        <w:rPr>
          <w:rFonts w:cs="Arial"/>
        </w:rPr>
        <w:t>–</w:t>
      </w:r>
      <w:r w:rsidRPr="00A0361C">
        <w:rPr>
          <w:rFonts w:cs="Arial"/>
        </w:rPr>
        <w:t>5850 MHz</w:t>
      </w:r>
      <w:r>
        <w:rPr>
          <w:rFonts w:cs="Arial"/>
        </w:rPr>
        <w:t xml:space="preserve"> bands are also included in the IEEE 802.11 series of standards for WLAN. There are no arrangements in place for RLANs in the 5350–5470 MHz</w:t>
      </w:r>
      <w:r w:rsidRPr="00A0361C">
        <w:rPr>
          <w:rFonts w:cs="Arial"/>
        </w:rPr>
        <w:t xml:space="preserve"> and 5850</w:t>
      </w:r>
      <w:r>
        <w:rPr>
          <w:rFonts w:cs="Arial"/>
        </w:rPr>
        <w:t>–</w:t>
      </w:r>
      <w:r w:rsidRPr="00A0361C">
        <w:rPr>
          <w:rFonts w:cs="Arial"/>
        </w:rPr>
        <w:t>5925 MHz</w:t>
      </w:r>
      <w:r>
        <w:rPr>
          <w:rFonts w:cs="Arial"/>
        </w:rPr>
        <w:t xml:space="preserve"> bands in Australia.</w:t>
      </w:r>
    </w:p>
    <w:p w14:paraId="60C277DD" w14:textId="77777777" w:rsidR="004D0DEA" w:rsidRDefault="004D0DEA" w:rsidP="004D0DEA">
      <w:pPr>
        <w:rPr>
          <w:rFonts w:cs="Arial"/>
        </w:rPr>
      </w:pPr>
      <w:r>
        <w:rPr>
          <w:rFonts w:cs="Arial"/>
        </w:rPr>
        <w:t xml:space="preserve">Numerous countries around the world, including Australia, have or are considering identifying the </w:t>
      </w:r>
      <w:r w:rsidRPr="00A0361C">
        <w:rPr>
          <w:rFonts w:cs="Arial"/>
        </w:rPr>
        <w:t>5850</w:t>
      </w:r>
      <w:r>
        <w:rPr>
          <w:rFonts w:cs="Arial"/>
        </w:rPr>
        <w:t>–</w:t>
      </w:r>
      <w:r w:rsidRPr="00A0361C">
        <w:rPr>
          <w:rFonts w:cs="Arial"/>
        </w:rPr>
        <w:t>5</w:t>
      </w:r>
      <w:r>
        <w:rPr>
          <w:rFonts w:cs="Arial"/>
        </w:rPr>
        <w:t>9</w:t>
      </w:r>
      <w:r w:rsidRPr="00A0361C">
        <w:rPr>
          <w:rFonts w:cs="Arial"/>
        </w:rPr>
        <w:t>25 MHz</w:t>
      </w:r>
      <w:r>
        <w:rPr>
          <w:rFonts w:cs="Arial"/>
        </w:rPr>
        <w:t xml:space="preserve"> band for </w:t>
      </w:r>
      <w:r w:rsidRPr="00E657B5">
        <w:rPr>
          <w:rFonts w:cs="Arial"/>
        </w:rPr>
        <w:t>Intelligent Transport Systems (ITS).</w:t>
      </w:r>
      <w:r>
        <w:rPr>
          <w:rFonts w:cs="Arial"/>
        </w:rPr>
        <w:t xml:space="preserve"> The ACMA is facilitating trials in Australia</w:t>
      </w:r>
      <w:r w:rsidR="00271EB7">
        <w:rPr>
          <w:rFonts w:cs="Arial"/>
        </w:rPr>
        <w:t>,</w:t>
      </w:r>
      <w:r>
        <w:rPr>
          <w:rFonts w:cs="Arial"/>
        </w:rPr>
        <w:t xml:space="preserve"> while considering the implementation of future arrangements for ITS. </w:t>
      </w:r>
    </w:p>
    <w:p w14:paraId="1F7D519F" w14:textId="77777777" w:rsidR="004D0DEA" w:rsidRPr="00E95553" w:rsidRDefault="004D0DEA" w:rsidP="004D0DEA">
      <w:pPr>
        <w:pStyle w:val="BodySubHeader"/>
        <w:keepNext/>
        <w:keepLines/>
      </w:pPr>
      <w:r>
        <w:t>Developments since February 2016</w:t>
      </w:r>
    </w:p>
    <w:p w14:paraId="25B10FAA" w14:textId="77777777" w:rsidR="004D0DEA" w:rsidRDefault="004D0DEA" w:rsidP="004D0DEA">
      <w:pPr>
        <w:keepNext/>
        <w:keepLines/>
        <w:spacing w:after="80"/>
      </w:pPr>
      <w:r>
        <w:t>In May 2016, Working party 5A commenced work towards WRC-19 agenda item 1.16. Australia submitted a contribution to this meeting to provide the regulatory background to the operation of WAS/RLANs in the 5150</w:t>
      </w:r>
      <w:r w:rsidR="00271EB7">
        <w:t>–</w:t>
      </w:r>
      <w:r>
        <w:t xml:space="preserve">5250 MHz segment. A work plan for studies was developed and text for the report to the </w:t>
      </w:r>
      <w:r w:rsidR="00271EB7">
        <w:t>c</w:t>
      </w:r>
      <w:r>
        <w:t xml:space="preserve">onference preparatory </w:t>
      </w:r>
      <w:r w:rsidR="00271EB7">
        <w:t>m</w:t>
      </w:r>
      <w:r>
        <w:t>eeting was commenced. In addition, working documents towards preliminary draft new Reports were created on:</w:t>
      </w:r>
    </w:p>
    <w:p w14:paraId="14B2AA80" w14:textId="77777777" w:rsidR="004D0DEA" w:rsidRPr="00B07A0B" w:rsidRDefault="00271EB7" w:rsidP="004D0DEA">
      <w:pPr>
        <w:pStyle w:val="ListBullet"/>
      </w:pPr>
      <w:r>
        <w:t>p</w:t>
      </w:r>
      <w:r w:rsidR="004D0DEA" w:rsidRPr="00551253">
        <w:t>ossible</w:t>
      </w:r>
      <w:r w:rsidR="004D0DEA" w:rsidRPr="00B07A0B">
        <w:t xml:space="preserve"> additional mitigation techniques to facilitate sharing between RLAN systems and incumbent services</w:t>
      </w:r>
    </w:p>
    <w:p w14:paraId="2543BDC1" w14:textId="77777777" w:rsidR="004D0DEA" w:rsidRPr="00B07A0B" w:rsidRDefault="00271EB7" w:rsidP="004D0DEA">
      <w:pPr>
        <w:pStyle w:val="ListBullet"/>
      </w:pPr>
      <w:r>
        <w:t>t</w:t>
      </w:r>
      <w:r w:rsidR="004D0DEA" w:rsidRPr="00551253">
        <w:t>echnical</w:t>
      </w:r>
      <w:r w:rsidR="004D0DEA" w:rsidRPr="00B07A0B">
        <w:t xml:space="preserve"> characteristics and operational requirements of WAS/RLAN in the 5 GHz frequency range</w:t>
      </w:r>
    </w:p>
    <w:p w14:paraId="32D35301" w14:textId="77777777" w:rsidR="004D0DEA" w:rsidRPr="00B07A0B" w:rsidRDefault="00271EB7" w:rsidP="004D0DEA">
      <w:pPr>
        <w:pStyle w:val="ListBullet"/>
      </w:pPr>
      <w:r>
        <w:t>u</w:t>
      </w:r>
      <w:r w:rsidR="004D0DEA" w:rsidRPr="00B07A0B">
        <w:t>se of aggregate RLAN measurements from airborne and terrestrial platforms to support studies under WRC-19 agenda item 1.16</w:t>
      </w:r>
    </w:p>
    <w:p w14:paraId="7024288C" w14:textId="77777777" w:rsidR="004D0DEA" w:rsidRDefault="00271EB7" w:rsidP="004D0DEA">
      <w:pPr>
        <w:pStyle w:val="ListBulletLast"/>
      </w:pPr>
      <w:r>
        <w:t>s</w:t>
      </w:r>
      <w:r w:rsidR="004D0DEA" w:rsidRPr="00B07A0B">
        <w:t>haring and compatibility studies of WAS/RLAN in the 5 GHz frequency range</w:t>
      </w:r>
      <w:r>
        <w:t>.</w:t>
      </w:r>
    </w:p>
    <w:p w14:paraId="3634853C" w14:textId="77777777" w:rsidR="004D0DEA" w:rsidRDefault="004D0DEA" w:rsidP="004D0DEA">
      <w:r w:rsidRPr="00B07A0B">
        <w:t>Working Party 5A is aiming to finalise these reports by mid-2018.</w:t>
      </w:r>
    </w:p>
    <w:p w14:paraId="17E82ABD" w14:textId="77777777" w:rsidR="004D0DEA" w:rsidRPr="00E95553" w:rsidRDefault="004D0DEA" w:rsidP="004D0DEA">
      <w:pPr>
        <w:pStyle w:val="BodySubHeader"/>
      </w:pPr>
      <w:r w:rsidRPr="00E95553">
        <w:t>Next steps</w:t>
      </w:r>
    </w:p>
    <w:p w14:paraId="40BC4344" w14:textId="77777777" w:rsidR="004D0DEA" w:rsidRPr="00E21E78" w:rsidRDefault="004D0DEA" w:rsidP="004D0DEA">
      <w:r>
        <w:t xml:space="preserve">The ACMA intends to monitor and, where appropriate,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WRC-19 agenda item 1.16</w:t>
      </w:r>
      <w:r>
        <w:rPr>
          <w:rFonts w:cs="Arial"/>
        </w:rPr>
        <w:t xml:space="preserve">. When appropriate, it will develop individual positions on each of the bands being studied and potentially contribute to international sharing and compatibility studies </w:t>
      </w:r>
      <w:r>
        <w:t>on issues/bands of most interest to Australia</w:t>
      </w:r>
      <w:r w:rsidR="00271EB7">
        <w:t>,</w:t>
      </w:r>
      <w:r>
        <w:t xml:space="preserve"> as determined through t</w:t>
      </w:r>
      <w:r>
        <w:rPr>
          <w:rFonts w:cs="Arial"/>
        </w:rPr>
        <w:t>he WRC-19 agenda item 1.16 coordination group</w:t>
      </w:r>
      <w:r w:rsidRPr="00E248AD">
        <w:rPr>
          <w:rFonts w:cs="Arial"/>
        </w:rPr>
        <w:t>.</w:t>
      </w:r>
      <w:r>
        <w:rPr>
          <w:rFonts w:cs="Arial"/>
        </w:rPr>
        <w:t xml:space="preserve"> </w:t>
      </w:r>
      <w:r w:rsidR="00271EB7">
        <w:rPr>
          <w:rFonts w:cs="Arial"/>
        </w:rPr>
        <w:t xml:space="preserve">The </w:t>
      </w:r>
      <w:r>
        <w:rPr>
          <w:rFonts w:cs="Arial"/>
        </w:rPr>
        <w:t xml:space="preserve">ACMA also aims to have representatives attend ITU-R </w:t>
      </w:r>
      <w:r w:rsidRPr="00843E3A">
        <w:rPr>
          <w:rFonts w:cs="Arial"/>
        </w:rPr>
        <w:t xml:space="preserve">Working Party 5A </w:t>
      </w:r>
      <w:r>
        <w:rPr>
          <w:rFonts w:cs="Arial"/>
        </w:rPr>
        <w:t>meetings, as appropriate.</w:t>
      </w:r>
    </w:p>
    <w:p w14:paraId="116D60CC" w14:textId="77777777" w:rsidR="004D0DEA" w:rsidRPr="00AB3B86" w:rsidRDefault="004D0DEA" w:rsidP="004D0DEA">
      <w:pPr>
        <w:pStyle w:val="Heading3"/>
      </w:pPr>
      <w:bookmarkStart w:id="376" w:name="_Toc458084579"/>
      <w:bookmarkStart w:id="377" w:name="_Toc458608716"/>
      <w:bookmarkStart w:id="378" w:name="_Toc461108022"/>
      <w:bookmarkStart w:id="379" w:name="_Toc461194849"/>
      <w:bookmarkStart w:id="380" w:name="_Toc461445499"/>
      <w:bookmarkStart w:id="381" w:name="_Toc463351337"/>
      <w:r w:rsidRPr="00AB3B86">
        <w:t xml:space="preserve">Bands being studied under WRC-19 </w:t>
      </w:r>
      <w:r>
        <w:t>agenda item</w:t>
      </w:r>
      <w:r w:rsidRPr="00AB3B86">
        <w:t xml:space="preserve"> 1.13</w:t>
      </w:r>
      <w:bookmarkEnd w:id="376"/>
      <w:bookmarkEnd w:id="377"/>
      <w:bookmarkEnd w:id="378"/>
      <w:bookmarkEnd w:id="379"/>
      <w:bookmarkEnd w:id="380"/>
      <w:bookmarkEnd w:id="381"/>
    </w:p>
    <w:p w14:paraId="2C272476" w14:textId="77777777" w:rsidR="004D0DEA" w:rsidRDefault="004D0DEA" w:rsidP="004D0DEA">
      <w:r w:rsidRPr="00EE29AC">
        <w:t xml:space="preserve">WRC-19 </w:t>
      </w:r>
      <w:r>
        <w:t>agenda item</w:t>
      </w:r>
      <w:r w:rsidRPr="00EE29AC">
        <w:t xml:space="preserve"> 1.1</w:t>
      </w:r>
      <w:r>
        <w:t>3</w:t>
      </w:r>
      <w:r w:rsidRPr="00EE29AC">
        <w:t xml:space="preserve"> is to consider identification of frequency bands for the future development </w:t>
      </w:r>
      <w:r w:rsidRPr="00E657B5">
        <w:t>of International Mobile Telecommunications (IMT),</w:t>
      </w:r>
      <w:r w:rsidRPr="00EE29AC">
        <w:t xml:space="preserve"> including possible additional allocations to the mobile service on a primary basis.</w:t>
      </w:r>
      <w:r>
        <w:t xml:space="preserve"> This agenda item is widely acknowledged to be focussing on spectrum harmonisation requirements for 5G mobile broadband technologies. </w:t>
      </w:r>
    </w:p>
    <w:p w14:paraId="74AE9F1A" w14:textId="77777777" w:rsidR="004D0DEA" w:rsidRDefault="004D0DEA" w:rsidP="004D0DEA">
      <w:r w:rsidRPr="00EE29AC">
        <w:t xml:space="preserve">The frequency bands to be considered under this </w:t>
      </w:r>
      <w:r>
        <w:t>agenda item</w:t>
      </w:r>
      <w:r w:rsidRPr="00EE29AC">
        <w:t xml:space="preserve"> are 24.25</w:t>
      </w:r>
      <w:r>
        <w:t>–</w:t>
      </w:r>
      <w:r w:rsidRPr="00EE29AC">
        <w:t>27.5 GHz, 37</w:t>
      </w:r>
      <w:r>
        <w:t>–</w:t>
      </w:r>
      <w:r w:rsidRPr="00EE29AC">
        <w:t>40.5 GHz, 42.5</w:t>
      </w:r>
      <w:r>
        <w:t>–</w:t>
      </w:r>
      <w:r w:rsidRPr="00EE29AC">
        <w:t>43.5 GHz, 45.5</w:t>
      </w:r>
      <w:r>
        <w:t>–</w:t>
      </w:r>
      <w:r w:rsidRPr="00EE29AC">
        <w:t>47 GHz, 47.2</w:t>
      </w:r>
      <w:r>
        <w:t>–</w:t>
      </w:r>
      <w:r w:rsidRPr="00EE29AC">
        <w:t>50.2 GHz, 50.4</w:t>
      </w:r>
      <w:r>
        <w:t>–</w:t>
      </w:r>
      <w:r w:rsidRPr="00EE29AC">
        <w:t>52.6 GHz, 66</w:t>
      </w:r>
      <w:r>
        <w:t>–</w:t>
      </w:r>
      <w:r w:rsidRPr="00EE29AC">
        <w:t>76 GHz and 81</w:t>
      </w:r>
      <w:r>
        <w:t>–</w:t>
      </w:r>
      <w:r w:rsidRPr="00EE29AC">
        <w:t>86 GHz, which have allocations to the mobile service on a primary basis; and</w:t>
      </w:r>
      <w:r>
        <w:t xml:space="preserve"> </w:t>
      </w:r>
      <w:r w:rsidRPr="00EE29AC">
        <w:t>31.8</w:t>
      </w:r>
      <w:r>
        <w:t>–</w:t>
      </w:r>
      <w:r w:rsidRPr="00EE29AC">
        <w:t>33.4 GHz, 40.5</w:t>
      </w:r>
      <w:r>
        <w:t>–</w:t>
      </w:r>
      <w:r w:rsidRPr="00EE29AC">
        <w:t>42.5 GHz and 47</w:t>
      </w:r>
      <w:r>
        <w:t>–</w:t>
      </w:r>
      <w:r w:rsidRPr="00EE29AC">
        <w:t xml:space="preserve">47.2 GHz, which may require additional allocations to the mobile service on a primary basis. </w:t>
      </w:r>
    </w:p>
    <w:p w14:paraId="6A1A9949" w14:textId="77777777" w:rsidR="004D0DEA" w:rsidRDefault="004D0DEA" w:rsidP="004D0DEA">
      <w:r w:rsidRPr="00EE29AC">
        <w:t xml:space="preserve">There is strong interest </w:t>
      </w:r>
      <w:r>
        <w:t>on this issue</w:t>
      </w:r>
      <w:r w:rsidRPr="00EE29AC">
        <w:t xml:space="preserve"> domestically</w:t>
      </w:r>
      <w:r>
        <w:t xml:space="preserve"> and internationally, particularly in Region 3 countries such as South Korea, Japan and China.</w:t>
      </w:r>
    </w:p>
    <w:p w14:paraId="197774A4" w14:textId="77777777" w:rsidR="004D0DEA" w:rsidRDefault="004D0DEA" w:rsidP="004D0DEA">
      <w:r>
        <w:t>There are wide and varied ranges of incumbency and co-existence issues associated with each of these bands, which will need to be considered if the bands were to be investigated domestically for mobile broadband in the future.</w:t>
      </w:r>
    </w:p>
    <w:p w14:paraId="16C2795E" w14:textId="77777777" w:rsidR="004D0DEA" w:rsidRPr="00E95553" w:rsidRDefault="004D0DEA" w:rsidP="004D0DEA">
      <w:pPr>
        <w:pStyle w:val="BodySubHeader"/>
      </w:pPr>
      <w:r>
        <w:t>Developments since February 2016</w:t>
      </w:r>
    </w:p>
    <w:p w14:paraId="3DB6D10F" w14:textId="77777777" w:rsidR="004D0DEA" w:rsidRDefault="004D0DEA" w:rsidP="004D0DEA">
      <w:r>
        <w:t xml:space="preserve">In May 2016, Study Group 5 confirmed the establishment of Task Group 5/1 (TG 5/1_ to address WRC-19 agenda item 1.13 and the </w:t>
      </w:r>
      <w:r>
        <w:rPr>
          <w:bCs/>
          <w:lang w:eastAsia="ja-JP"/>
        </w:rPr>
        <w:t>corresponding Terms of Reference (</w:t>
      </w:r>
      <w:hyperlink r:id="rId98" w:history="1">
        <w:r w:rsidRPr="004B2D78">
          <w:rPr>
            <w:rStyle w:val="Hyperlink"/>
            <w:rFonts w:hint="eastAsia"/>
            <w:lang w:eastAsia="ja-JP"/>
          </w:rPr>
          <w:t>CA/2</w:t>
        </w:r>
        <w:r w:rsidRPr="004B2D78">
          <w:rPr>
            <w:rStyle w:val="Hyperlink"/>
            <w:lang w:eastAsia="ja-JP"/>
          </w:rPr>
          <w:t>2</w:t>
        </w:r>
        <w:r w:rsidRPr="004B2D78">
          <w:rPr>
            <w:rStyle w:val="Hyperlink"/>
            <w:rFonts w:hint="eastAsia"/>
            <w:lang w:eastAsia="ja-JP"/>
          </w:rPr>
          <w:t>6</w:t>
        </w:r>
        <w:r w:rsidRPr="004B2D78">
          <w:rPr>
            <w:rStyle w:val="Hyperlink"/>
          </w:rPr>
          <w:t xml:space="preserve"> (Annex 9)</w:t>
        </w:r>
      </w:hyperlink>
      <w:r>
        <w:rPr>
          <w:bCs/>
          <w:lang w:eastAsia="ja-JP"/>
        </w:rPr>
        <w:t>). The scope, structure and a work plan were developed at the first meeting of TG 5/1 in May 2015. The next meeting of TG 5/1</w:t>
      </w:r>
      <w:r>
        <w:t xml:space="preserve"> will be conducted after </w:t>
      </w:r>
      <w:r w:rsidR="00271EB7">
        <w:t>31 </w:t>
      </w:r>
      <w:r>
        <w:t>March 2017 to ensure that information on parameters and propagation models has been provided by contributing groups.</w:t>
      </w:r>
    </w:p>
    <w:p w14:paraId="297EF1FC" w14:textId="77777777" w:rsidR="004D0DEA" w:rsidRPr="00567C27" w:rsidRDefault="004D0DEA" w:rsidP="004D0DEA">
      <w:r>
        <w:t xml:space="preserve">In its </w:t>
      </w:r>
      <w:hyperlink r:id="rId99" w:history="1">
        <w:r w:rsidRPr="0096736C">
          <w:rPr>
            <w:rStyle w:val="Hyperlink"/>
          </w:rPr>
          <w:t>draft opinion on spectrum related aspects for next-generation wireless systems (5G)</w:t>
        </w:r>
      </w:hyperlink>
      <w:r>
        <w:t>, released 14 June 2016, the Radio Spectrum Policy Group</w:t>
      </w:r>
      <w:r>
        <w:rPr>
          <w:rStyle w:val="FootnoteReference"/>
        </w:rPr>
        <w:footnoteReference w:id="38"/>
      </w:r>
      <w:r>
        <w:t xml:space="preserve"> (RSPG) stated </w:t>
      </w:r>
      <w:r w:rsidRPr="005D5BFB">
        <w:t>that considerations of bands above 6 GHz for 5G sh</w:t>
      </w:r>
      <w:r>
        <w:t>ould</w:t>
      </w:r>
      <w:r w:rsidRPr="005D5BFB">
        <w:t xml:space="preserve"> be limited to the bands listed </w:t>
      </w:r>
      <w:r>
        <w:t>in WRC-19 agenda item 1.13</w:t>
      </w:r>
      <w:r w:rsidRPr="005D5BFB">
        <w:t xml:space="preserve"> in order to strengthen the global harmonisation</w:t>
      </w:r>
      <w:r w:rsidRPr="00567C27">
        <w:t xml:space="preserve"> opportunities. </w:t>
      </w:r>
      <w:r>
        <w:t>In particular, they believe t</w:t>
      </w:r>
      <w:r w:rsidRPr="00567C27">
        <w:t>his work should focus on the frequency bands proposed by Europe, in particular the bands 24.5</w:t>
      </w:r>
      <w:r w:rsidR="00271EB7">
        <w:t>–</w:t>
      </w:r>
      <w:r w:rsidRPr="00567C27">
        <w:t>27.5 GHz, 31.8</w:t>
      </w:r>
      <w:r w:rsidR="00271EB7">
        <w:t>–</w:t>
      </w:r>
      <w:r w:rsidRPr="00567C27">
        <w:t>33.4 GHz and 40.5</w:t>
      </w:r>
      <w:r w:rsidR="00271EB7">
        <w:t>–</w:t>
      </w:r>
      <w:r w:rsidRPr="00567C27">
        <w:t xml:space="preserve">43.5 GHz. The RSPG </w:t>
      </w:r>
      <w:r>
        <w:t>also noted its intention</w:t>
      </w:r>
      <w:r w:rsidRPr="00567C27">
        <w:t xml:space="preserve"> to identify which one of these could be harmonised in Europe for early implementation</w:t>
      </w:r>
      <w:r>
        <w:t xml:space="preserve"> (</w:t>
      </w:r>
      <w:r w:rsidR="00271EB7">
        <w:t>that is,</w:t>
      </w:r>
      <w:r>
        <w:t xml:space="preserve"> before WRC-19)</w:t>
      </w:r>
      <w:r w:rsidRPr="00567C27">
        <w:t xml:space="preserve">. </w:t>
      </w:r>
      <w:r w:rsidR="005F607C">
        <w:t>Responses to the draft opinion were released on 14 September 2016</w:t>
      </w:r>
      <w:r w:rsidR="00BC11EA">
        <w:t>.</w:t>
      </w:r>
      <w:r w:rsidR="005F607C">
        <w:rPr>
          <w:rStyle w:val="FootnoteReference"/>
        </w:rPr>
        <w:footnoteReference w:id="39"/>
      </w:r>
    </w:p>
    <w:p w14:paraId="0616199B" w14:textId="77777777" w:rsidR="004D0DEA" w:rsidRPr="005B7657" w:rsidRDefault="004D0DEA" w:rsidP="004D0DEA">
      <w:r>
        <w:t>However, a number of other organisations internationally are considering frequency bands outside those listed for consideration in WRC-19 agenda item 1.13 for the next generation of IMT</w:t>
      </w:r>
      <w:r w:rsidR="00271EB7">
        <w:t>,</w:t>
      </w:r>
      <w:r>
        <w:t xml:space="preserve"> which is discussed further below.</w:t>
      </w:r>
    </w:p>
    <w:p w14:paraId="18E1069C" w14:textId="77777777" w:rsidR="004D0DEA" w:rsidRPr="00E95553" w:rsidRDefault="004D0DEA" w:rsidP="004D0DEA">
      <w:pPr>
        <w:pStyle w:val="BodySubHeader"/>
      </w:pPr>
      <w:r w:rsidRPr="00E95553">
        <w:t>Next steps</w:t>
      </w:r>
    </w:p>
    <w:p w14:paraId="0BC74419" w14:textId="77777777" w:rsidR="004D0DEA" w:rsidRDefault="004D0DEA" w:rsidP="004D0DEA">
      <w:pPr>
        <w:rPr>
          <w:rFonts w:cs="Arial"/>
        </w:rPr>
      </w:pPr>
      <w:r>
        <w:t>The ACMA intends to monitor and</w:t>
      </w:r>
      <w:r w:rsidR="00271EB7">
        <w:t>,</w:t>
      </w:r>
      <w:r>
        <w:t xml:space="preserve"> where appropriate</w:t>
      </w:r>
      <w:r w:rsidR="00271EB7">
        <w:t>,</w:t>
      </w:r>
      <w:r>
        <w:t xml:space="preserve">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WRC-19 agenda item 1.13</w:t>
      </w:r>
      <w:r>
        <w:rPr>
          <w:rFonts w:cs="Arial"/>
        </w:rPr>
        <w:t>. When appropriate</w:t>
      </w:r>
      <w:r w:rsidR="00271EB7">
        <w:rPr>
          <w:rFonts w:cs="Arial"/>
        </w:rPr>
        <w:t>,</w:t>
      </w:r>
      <w:r>
        <w:rPr>
          <w:rFonts w:cs="Arial"/>
        </w:rPr>
        <w:t xml:space="preserve"> it will develop individual positions on each of the bands being studied and potentially contribute to international sharing and compatibility studies </w:t>
      </w:r>
      <w:r>
        <w:t>on issues/bands of most interest to Australia as determined through t</w:t>
      </w:r>
      <w:r>
        <w:rPr>
          <w:rFonts w:cs="Arial"/>
        </w:rPr>
        <w:t>he WRC-19 agenda item 1.13 coordination group</w:t>
      </w:r>
      <w:r w:rsidRPr="00E248AD">
        <w:rPr>
          <w:rFonts w:cs="Arial"/>
        </w:rPr>
        <w:t>.</w:t>
      </w:r>
      <w:r>
        <w:rPr>
          <w:rFonts w:cs="Arial"/>
        </w:rPr>
        <w:t xml:space="preserve"> </w:t>
      </w:r>
      <w:r w:rsidR="00271EB7">
        <w:rPr>
          <w:rFonts w:cs="Arial"/>
        </w:rPr>
        <w:t xml:space="preserve">The </w:t>
      </w:r>
      <w:r>
        <w:rPr>
          <w:rFonts w:cs="Arial"/>
        </w:rPr>
        <w:t>ACMA also aims to have representatives attend ITU-R Task Group 5/1 meetings, as appropriate.</w:t>
      </w:r>
    </w:p>
    <w:p w14:paraId="768C3A1C" w14:textId="77777777" w:rsidR="004D0DEA" w:rsidRPr="005B7657" w:rsidRDefault="004D0DEA" w:rsidP="004D0DEA">
      <w:r w:rsidRPr="00AA26E7">
        <w:t>The ACMA will monitor developments in Europe and other regions/countries (such as the US) with regard to possible early implementation bands for 5G. The feasibility of early implementation in Australia will depend on factors such as the location, type and number of incumbent services in the band, whether adequate interference management (or sharing) frameworks can be developed</w:t>
      </w:r>
      <w:r w:rsidR="00271EB7">
        <w:t>,</w:t>
      </w:r>
      <w:r w:rsidRPr="00AA26E7">
        <w:t xml:space="preserve"> and whether the development of economies of scale are likely. </w:t>
      </w:r>
    </w:p>
    <w:p w14:paraId="7C9E4BDD" w14:textId="77777777" w:rsidR="004D0DEA" w:rsidRDefault="004D0DEA" w:rsidP="004D0DEA">
      <w:pPr>
        <w:pStyle w:val="Heading3"/>
      </w:pPr>
      <w:bookmarkStart w:id="382" w:name="_Toc458084580"/>
      <w:bookmarkStart w:id="383" w:name="_Toc458608717"/>
      <w:bookmarkStart w:id="384" w:name="_Toc461108023"/>
      <w:bookmarkStart w:id="385" w:name="_Toc461194850"/>
      <w:bookmarkStart w:id="386" w:name="_Toc461445500"/>
      <w:bookmarkStart w:id="387" w:name="_Toc463351338"/>
      <w:r>
        <w:t>Bands being considered internationally for 5G</w:t>
      </w:r>
      <w:bookmarkEnd w:id="382"/>
      <w:bookmarkEnd w:id="383"/>
      <w:bookmarkEnd w:id="384"/>
      <w:bookmarkEnd w:id="385"/>
      <w:bookmarkEnd w:id="386"/>
      <w:bookmarkEnd w:id="387"/>
    </w:p>
    <w:p w14:paraId="5FD15BB0" w14:textId="77777777" w:rsidR="004D0DEA" w:rsidRPr="00E01D95" w:rsidRDefault="004D0DEA" w:rsidP="004D0DEA">
      <w:r w:rsidRPr="00E01D95">
        <w:t xml:space="preserve">In </w:t>
      </w:r>
      <w:r>
        <w:t>July 2016</w:t>
      </w:r>
      <w:r w:rsidRPr="00E01D95">
        <w:t xml:space="preserve">, </w:t>
      </w:r>
      <w:r w:rsidRPr="00186A8A">
        <w:t>the FCC</w:t>
      </w:r>
      <w:r>
        <w:t xml:space="preserve"> in the </w:t>
      </w:r>
      <w:r w:rsidR="00271EB7">
        <w:t>US</w:t>
      </w:r>
      <w:r>
        <w:t xml:space="preserve"> announced that</w:t>
      </w:r>
      <w:r w:rsidRPr="00E01D95">
        <w:t xml:space="preserve"> the 27.5</w:t>
      </w:r>
      <w:r w:rsidR="00271EB7">
        <w:t>–</w:t>
      </w:r>
      <w:r w:rsidRPr="00E01D95">
        <w:t>28.35 GHz, 37</w:t>
      </w:r>
      <w:r w:rsidR="00271EB7">
        <w:t>–</w:t>
      </w:r>
      <w:r w:rsidRPr="00E01D95">
        <w:t>38.6 G</w:t>
      </w:r>
      <w:r w:rsidRPr="00551253">
        <w:t>H</w:t>
      </w:r>
      <w:r w:rsidRPr="00E01D95">
        <w:t>z, 38.6</w:t>
      </w:r>
      <w:r w:rsidR="00271EB7">
        <w:t>–</w:t>
      </w:r>
      <w:r w:rsidRPr="00E01D95">
        <w:t>40 GHz and 64</w:t>
      </w:r>
      <w:r w:rsidR="00271EB7">
        <w:t>–</w:t>
      </w:r>
      <w:r w:rsidRPr="00E01D95">
        <w:t>71 GHz bands</w:t>
      </w:r>
      <w:r>
        <w:t xml:space="preserve"> will be made available</w:t>
      </w:r>
      <w:r w:rsidRPr="00E01D95">
        <w:t xml:space="preserve"> for licensed, unlicensed and shared use for future IMT services</w:t>
      </w:r>
      <w:r w:rsidR="00271EB7">
        <w:t>.</w:t>
      </w:r>
      <w:r>
        <w:rPr>
          <w:rStyle w:val="FootnoteReference"/>
        </w:rPr>
        <w:footnoteReference w:id="40"/>
      </w:r>
      <w:r w:rsidRPr="00E01D95">
        <w:t xml:space="preserve"> </w:t>
      </w:r>
    </w:p>
    <w:p w14:paraId="7DB75942" w14:textId="77777777" w:rsidR="004D0DEA" w:rsidRPr="00E01D95" w:rsidRDefault="004D0DEA" w:rsidP="004D0DEA">
      <w:r>
        <w:t>T</w:t>
      </w:r>
      <w:r w:rsidRPr="00E01D95">
        <w:t xml:space="preserve">he </w:t>
      </w:r>
      <w:r>
        <w:t>FCC also released a Further Notice of Proposed Rule Making</w:t>
      </w:r>
      <w:r w:rsidRPr="00E01D95">
        <w:t xml:space="preserve"> </w:t>
      </w:r>
      <w:r>
        <w:t>considering the</w:t>
      </w:r>
      <w:r w:rsidRPr="00E01D95">
        <w:t xml:space="preserve"> </w:t>
      </w:r>
      <w:r>
        <w:t>bands 24.25</w:t>
      </w:r>
      <w:r w:rsidR="00271EB7">
        <w:t>–</w:t>
      </w:r>
      <w:r>
        <w:t>24.45</w:t>
      </w:r>
      <w:r w:rsidRPr="00E01D95">
        <w:t xml:space="preserve"> GHz</w:t>
      </w:r>
      <w:r>
        <w:t>, 24.75</w:t>
      </w:r>
      <w:r w:rsidR="00271EB7">
        <w:t>–</w:t>
      </w:r>
      <w:r>
        <w:t>25.25 GHz, 31.8</w:t>
      </w:r>
      <w:r w:rsidR="00271EB7">
        <w:t>–</w:t>
      </w:r>
      <w:r>
        <w:t>33.4 GHz, 42</w:t>
      </w:r>
      <w:r w:rsidR="00271EB7">
        <w:t>–</w:t>
      </w:r>
      <w:r>
        <w:t>42.5 GHz, 47.2</w:t>
      </w:r>
      <w:r w:rsidR="00271EB7">
        <w:t>–</w:t>
      </w:r>
      <w:r>
        <w:t>50.2 GHz, 50.4</w:t>
      </w:r>
      <w:r w:rsidR="00271EB7">
        <w:t>–</w:t>
      </w:r>
      <w:r>
        <w:t>52.6 GHz, 71</w:t>
      </w:r>
      <w:r w:rsidR="00271EB7">
        <w:t>–</w:t>
      </w:r>
      <w:r>
        <w:t>76 GHz, 81</w:t>
      </w:r>
      <w:r w:rsidR="00271EB7">
        <w:t>–</w:t>
      </w:r>
      <w:r>
        <w:t>86 GHz</w:t>
      </w:r>
      <w:r w:rsidR="00271EB7">
        <w:t>,</w:t>
      </w:r>
      <w:r w:rsidRPr="00E01D95">
        <w:t xml:space="preserve"> </w:t>
      </w:r>
      <w:r>
        <w:t xml:space="preserve">as well as </w:t>
      </w:r>
      <w:r w:rsidRPr="00E01D95">
        <w:t xml:space="preserve">bands </w:t>
      </w:r>
      <w:r>
        <w:t xml:space="preserve">above 95 GHz </w:t>
      </w:r>
      <w:r w:rsidRPr="00E01D95">
        <w:t>for future IMT services</w:t>
      </w:r>
      <w:r w:rsidR="00271EB7">
        <w:t>.</w:t>
      </w:r>
      <w:r>
        <w:rPr>
          <w:rStyle w:val="FootnoteReference"/>
        </w:rPr>
        <w:footnoteReference w:id="41"/>
      </w:r>
    </w:p>
    <w:p w14:paraId="7DE82F82" w14:textId="77777777" w:rsidR="004D0DEA" w:rsidRDefault="004D0DEA" w:rsidP="004D0DEA">
      <w:r w:rsidRPr="00E01D95">
        <w:t>Korea is also continuing its support of investigations of the frequency ranges 2</w:t>
      </w:r>
      <w:r w:rsidRPr="00E01D95">
        <w:rPr>
          <w:rFonts w:hint="eastAsia"/>
        </w:rPr>
        <w:t>4.25</w:t>
      </w:r>
      <w:r w:rsidR="00271EB7">
        <w:t>–</w:t>
      </w:r>
      <w:r w:rsidRPr="00E01D95">
        <w:t xml:space="preserve">29.5 GHz, </w:t>
      </w:r>
      <w:r w:rsidRPr="00E01D95">
        <w:rPr>
          <w:rFonts w:hint="eastAsia"/>
        </w:rPr>
        <w:t>31.8</w:t>
      </w:r>
      <w:r w:rsidR="00271EB7">
        <w:t>–</w:t>
      </w:r>
      <w:r w:rsidRPr="00E01D95">
        <w:rPr>
          <w:rFonts w:hint="eastAsia"/>
        </w:rPr>
        <w:t>33.4</w:t>
      </w:r>
      <w:r w:rsidRPr="00E01D95">
        <w:t> </w:t>
      </w:r>
      <w:r w:rsidRPr="00E01D95">
        <w:rPr>
          <w:rFonts w:hint="eastAsia"/>
        </w:rPr>
        <w:t>GHz and</w:t>
      </w:r>
      <w:r>
        <w:t xml:space="preserve"> 37</w:t>
      </w:r>
      <w:r w:rsidR="00271EB7">
        <w:t>–</w:t>
      </w:r>
      <w:r w:rsidRPr="0025396A">
        <w:rPr>
          <w:rFonts w:hint="eastAsia"/>
        </w:rPr>
        <w:t>40.5</w:t>
      </w:r>
      <w:r>
        <w:t> </w:t>
      </w:r>
      <w:r w:rsidRPr="0025396A">
        <w:t>GHz</w:t>
      </w:r>
      <w:r w:rsidR="00271EB7">
        <w:t>.</w:t>
      </w:r>
      <w:r>
        <w:rPr>
          <w:rStyle w:val="FootnoteReference"/>
        </w:rPr>
        <w:footnoteReference w:id="42"/>
      </w:r>
    </w:p>
    <w:p w14:paraId="4F739C37" w14:textId="77777777" w:rsidR="004D0DEA" w:rsidRPr="00E01D95" w:rsidRDefault="004D0DEA" w:rsidP="004D0DEA">
      <w:r w:rsidRPr="00800218">
        <w:t xml:space="preserve">Figure </w:t>
      </w:r>
      <w:r w:rsidR="0041475D" w:rsidRPr="00800218">
        <w:t>5</w:t>
      </w:r>
      <w:r w:rsidRPr="00800218">
        <w:t xml:space="preserve"> shows</w:t>
      </w:r>
      <w:r w:rsidRPr="00E01D95">
        <w:t xml:space="preserve"> a comparison of the frequency bands under study in WRC-19 agenda item 1.13</w:t>
      </w:r>
      <w:r w:rsidR="00271EB7">
        <w:t>,</w:t>
      </w:r>
      <w:r w:rsidRPr="00E01D95">
        <w:t xml:space="preserve"> with those </w:t>
      </w:r>
      <w:r>
        <w:t xml:space="preserve">either identified or </w:t>
      </w:r>
      <w:r w:rsidRPr="00E01D95">
        <w:t xml:space="preserve">being investigated </w:t>
      </w:r>
      <w:r>
        <w:t xml:space="preserve">for 5G </w:t>
      </w:r>
      <w:r w:rsidRPr="00E01D95">
        <w:t xml:space="preserve">in the </w:t>
      </w:r>
      <w:r w:rsidR="00271EB7">
        <w:t>US</w:t>
      </w:r>
      <w:r w:rsidRPr="00E01D95">
        <w:t xml:space="preserve"> and Korea. As shown in the figure</w:t>
      </w:r>
      <w:r>
        <w:t xml:space="preserve"> in aqua</w:t>
      </w:r>
      <w:r w:rsidRPr="00E01D95">
        <w:t>, the frequency ranges 27.5</w:t>
      </w:r>
      <w:r w:rsidR="00271EB7">
        <w:t>–</w:t>
      </w:r>
      <w:r w:rsidRPr="00E01D95">
        <w:t>2</w:t>
      </w:r>
      <w:r>
        <w:t>8.35 GHz, 64</w:t>
      </w:r>
      <w:r w:rsidR="00271EB7">
        <w:t>–</w:t>
      </w:r>
      <w:r w:rsidRPr="00E01D95">
        <w:t xml:space="preserve">66 GHz </w:t>
      </w:r>
      <w:r>
        <w:t xml:space="preserve">and frequencies above 95 GHz </w:t>
      </w:r>
      <w:r w:rsidRPr="00E01D95">
        <w:t>are not being considered under WRC-19 agenda item 1.13</w:t>
      </w:r>
      <w:r>
        <w:t>. Those bands with 45-degree line pattern fill have been identified for 5G</w:t>
      </w:r>
      <w:r w:rsidRPr="00E01D95">
        <w:t xml:space="preserve"> in the U</w:t>
      </w:r>
      <w:r w:rsidR="00271EB7">
        <w:t>S</w:t>
      </w:r>
      <w:r>
        <w:t>.</w:t>
      </w:r>
      <w:r w:rsidRPr="00E01D95">
        <w:t xml:space="preserve"> </w:t>
      </w:r>
    </w:p>
    <w:p w14:paraId="213CCBEA" w14:textId="77777777" w:rsidR="004D0DEA" w:rsidRPr="00551253" w:rsidRDefault="004D0DEA" w:rsidP="004E7D1D">
      <w:pPr>
        <w:pStyle w:val="ACMAFigureHeader"/>
        <w:keepNext/>
        <w:keepLines/>
        <w:tabs>
          <w:tab w:val="clear" w:pos="3574"/>
          <w:tab w:val="num" w:pos="993"/>
        </w:tabs>
        <w:ind w:left="993"/>
      </w:pPr>
      <w:r w:rsidRPr="00186A8A">
        <w:t>Frequency</w:t>
      </w:r>
      <w:r>
        <w:t xml:space="preserve"> bands identified and </w:t>
      </w:r>
      <w:r w:rsidRPr="00A4099A">
        <w:t xml:space="preserve">under consideration for future IMT under WRC-19 agenda item 1.13 and in the </w:t>
      </w:r>
      <w:r w:rsidR="00271EB7">
        <w:t>US</w:t>
      </w:r>
      <w:r>
        <w:t xml:space="preserve"> and Korea (segments in aqua are not being considered under WRC-19 agenda item 1.13, segments with 45-degree line pattern fill have already been identified for 5G)</w:t>
      </w:r>
    </w:p>
    <w:p w14:paraId="346792FF" w14:textId="77777777" w:rsidR="004D0DEA" w:rsidRPr="00676648" w:rsidRDefault="004D0DEA" w:rsidP="004E7D1D">
      <w:pPr>
        <w:pStyle w:val="ACMASpaceaftertable"/>
        <w:keepNext/>
        <w:keepLines/>
      </w:pPr>
      <w:r>
        <w:rPr>
          <w:noProof/>
        </w:rPr>
        <w:drawing>
          <wp:inline distT="0" distB="0" distL="0" distR="0" wp14:anchorId="35D0567E" wp14:editId="1492E7B5">
            <wp:extent cx="4871085" cy="2717321"/>
            <wp:effectExtent l="0" t="0" r="5715" b="6985"/>
            <wp:docPr id="11" name="Chart 11" title="Frequency bands identified and under consideration for future IMT under WRC-19 agenda item 1.13 and in the US and Korea (segments in aqua are not being considered under WRC-19 agenda item 1.13, segments with 45-degree line pattern fill have already been identified for 5G)"/>
            <wp:cNvGraphicFramePr/>
            <a:graphic xmlns:a="http://schemas.openxmlformats.org/drawingml/2006/main">
              <a:graphicData uri="http://schemas.openxmlformats.org/drawingml/2006/chart">
                <c:chart xmlns:c="http://schemas.openxmlformats.org/drawingml/2006/chart" xmlns:r="http://schemas.openxmlformats.org/officeDocument/2006/relationships" r:id="rId100"/>
              </a:graphicData>
            </a:graphic>
          </wp:inline>
        </w:drawing>
      </w:r>
    </w:p>
    <w:p w14:paraId="047F02F4" w14:textId="77777777" w:rsidR="004D0DEA" w:rsidRPr="00192CA2" w:rsidRDefault="004D0DEA" w:rsidP="004D0DEA">
      <w:pPr>
        <w:rPr>
          <w:rFonts w:cs="Arial"/>
        </w:rPr>
      </w:pPr>
      <w:r>
        <w:rPr>
          <w:rFonts w:cs="Arial"/>
        </w:rPr>
        <w:t>Given the status of these countries as technology</w:t>
      </w:r>
      <w:r w:rsidR="00271EB7">
        <w:rPr>
          <w:rFonts w:cs="Arial"/>
        </w:rPr>
        <w:t>-</w:t>
      </w:r>
      <w:r>
        <w:rPr>
          <w:rFonts w:cs="Arial"/>
        </w:rPr>
        <w:t>developing nations</w:t>
      </w:r>
      <w:r w:rsidR="00271EB7">
        <w:rPr>
          <w:rFonts w:cs="Arial"/>
        </w:rPr>
        <w:t>,</w:t>
      </w:r>
      <w:r>
        <w:rPr>
          <w:rFonts w:cs="Arial"/>
        </w:rPr>
        <w:t xml:space="preserve"> and the advanced nature of their consideration of these frequency bands outside the scope of WRC-19 agenda item 1.13, it is appropriate to add these frequency bands to the </w:t>
      </w:r>
      <w:r w:rsidRPr="009C49DB">
        <w:rPr>
          <w:rFonts w:cs="Arial"/>
          <w:i/>
        </w:rPr>
        <w:t>monitoring</w:t>
      </w:r>
      <w:r>
        <w:rPr>
          <w:rFonts w:cs="Arial"/>
        </w:rPr>
        <w:t xml:space="preserve"> stage of the </w:t>
      </w:r>
      <w:r>
        <w:t>process for the consideration of additional bands for mobile broadband.</w:t>
      </w:r>
    </w:p>
    <w:p w14:paraId="17A0F49A" w14:textId="77777777" w:rsidR="004D0DEA" w:rsidRPr="00E95553" w:rsidRDefault="004D0DEA" w:rsidP="004D0DEA">
      <w:pPr>
        <w:pStyle w:val="BodySubHeader"/>
      </w:pPr>
      <w:r w:rsidRPr="00E95553">
        <w:t>Next steps</w:t>
      </w:r>
    </w:p>
    <w:p w14:paraId="14D486FF" w14:textId="77777777" w:rsidR="004D0DEA" w:rsidRDefault="004D0DEA" w:rsidP="004D0DEA">
      <w:pPr>
        <w:rPr>
          <w:rFonts w:cs="Arial"/>
        </w:rPr>
      </w:pPr>
      <w:r>
        <w:rPr>
          <w:rFonts w:cs="Arial"/>
        </w:rPr>
        <w:t>The ACMA will monitor</w:t>
      </w:r>
      <w:r w:rsidDel="00802E60">
        <w:rPr>
          <w:rFonts w:cs="Arial"/>
        </w:rPr>
        <w:t xml:space="preserve"> </w:t>
      </w:r>
      <w:r>
        <w:rPr>
          <w:rFonts w:cs="Arial"/>
        </w:rPr>
        <w:t>international developments on all bands being considered or already identified internationally for 5G/IMT. However, it is noted that one of the elements of the ACMA’s spectrum management strategy to address the growth in mobile broadband capacity is e</w:t>
      </w:r>
      <w:r w:rsidRPr="00CC2B78">
        <w:rPr>
          <w:rFonts w:cs="Arial"/>
        </w:rPr>
        <w:t>ngagement in international deliberations to influence the development of domestically suitable internationally</w:t>
      </w:r>
      <w:r w:rsidR="00271EB7">
        <w:rPr>
          <w:rFonts w:cs="Arial"/>
        </w:rPr>
        <w:t>-</w:t>
      </w:r>
      <w:r w:rsidRPr="00CC2B78">
        <w:rPr>
          <w:rFonts w:cs="Arial"/>
        </w:rPr>
        <w:t>harmonised spectrum options.</w:t>
      </w:r>
    </w:p>
    <w:p w14:paraId="384BB051" w14:textId="77777777" w:rsidR="004D0DEA" w:rsidRPr="005B7657" w:rsidRDefault="004D0DEA" w:rsidP="004D0DEA">
      <w:pPr>
        <w:rPr>
          <w:rFonts w:cs="Arial"/>
        </w:rPr>
      </w:pPr>
      <w:r w:rsidRPr="00411002">
        <w:t>As mentioned in the previous section, t</w:t>
      </w:r>
      <w:r w:rsidRPr="00411002">
        <w:rPr>
          <w:rFonts w:cs="Arial"/>
        </w:rPr>
        <w:t>he ACMA will monitor international developments with regard to possible early implementation bands for 5G. The feasibility of early implementation in Australia will depend on factors such as the location, type and number of incumbent services in a band, whether adequate interference management (or sharing) frameworks can be developed</w:t>
      </w:r>
      <w:r w:rsidR="00271EB7">
        <w:rPr>
          <w:rFonts w:cs="Arial"/>
        </w:rPr>
        <w:t>,</w:t>
      </w:r>
      <w:r w:rsidRPr="00411002">
        <w:rPr>
          <w:rFonts w:cs="Arial"/>
        </w:rPr>
        <w:t xml:space="preserve"> and whether the development of economies of scale are likely. </w:t>
      </w:r>
    </w:p>
    <w:p w14:paraId="4AB7D86F" w14:textId="77777777" w:rsidR="004D0DEA" w:rsidRPr="009C74F0" w:rsidRDefault="004D0DEA" w:rsidP="004D0DEA">
      <w:pPr>
        <w:pStyle w:val="Heading2"/>
      </w:pPr>
      <w:bookmarkStart w:id="388" w:name="_Toc458084581"/>
      <w:bookmarkStart w:id="389" w:name="_Toc458608718"/>
      <w:bookmarkStart w:id="390" w:name="_Toc461108024"/>
      <w:bookmarkStart w:id="391" w:name="_Toc461194851"/>
      <w:bookmarkStart w:id="392" w:name="_Toc461445501"/>
      <w:bookmarkStart w:id="393" w:name="_Toc463351339"/>
      <w:r w:rsidRPr="009C74F0">
        <w:t>Initial investigation</w:t>
      </w:r>
      <w:bookmarkEnd w:id="388"/>
      <w:bookmarkEnd w:id="389"/>
      <w:bookmarkEnd w:id="390"/>
      <w:bookmarkEnd w:id="391"/>
      <w:bookmarkEnd w:id="392"/>
      <w:bookmarkEnd w:id="393"/>
    </w:p>
    <w:p w14:paraId="09F6FF55" w14:textId="77777777" w:rsidR="004D0DEA" w:rsidRPr="009C74F0" w:rsidRDefault="004D0DEA" w:rsidP="004D0DEA">
      <w:r w:rsidRPr="009C74F0">
        <w:t xml:space="preserve">Bands that are in the </w:t>
      </w:r>
      <w:r w:rsidRPr="00FC2E2B">
        <w:rPr>
          <w:i/>
        </w:rPr>
        <w:t>initial investigation</w:t>
      </w:r>
      <w:r w:rsidRPr="009C74F0">
        <w:t xml:space="preserve"> stage of the process for consideration of additional spectrum for mobile broadband services are the 1.5 GHz, </w:t>
      </w:r>
      <w:r>
        <w:t>2 GHz</w:t>
      </w:r>
      <w:r w:rsidRPr="009C74F0">
        <w:t xml:space="preserve"> and the</w:t>
      </w:r>
      <w:r>
        <w:rPr>
          <w:rFonts w:cs="Arial"/>
        </w:rPr>
        <w:t xml:space="preserve"> 3.6 GHz</w:t>
      </w:r>
      <w:r w:rsidRPr="009C74F0">
        <w:rPr>
          <w:rFonts w:cs="Arial"/>
        </w:rPr>
        <w:t xml:space="preserve"> band</w:t>
      </w:r>
      <w:r>
        <w:rPr>
          <w:rFonts w:cs="Arial"/>
        </w:rPr>
        <w:t>s</w:t>
      </w:r>
      <w:r w:rsidRPr="009C74F0">
        <w:rPr>
          <w:rFonts w:cs="Arial"/>
        </w:rPr>
        <w:t>.</w:t>
      </w:r>
    </w:p>
    <w:p w14:paraId="63AE0DA9" w14:textId="77777777" w:rsidR="004D0DEA" w:rsidRPr="009C74F0" w:rsidRDefault="004D0DEA" w:rsidP="004D0DEA">
      <w:pPr>
        <w:pStyle w:val="Heading3"/>
      </w:pPr>
      <w:bookmarkStart w:id="394" w:name="_Toc458084582"/>
      <w:bookmarkStart w:id="395" w:name="_Toc458608719"/>
      <w:bookmarkStart w:id="396" w:name="_Toc461108025"/>
      <w:bookmarkStart w:id="397" w:name="_Toc461194852"/>
      <w:bookmarkStart w:id="398" w:name="_Toc461445502"/>
      <w:bookmarkStart w:id="399" w:name="_Toc463351340"/>
      <w:r w:rsidRPr="009C74F0">
        <w:t>1.5 GHz</w:t>
      </w:r>
      <w:r>
        <w:t xml:space="preserve"> </w:t>
      </w:r>
      <w:r w:rsidR="00271EB7">
        <w:t>b</w:t>
      </w:r>
      <w:r>
        <w:t>and (1427–1518 MHz)</w:t>
      </w:r>
      <w:bookmarkEnd w:id="394"/>
      <w:bookmarkEnd w:id="395"/>
      <w:bookmarkEnd w:id="396"/>
      <w:bookmarkEnd w:id="397"/>
      <w:bookmarkEnd w:id="398"/>
      <w:bookmarkEnd w:id="399"/>
    </w:p>
    <w:p w14:paraId="274EE590" w14:textId="77777777" w:rsidR="004D0DEA" w:rsidRPr="00577F9D" w:rsidRDefault="004D0DEA" w:rsidP="004D0DEA">
      <w:r w:rsidRPr="00577F9D">
        <w:t xml:space="preserve">The ACMA released </w:t>
      </w:r>
      <w:r w:rsidRPr="00577F9D">
        <w:rPr>
          <w:i/>
        </w:rPr>
        <w:t xml:space="preserve">Planning for </w:t>
      </w:r>
      <w:r>
        <w:rPr>
          <w:i/>
        </w:rPr>
        <w:t>m</w:t>
      </w:r>
      <w:r w:rsidRPr="00577F9D">
        <w:rPr>
          <w:i/>
        </w:rPr>
        <w:t xml:space="preserve">obile </w:t>
      </w:r>
      <w:r>
        <w:rPr>
          <w:i/>
        </w:rPr>
        <w:t>b</w:t>
      </w:r>
      <w:r w:rsidRPr="00577F9D">
        <w:rPr>
          <w:i/>
        </w:rPr>
        <w:t>roadband in the 1.5 GHz mobile band</w:t>
      </w:r>
      <w:r w:rsidRPr="00577F9D">
        <w:t xml:space="preserve"> in May 2012 to gather further information on issues related to the potential use of the 1427.9</w:t>
      </w:r>
      <w:r>
        <w:t>–</w:t>
      </w:r>
      <w:r w:rsidRPr="00577F9D">
        <w:t>1510.9 MHz band for mobile broadband services.</w:t>
      </w:r>
      <w:r w:rsidRPr="00577F9D">
        <w:rPr>
          <w:rStyle w:val="FootnoteReference"/>
          <w:rFonts w:cs="Arial"/>
        </w:rPr>
        <w:footnoteReference w:id="43"/>
      </w:r>
      <w:r w:rsidRPr="00577F9D">
        <w:t xml:space="preserve"> </w:t>
      </w:r>
      <w:r>
        <w:t>This paper noted that u</w:t>
      </w:r>
      <w:r w:rsidRPr="00577F9D">
        <w:t xml:space="preserve">p to 2 x 35 MHz (1427.9–1462.9 MHz and 1475.9–1510.9 MHz) of FDD spectrum, or up to 90 MHz (1427–1518 MHz) of TDD or unpaired mobile downlink (UMD) spectrum, could potentially be released from the 1.5 GHz band for mobile broadband services. </w:t>
      </w:r>
    </w:p>
    <w:p w14:paraId="18C97EA3" w14:textId="77777777" w:rsidR="004D0DEA" w:rsidRDefault="004D0DEA" w:rsidP="004D0DEA">
      <w:pPr>
        <w:spacing w:after="80"/>
      </w:pPr>
      <w:r w:rsidRPr="00577F9D">
        <w:rPr>
          <w:rFonts w:cs="Arial"/>
        </w:rPr>
        <w:t xml:space="preserve">Since that time, </w:t>
      </w:r>
      <w:r>
        <w:rPr>
          <w:szCs w:val="20"/>
        </w:rPr>
        <w:t>at WRC-15, the entire 1</w:t>
      </w:r>
      <w:r w:rsidRPr="00590AE7">
        <w:rPr>
          <w:szCs w:val="20"/>
        </w:rPr>
        <w:t>427</w:t>
      </w:r>
      <w:r>
        <w:rPr>
          <w:szCs w:val="20"/>
        </w:rPr>
        <w:t>–</w:t>
      </w:r>
      <w:r w:rsidRPr="00590AE7">
        <w:rPr>
          <w:szCs w:val="20"/>
        </w:rPr>
        <w:t xml:space="preserve">1518 MHz band was harmonised for IMT within </w:t>
      </w:r>
      <w:r>
        <w:rPr>
          <w:szCs w:val="20"/>
        </w:rPr>
        <w:t>r</w:t>
      </w:r>
      <w:r w:rsidRPr="00590AE7">
        <w:rPr>
          <w:szCs w:val="20"/>
        </w:rPr>
        <w:t>egions 2 and 3, while Region 1 identified 1427</w:t>
      </w:r>
      <w:r>
        <w:rPr>
          <w:szCs w:val="20"/>
        </w:rPr>
        <w:t>–</w:t>
      </w:r>
      <w:r w:rsidRPr="00590AE7">
        <w:rPr>
          <w:szCs w:val="20"/>
        </w:rPr>
        <w:t>1452 MHz and 1492</w:t>
      </w:r>
      <w:r>
        <w:rPr>
          <w:szCs w:val="20"/>
        </w:rPr>
        <w:t>–</w:t>
      </w:r>
      <w:r w:rsidRPr="00590AE7">
        <w:rPr>
          <w:szCs w:val="20"/>
        </w:rPr>
        <w:t>1518 MHz via regional footnotes. In Region 1, only African and Arab states identified the 1452</w:t>
      </w:r>
      <w:r>
        <w:rPr>
          <w:szCs w:val="20"/>
        </w:rPr>
        <w:t>–</w:t>
      </w:r>
      <w:r w:rsidRPr="00590AE7">
        <w:rPr>
          <w:szCs w:val="20"/>
        </w:rPr>
        <w:t>1492 MHz range (CEPT did not identify this band due to an ongoing dispute with RCC countrie</w:t>
      </w:r>
      <w:r>
        <w:rPr>
          <w:szCs w:val="20"/>
        </w:rPr>
        <w:t>s over the protection of Aeronautical Mobile Telemetry services</w:t>
      </w:r>
      <w:r w:rsidRPr="00590AE7">
        <w:rPr>
          <w:szCs w:val="20"/>
        </w:rPr>
        <w:t xml:space="preserve">). </w:t>
      </w:r>
      <w:r>
        <w:t>The following t</w:t>
      </w:r>
      <w:r w:rsidRPr="00DD3864">
        <w:t xml:space="preserve">ext was also included in </w:t>
      </w:r>
      <w:r>
        <w:t xml:space="preserve">the </w:t>
      </w:r>
      <w:r w:rsidRPr="001848CA">
        <w:rPr>
          <w:i/>
        </w:rPr>
        <w:t>invites ITU-R</w:t>
      </w:r>
      <w:r>
        <w:t xml:space="preserve"> </w:t>
      </w:r>
      <w:r w:rsidRPr="001848CA">
        <w:t>of Resolution</w:t>
      </w:r>
      <w:r w:rsidRPr="00DD3864">
        <w:rPr>
          <w:b/>
        </w:rPr>
        <w:t xml:space="preserve"> 223</w:t>
      </w:r>
      <w:r>
        <w:rPr>
          <w:b/>
        </w:rPr>
        <w:t xml:space="preserve"> (Rev. WRC-15)</w:t>
      </w:r>
      <w:r w:rsidRPr="001848CA">
        <w:t>:</w:t>
      </w:r>
      <w:r w:rsidRPr="00DD3864">
        <w:t xml:space="preserve"> </w:t>
      </w:r>
    </w:p>
    <w:p w14:paraId="050BE4F9" w14:textId="64302AE9" w:rsidR="004D0DEA" w:rsidRPr="00E95553" w:rsidRDefault="004D0DEA" w:rsidP="004D0DEA">
      <w:pPr>
        <w:pStyle w:val="ListNumber"/>
        <w:numPr>
          <w:ilvl w:val="0"/>
          <w:numId w:val="73"/>
        </w:numPr>
      </w:pPr>
      <w:r w:rsidRPr="00E95553">
        <w:t>to conduct compatibility studies in order to provide technical measures to ensure</w:t>
      </w:r>
      <w:r>
        <w:t xml:space="preserve"> </w:t>
      </w:r>
      <w:r w:rsidRPr="00E95553">
        <w:t>coexistence between MSS in the frequency band 1518</w:t>
      </w:r>
      <w:r>
        <w:t>–</w:t>
      </w:r>
      <w:r w:rsidRPr="00E95553">
        <w:t>1525 MHz and IMT in the frequency band</w:t>
      </w:r>
      <w:r>
        <w:t xml:space="preserve"> </w:t>
      </w:r>
      <w:r w:rsidRPr="00E95553">
        <w:t>1492</w:t>
      </w:r>
      <w:r>
        <w:t>–</w:t>
      </w:r>
      <w:r w:rsidRPr="00E95553">
        <w:t>1518 MHz;</w:t>
      </w:r>
    </w:p>
    <w:p w14:paraId="345BC8F3" w14:textId="23E877C0" w:rsidR="004D0DEA" w:rsidRDefault="004D0DEA" w:rsidP="004D0DEA">
      <w:pPr>
        <w:pStyle w:val="ListNumber"/>
        <w:spacing w:after="240"/>
      </w:pPr>
      <w:r w:rsidRPr="00E95553">
        <w:t>to develop harmonized frequency arrangements to f</w:t>
      </w:r>
      <w:r w:rsidRPr="00EE29AC">
        <w:t>acilitate IMT deployment in the</w:t>
      </w:r>
      <w:r>
        <w:t xml:space="preserve"> </w:t>
      </w:r>
      <w:r w:rsidRPr="00E95553">
        <w:t>frequency band 1427</w:t>
      </w:r>
      <w:r>
        <w:t>–</w:t>
      </w:r>
      <w:r w:rsidRPr="00E95553">
        <w:t>1518 MHz, taking into account the results of sharing and compatibility</w:t>
      </w:r>
      <w:r>
        <w:t xml:space="preserve"> </w:t>
      </w:r>
      <w:r w:rsidRPr="00E95553">
        <w:t>studies;</w:t>
      </w:r>
    </w:p>
    <w:p w14:paraId="4038D75D" w14:textId="3B7690D8" w:rsidR="004D0DEA" w:rsidRPr="00967AF0" w:rsidRDefault="004D0DEA" w:rsidP="004D0DEA">
      <w:r>
        <w:t xml:space="preserve">The ACMA notes that an additional outcome of WRC-15 was </w:t>
      </w:r>
      <w:r w:rsidRPr="00967AF0">
        <w:t xml:space="preserve">Resolution </w:t>
      </w:r>
      <w:r>
        <w:rPr>
          <w:b/>
        </w:rPr>
        <w:t xml:space="preserve">761 </w:t>
      </w:r>
      <w:r w:rsidRPr="00967AF0">
        <w:rPr>
          <w:b/>
        </w:rPr>
        <w:t>(WRC-15)</w:t>
      </w:r>
      <w:r w:rsidRPr="009E51BC">
        <w:t>. This resolution</w:t>
      </w:r>
      <w:r>
        <w:t xml:space="preserve"> </w:t>
      </w:r>
      <w:r w:rsidRPr="00967AF0">
        <w:t>invites the ITU</w:t>
      </w:r>
      <w:r>
        <w:t>-</w:t>
      </w:r>
      <w:r w:rsidRPr="00967AF0">
        <w:t>R to conduct, in time for WRC-19, the appropriate regulatory and technical studies, with a</w:t>
      </w:r>
      <w:r>
        <w:t xml:space="preserve"> </w:t>
      </w:r>
      <w:r w:rsidRPr="00967AF0">
        <w:t>view to ensuring the compatibility of IMT and</w:t>
      </w:r>
      <w:r>
        <w:t xml:space="preserve"> the broadcasting-satellite service</w:t>
      </w:r>
      <w:r w:rsidRPr="00967AF0">
        <w:t xml:space="preserve"> </w:t>
      </w:r>
      <w:r>
        <w:t>(</w:t>
      </w:r>
      <w:r w:rsidRPr="00967AF0">
        <w:t>BSS</w:t>
      </w:r>
      <w:r>
        <w:t>)</w:t>
      </w:r>
      <w:r w:rsidRPr="00967AF0">
        <w:t xml:space="preserve"> (sound) in the frequency band</w:t>
      </w:r>
      <w:r>
        <w:t xml:space="preserve"> </w:t>
      </w:r>
      <w:r w:rsidRPr="00967AF0">
        <w:t>1452</w:t>
      </w:r>
      <w:r>
        <w:t>–</w:t>
      </w:r>
      <w:r w:rsidRPr="00967AF0">
        <w:t>1492</w:t>
      </w:r>
      <w:r w:rsidR="00804AF2">
        <w:t> </w:t>
      </w:r>
      <w:r w:rsidRPr="00967AF0">
        <w:t xml:space="preserve">MHz in </w:t>
      </w:r>
      <w:r>
        <w:t>r</w:t>
      </w:r>
      <w:r w:rsidRPr="00967AF0">
        <w:t>egions 1 and 3, taking into account IMT and BSS (sound) operational</w:t>
      </w:r>
      <w:r>
        <w:t xml:space="preserve"> </w:t>
      </w:r>
      <w:r w:rsidRPr="00967AF0">
        <w:t>requirements</w:t>
      </w:r>
      <w:r>
        <w:t>.</w:t>
      </w:r>
    </w:p>
    <w:p w14:paraId="5FAAD064" w14:textId="77777777" w:rsidR="004D0DEA" w:rsidRDefault="004D0DEA" w:rsidP="004D0DEA">
      <w:r w:rsidRPr="00577F9D">
        <w:t xml:space="preserve">Domestically, the ACMA has also identified that the impact on aeronautical telemetry services and fixed services, including </w:t>
      </w:r>
      <w:r w:rsidRPr="00577F9D">
        <w:rPr>
          <w:szCs w:val="20"/>
        </w:rPr>
        <w:t>the Digital Radio Concentrator System (DRCS)</w:t>
      </w:r>
      <w:r>
        <w:rPr>
          <w:szCs w:val="20"/>
        </w:rPr>
        <w:t>, which</w:t>
      </w:r>
      <w:r w:rsidRPr="00577F9D">
        <w:rPr>
          <w:szCs w:val="20"/>
        </w:rPr>
        <w:t xml:space="preserve"> will need to be considered in any re-farming considerations</w:t>
      </w:r>
      <w:r w:rsidRPr="00577F9D">
        <w:t>.</w:t>
      </w:r>
    </w:p>
    <w:p w14:paraId="370982B7" w14:textId="77777777" w:rsidR="004D0DEA" w:rsidRDefault="004D0DEA" w:rsidP="004D0DEA">
      <w:r>
        <w:t xml:space="preserve">As referred to in </w:t>
      </w:r>
      <w:r w:rsidRPr="001848CA">
        <w:t>Resolution</w:t>
      </w:r>
      <w:r w:rsidRPr="00DD3864">
        <w:rPr>
          <w:b/>
        </w:rPr>
        <w:t xml:space="preserve"> 223</w:t>
      </w:r>
      <w:r>
        <w:rPr>
          <w:b/>
        </w:rPr>
        <w:t xml:space="preserve"> (Rev. WRC-15)</w:t>
      </w:r>
      <w:r>
        <w:t>,</w:t>
      </w:r>
      <w:r w:rsidDel="00380126">
        <w:t xml:space="preserve"> </w:t>
      </w:r>
      <w:r>
        <w:t xml:space="preserve">some satellite industry representatives have also pointed out that </w:t>
      </w:r>
      <w:r w:rsidRPr="00E657B5">
        <w:t xml:space="preserve">compatibility with </w:t>
      </w:r>
      <w:r w:rsidR="0041475D">
        <w:t>m</w:t>
      </w:r>
      <w:r w:rsidRPr="00E657B5">
        <w:t xml:space="preserve">obile </w:t>
      </w:r>
      <w:r w:rsidR="0041475D">
        <w:t>s</w:t>
      </w:r>
      <w:r w:rsidRPr="00E657B5">
        <w:t xml:space="preserve">atellite </w:t>
      </w:r>
      <w:r w:rsidR="0041475D">
        <w:t>s</w:t>
      </w:r>
      <w:r w:rsidRPr="00E657B5">
        <w:t>ervices</w:t>
      </w:r>
      <w:r>
        <w:t xml:space="preserve"> (MSS) operating above 1518 MHz needs to be considered.</w:t>
      </w:r>
    </w:p>
    <w:p w14:paraId="02E88006" w14:textId="77777777" w:rsidR="004D0DEA" w:rsidRDefault="004D0DEA" w:rsidP="004D0DEA">
      <w:r>
        <w:t>There is strong support domestically from mobile broadband representatives for progressing the re-farming of this band.</w:t>
      </w:r>
    </w:p>
    <w:p w14:paraId="2C841BFB" w14:textId="77777777" w:rsidR="004D0DEA" w:rsidRPr="00E95553" w:rsidRDefault="004D0DEA" w:rsidP="004D0DEA">
      <w:pPr>
        <w:pStyle w:val="BodySubHeader"/>
      </w:pPr>
      <w:r>
        <w:t>Developments since February 2016</w:t>
      </w:r>
    </w:p>
    <w:p w14:paraId="63322FB2" w14:textId="77777777" w:rsidR="004D0DEA" w:rsidRDefault="004D0DEA" w:rsidP="004D0DEA">
      <w:pPr>
        <w:spacing w:after="80"/>
      </w:pPr>
      <w:r>
        <w:rPr>
          <w:rFonts w:cs="Arial"/>
        </w:rPr>
        <w:t xml:space="preserve">In February 2016, ITU-R Working Party 5D </w:t>
      </w:r>
      <w:r>
        <w:rPr>
          <w:lang w:eastAsia="zh-CN"/>
        </w:rPr>
        <w:t xml:space="preserve">commenced </w:t>
      </w:r>
      <w:r>
        <w:rPr>
          <w:rFonts w:eastAsia="SimSun"/>
          <w:lang w:eastAsia="zh-CN"/>
        </w:rPr>
        <w:t>revision of Recommendation ITU-</w:t>
      </w:r>
      <w:r w:rsidRPr="00A35227">
        <w:rPr>
          <w:rFonts w:cs="Arial"/>
        </w:rPr>
        <w:t>R M.1036-5 on Frequency arrangements for implementation of the terrestrial component of International Mobile Telecommunications (IMT) in the bands identified for IMT in the Radio Regulations (RR)</w:t>
      </w:r>
      <w:r>
        <w:rPr>
          <w:rFonts w:cs="Arial"/>
        </w:rPr>
        <w:t xml:space="preserve">. The draft revision </w:t>
      </w:r>
      <w:r w:rsidRPr="00A35227">
        <w:rPr>
          <w:rFonts w:cs="Arial"/>
        </w:rPr>
        <w:t>include</w:t>
      </w:r>
      <w:r>
        <w:rPr>
          <w:rFonts w:cs="Arial"/>
        </w:rPr>
        <w:t xml:space="preserve">s arrangements for </w:t>
      </w:r>
      <w:r w:rsidRPr="00A35227">
        <w:rPr>
          <w:rFonts w:cs="Arial"/>
        </w:rPr>
        <w:t xml:space="preserve">the frequency band </w:t>
      </w:r>
      <w:r>
        <w:rPr>
          <w:rFonts w:cs="Arial"/>
        </w:rPr>
        <w:t>1427</w:t>
      </w:r>
      <w:r w:rsidR="00921898">
        <w:rPr>
          <w:rFonts w:cs="Arial"/>
        </w:rPr>
        <w:t>–</w:t>
      </w:r>
      <w:r>
        <w:rPr>
          <w:rFonts w:cs="Arial"/>
        </w:rPr>
        <w:t>1518</w:t>
      </w:r>
      <w:r w:rsidRPr="00A35227">
        <w:rPr>
          <w:rFonts w:cs="Arial"/>
        </w:rPr>
        <w:t xml:space="preserve"> MHz.</w:t>
      </w:r>
      <w:r>
        <w:rPr>
          <w:rFonts w:cs="Arial"/>
        </w:rPr>
        <w:t xml:space="preserve"> W</w:t>
      </w:r>
      <w:r w:rsidRPr="00A35227">
        <w:rPr>
          <w:rFonts w:cs="Arial"/>
        </w:rPr>
        <w:t xml:space="preserve">orking Party 5D also commenced studies as called for in Resolution </w:t>
      </w:r>
      <w:r w:rsidRPr="00A35227">
        <w:rPr>
          <w:rFonts w:cs="Arial"/>
          <w:b/>
        </w:rPr>
        <w:t>223 (Rev. WRC-15)</w:t>
      </w:r>
      <w:r w:rsidRPr="00A35227">
        <w:rPr>
          <w:rFonts w:cs="Arial"/>
        </w:rPr>
        <w:t xml:space="preserve"> on</w:t>
      </w:r>
      <w:r>
        <w:rPr>
          <w:rFonts w:cs="Arial"/>
        </w:rPr>
        <w:t>:</w:t>
      </w:r>
      <w:r>
        <w:t xml:space="preserve"> </w:t>
      </w:r>
    </w:p>
    <w:p w14:paraId="175CA365" w14:textId="420037CF" w:rsidR="004D0DEA" w:rsidRPr="00840EA1" w:rsidRDefault="004D0DEA" w:rsidP="004D0DEA">
      <w:pPr>
        <w:pStyle w:val="ListBullet"/>
      </w:pPr>
      <w:r w:rsidRPr="00787417">
        <w:t>coexistence</w:t>
      </w:r>
      <w:r w:rsidRPr="00840EA1">
        <w:t xml:space="preserve"> between MSS in the frequency band 1518</w:t>
      </w:r>
      <w:r w:rsidR="00921898">
        <w:t>–</w:t>
      </w:r>
      <w:r w:rsidRPr="00840EA1">
        <w:t>1525 MHz and IMT in the frequency band 1492</w:t>
      </w:r>
      <w:r w:rsidR="00921898">
        <w:t>–</w:t>
      </w:r>
      <w:r w:rsidRPr="00840EA1">
        <w:t>1518 MHz</w:t>
      </w:r>
    </w:p>
    <w:p w14:paraId="57F52A77" w14:textId="026291DA" w:rsidR="004D0DEA" w:rsidRPr="00840EA1" w:rsidRDefault="004D0DEA" w:rsidP="004D0DEA">
      <w:pPr>
        <w:pStyle w:val="ListBulletLast"/>
      </w:pPr>
      <w:r w:rsidRPr="00840EA1">
        <w:t>compatibility of IMT and broadcasting-satellite service (sound) in the frequency band 1452</w:t>
      </w:r>
      <w:r w:rsidR="00921898">
        <w:t>–</w:t>
      </w:r>
      <w:r w:rsidRPr="00840EA1">
        <w:t>1492 MHz in regions 1 and 3</w:t>
      </w:r>
      <w:r w:rsidR="0006468B">
        <w:t>.</w:t>
      </w:r>
    </w:p>
    <w:p w14:paraId="736AE9B9" w14:textId="77777777" w:rsidR="004D0DEA" w:rsidRDefault="004D0DEA" w:rsidP="004D0DEA">
      <w:pPr>
        <w:rPr>
          <w:rFonts w:eastAsia="SimSun"/>
          <w:lang w:eastAsia="zh-CN"/>
        </w:rPr>
      </w:pPr>
      <w:r>
        <w:rPr>
          <w:rFonts w:eastAsia="SimSun"/>
          <w:lang w:eastAsia="zh-CN"/>
        </w:rPr>
        <w:t xml:space="preserve">Working Party 5D is aiming to complete these work items by late 2017. </w:t>
      </w:r>
    </w:p>
    <w:p w14:paraId="4318443D" w14:textId="77777777" w:rsidR="002B3DF6" w:rsidRDefault="00060E45" w:rsidP="002B3DF6">
      <w:pPr>
        <w:rPr>
          <w:rFonts w:eastAsia="SimSun"/>
          <w:lang w:eastAsia="zh-CN"/>
        </w:rPr>
      </w:pPr>
      <w:r w:rsidRPr="001637DE">
        <w:rPr>
          <w:rFonts w:eastAsia="SimSun"/>
          <w:lang w:eastAsia="zh-CN"/>
        </w:rPr>
        <w:t xml:space="preserve">The AWG has a work plan to develop a report on frequency arrangements for the </w:t>
      </w:r>
      <w:r w:rsidRPr="001637DE">
        <w:rPr>
          <w:rFonts w:cs="Arial"/>
        </w:rPr>
        <w:t>1427–1518 MHz</w:t>
      </w:r>
      <w:r w:rsidRPr="001637DE">
        <w:rPr>
          <w:rFonts w:eastAsia="SimSun"/>
          <w:lang w:eastAsia="zh-CN"/>
        </w:rPr>
        <w:t xml:space="preserve"> band. The current proposal is to finalise the work in late 2017.</w:t>
      </w:r>
    </w:p>
    <w:p w14:paraId="6A394D14" w14:textId="14FEC183" w:rsidR="004D0DEA" w:rsidRPr="00E95553" w:rsidRDefault="004D0DEA" w:rsidP="0039046B">
      <w:pPr>
        <w:pStyle w:val="BodySubHeader"/>
        <w:keepNext/>
      </w:pPr>
      <w:r w:rsidRPr="00E95553">
        <w:t>Next steps</w:t>
      </w:r>
    </w:p>
    <w:p w14:paraId="334EEA3C" w14:textId="77777777" w:rsidR="004D0DEA" w:rsidRDefault="004D0DEA" w:rsidP="004D0DEA">
      <w:r>
        <w:t xml:space="preserve">The ACMA will continue to monitor and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studies under </w:t>
      </w:r>
      <w:r w:rsidRPr="00967AF0">
        <w:rPr>
          <w:rFonts w:cs="Arial"/>
        </w:rPr>
        <w:t xml:space="preserve">Resolution </w:t>
      </w:r>
      <w:r w:rsidRPr="00967AF0">
        <w:rPr>
          <w:rFonts w:cs="Arial"/>
          <w:b/>
        </w:rPr>
        <w:t>223 (Rev. WRC-15)</w:t>
      </w:r>
      <w:r>
        <w:rPr>
          <w:rFonts w:cs="Arial"/>
          <w:b/>
        </w:rPr>
        <w:t xml:space="preserve"> </w:t>
      </w:r>
      <w:r w:rsidRPr="00380126">
        <w:t>and</w:t>
      </w:r>
      <w:r>
        <w:t xml:space="preserve"> Resolution</w:t>
      </w:r>
      <w:r>
        <w:rPr>
          <w:rFonts w:cs="Arial"/>
          <w:b/>
        </w:rPr>
        <w:t xml:space="preserve"> 761 (WRC-15)</w:t>
      </w:r>
      <w:r w:rsidR="00375F63">
        <w:rPr>
          <w:rFonts w:cs="Arial"/>
          <w:b/>
        </w:rPr>
        <w:t>,</w:t>
      </w:r>
      <w:r w:rsidRPr="00967AF0">
        <w:rPr>
          <w:rFonts w:cs="Arial"/>
        </w:rPr>
        <w:t xml:space="preserve"> </w:t>
      </w:r>
      <w:r>
        <w:t>and other international issues related to the 1.5 GHz band</w:t>
      </w:r>
      <w:r w:rsidR="00375F63">
        <w:t>,</w:t>
      </w:r>
      <w:r>
        <w:t xml:space="preserve"> such as possible new band plans</w:t>
      </w:r>
      <w:r w:rsidRPr="00465146">
        <w:t>.</w:t>
      </w:r>
      <w:r>
        <w:t xml:space="preserve"> This could involve the submission of contributions to the ITU and AWG as appropriate.</w:t>
      </w:r>
    </w:p>
    <w:p w14:paraId="757CBDD6" w14:textId="77777777" w:rsidR="004D0DEA" w:rsidRPr="00577F9D" w:rsidRDefault="004D0DEA" w:rsidP="004D0DEA">
      <w:r>
        <w:t>Considering recent developments (WRC spectrum harmonisation outcomes and momentum in Europe)</w:t>
      </w:r>
      <w:r w:rsidDel="00380126">
        <w:t xml:space="preserve">, </w:t>
      </w:r>
      <w:r w:rsidRPr="00577F9D" w:rsidDel="003B752F">
        <w:t>t</w:t>
      </w:r>
      <w:r w:rsidRPr="00577F9D">
        <w:t xml:space="preserve">he ACMA </w:t>
      </w:r>
      <w:r>
        <w:t xml:space="preserve">expects to recommence consideration of this band for domestic use for mobile broadband later in 2016. This will include the release of a joint discussion </w:t>
      </w:r>
      <w:r w:rsidDel="00380126">
        <w:t>paper</w:t>
      </w:r>
      <w:r>
        <w:t xml:space="preserve"> on this frequency band and the 3.6 GHz band, which will progress consideration of both bands under the </w:t>
      </w:r>
      <w:r>
        <w:rPr>
          <w:i/>
        </w:rPr>
        <w:t>i</w:t>
      </w:r>
      <w:r w:rsidRPr="00352A35">
        <w:rPr>
          <w:i/>
        </w:rPr>
        <w:t>nitial investigation</w:t>
      </w:r>
      <w:r>
        <w:t xml:space="preserve"> stage.</w:t>
      </w:r>
      <w:r w:rsidRPr="00240573">
        <w:t xml:space="preserve"> </w:t>
      </w:r>
    </w:p>
    <w:p w14:paraId="4D8BA3DE" w14:textId="77777777" w:rsidR="004D0DEA" w:rsidRPr="00577F9D" w:rsidRDefault="004D0DEA" w:rsidP="004D0DEA">
      <w:pPr>
        <w:rPr>
          <w:rFonts w:cs="Arial"/>
        </w:rPr>
      </w:pPr>
      <w:r>
        <w:rPr>
          <w:rFonts w:cs="Arial"/>
        </w:rPr>
        <w:t xml:space="preserve">Following joint consideration in this initial discussion paper, the 1.5 GHz and 3.6 GHz band may progress through the </w:t>
      </w:r>
      <w:r>
        <w:t>process for the consideration of potential bands for re-allocation to mobile broadband at different rates</w:t>
      </w:r>
      <w:r w:rsidR="00375F63">
        <w:t>,</w:t>
      </w:r>
      <w:r>
        <w:t xml:space="preserve"> depending on resources and priorities. </w:t>
      </w:r>
    </w:p>
    <w:p w14:paraId="011A4F7F" w14:textId="77777777" w:rsidR="004D0DEA" w:rsidRPr="005B4B59" w:rsidRDefault="004D0DEA" w:rsidP="004D0DEA">
      <w:pPr>
        <w:pStyle w:val="Heading3"/>
      </w:pPr>
      <w:bookmarkStart w:id="400" w:name="_Toc458084583"/>
      <w:bookmarkStart w:id="401" w:name="_Toc458608720"/>
      <w:bookmarkStart w:id="402" w:name="_Toc461108026"/>
      <w:bookmarkStart w:id="403" w:name="_Toc461194853"/>
      <w:bookmarkStart w:id="404" w:name="_Toc461445503"/>
      <w:bookmarkStart w:id="405" w:name="_Toc463351341"/>
      <w:r w:rsidRPr="00A97743">
        <w:t>2 GHz (1980–2010 MHz and 2170–2200 MHz)</w:t>
      </w:r>
      <w:bookmarkEnd w:id="400"/>
      <w:bookmarkEnd w:id="401"/>
      <w:bookmarkEnd w:id="402"/>
      <w:bookmarkEnd w:id="403"/>
      <w:bookmarkEnd w:id="404"/>
      <w:bookmarkEnd w:id="405"/>
    </w:p>
    <w:p w14:paraId="6968786D" w14:textId="50BF1A1C" w:rsidR="004D0DEA" w:rsidRPr="00F800D3" w:rsidRDefault="004D0DEA" w:rsidP="004D0DEA">
      <w:r>
        <w:t>A</w:t>
      </w:r>
      <w:r w:rsidRPr="00F800D3">
        <w:t>s an outcome of the review of the 2.5 GHz band</w:t>
      </w:r>
      <w:r w:rsidRPr="00F800D3">
        <w:rPr>
          <w:vertAlign w:val="superscript"/>
        </w:rPr>
        <w:footnoteReference w:id="44"/>
      </w:r>
      <w:r w:rsidRPr="00F800D3">
        <w:t xml:space="preserve">, the ACMA developed arrangements to support the introduction of television outside broadcast (TOB) in the frequency ranges 1980–2010 MHz and 2170–2200 MHz on an interim basis. In March 2012, the </w:t>
      </w:r>
      <w:hyperlink r:id="rId101" w:history="1">
        <w:r w:rsidRPr="000B046E">
          <w:rPr>
            <w:rStyle w:val="Hyperlink"/>
            <w:rFonts w:cs="Arial"/>
            <w:szCs w:val="26"/>
          </w:rPr>
          <w:t>Television Outside Broadcast (1980–2110 MHz and 2170–2300 MHz) Frequency Band Plan 2012</w:t>
        </w:r>
      </w:hyperlink>
      <w:r w:rsidRPr="00F800D3">
        <w:t xml:space="preserve"> </w:t>
      </w:r>
      <w:r>
        <w:t xml:space="preserve">(TOB Band Plan) </w:t>
      </w:r>
      <w:r w:rsidRPr="00F800D3">
        <w:t>was made. The frequency ranges remain subject to Embargo 23</w:t>
      </w:r>
      <w:r w:rsidRPr="00F800D3">
        <w:rPr>
          <w:vertAlign w:val="superscript"/>
        </w:rPr>
        <w:footnoteReference w:id="45"/>
      </w:r>
      <w:r w:rsidRPr="00F800D3">
        <w:rPr>
          <w:vertAlign w:val="superscript"/>
        </w:rPr>
        <w:t xml:space="preserve"> </w:t>
      </w:r>
      <w:r w:rsidRPr="00F800D3">
        <w:t>to support TOB and future replanning activities.</w:t>
      </w:r>
    </w:p>
    <w:p w14:paraId="67E0DDC4" w14:textId="77777777" w:rsidR="004D0DEA" w:rsidRPr="00F800D3" w:rsidRDefault="004D0DEA" w:rsidP="004D0DEA">
      <w:pPr>
        <w:rPr>
          <w:rFonts w:cs="Arial"/>
          <w:szCs w:val="26"/>
        </w:rPr>
      </w:pPr>
      <w:r>
        <w:rPr>
          <w:rFonts w:cs="Arial"/>
          <w:szCs w:val="26"/>
        </w:rPr>
        <w:t xml:space="preserve">Regulatory measures supporting </w:t>
      </w:r>
      <w:r w:rsidRPr="00E657B5">
        <w:rPr>
          <w:rFonts w:cs="Arial"/>
          <w:szCs w:val="26"/>
        </w:rPr>
        <w:t>the MSS</w:t>
      </w:r>
      <w:r w:rsidRPr="00F800D3">
        <w:rPr>
          <w:rFonts w:cs="Arial"/>
          <w:szCs w:val="26"/>
        </w:rPr>
        <w:t xml:space="preserve"> in </w:t>
      </w:r>
      <w:r>
        <w:rPr>
          <w:rFonts w:cs="Arial"/>
          <w:szCs w:val="26"/>
        </w:rPr>
        <w:t xml:space="preserve">the </w:t>
      </w:r>
      <w:r w:rsidRPr="00F800D3">
        <w:t>1980–2010 MHz</w:t>
      </w:r>
      <w:r>
        <w:t xml:space="preserve"> and 2170–2200 </w:t>
      </w:r>
      <w:r w:rsidRPr="00F800D3">
        <w:t xml:space="preserve">MHz </w:t>
      </w:r>
      <w:r>
        <w:t xml:space="preserve">bands </w:t>
      </w:r>
      <w:r w:rsidRPr="00F800D3">
        <w:rPr>
          <w:rFonts w:cs="Arial"/>
          <w:szCs w:val="26"/>
        </w:rPr>
        <w:t xml:space="preserve">in Australia </w:t>
      </w:r>
      <w:r>
        <w:rPr>
          <w:rFonts w:cs="Arial"/>
          <w:szCs w:val="26"/>
        </w:rPr>
        <w:t xml:space="preserve">are included in the TVOB Band Plan. </w:t>
      </w:r>
      <w:r w:rsidRPr="00F800D3">
        <w:rPr>
          <w:rFonts w:cs="Arial"/>
          <w:szCs w:val="26"/>
        </w:rPr>
        <w:t>In Australia, there are</w:t>
      </w:r>
      <w:r>
        <w:rPr>
          <w:rFonts w:cs="Arial"/>
          <w:szCs w:val="26"/>
        </w:rPr>
        <w:t xml:space="preserve"> currently</w:t>
      </w:r>
      <w:r w:rsidRPr="00F800D3">
        <w:rPr>
          <w:rFonts w:cs="Arial"/>
          <w:szCs w:val="26"/>
        </w:rPr>
        <w:t xml:space="preserve"> no space or space receive apparatus licences issued</w:t>
      </w:r>
      <w:r w:rsidRPr="00F800D3">
        <w:rPr>
          <w:rFonts w:cs="Arial"/>
          <w:szCs w:val="26"/>
          <w:vertAlign w:val="superscript"/>
        </w:rPr>
        <w:footnoteReference w:id="46"/>
      </w:r>
      <w:r w:rsidRPr="00F800D3">
        <w:rPr>
          <w:rFonts w:cs="Arial"/>
          <w:szCs w:val="26"/>
          <w:vertAlign w:val="superscript"/>
        </w:rPr>
        <w:t xml:space="preserve"> </w:t>
      </w:r>
      <w:r w:rsidRPr="00F800D3">
        <w:rPr>
          <w:rFonts w:cs="Arial"/>
          <w:szCs w:val="26"/>
        </w:rPr>
        <w:t>in this frequency range</w:t>
      </w:r>
      <w:r>
        <w:rPr>
          <w:rFonts w:cs="Arial"/>
          <w:szCs w:val="26"/>
        </w:rPr>
        <w:t>.</w:t>
      </w:r>
    </w:p>
    <w:p w14:paraId="38A88A49" w14:textId="77777777" w:rsidR="004D0DEA" w:rsidRDefault="004D0DEA" w:rsidP="004D0DEA">
      <w:r>
        <w:t xml:space="preserve">Representatives of satellite interests have indicated their concern regarding the potential for interference from mobile broadband services if they are deployed in </w:t>
      </w:r>
      <w:r w:rsidRPr="00714A21">
        <w:rPr>
          <w:szCs w:val="26"/>
        </w:rPr>
        <w:t>the frequency bands 1980</w:t>
      </w:r>
      <w:r>
        <w:rPr>
          <w:szCs w:val="26"/>
        </w:rPr>
        <w:t>–</w:t>
      </w:r>
      <w:r w:rsidRPr="00714A21">
        <w:rPr>
          <w:szCs w:val="26"/>
        </w:rPr>
        <w:t>2010 MHz and 2170</w:t>
      </w:r>
      <w:r>
        <w:rPr>
          <w:szCs w:val="26"/>
        </w:rPr>
        <w:t>–</w:t>
      </w:r>
      <w:r w:rsidRPr="00714A21">
        <w:rPr>
          <w:szCs w:val="26"/>
        </w:rPr>
        <w:t>2200 MHz</w:t>
      </w:r>
      <w:r>
        <w:t xml:space="preserve">. Inmarsat and Omnispace have indicated that they have (or plan to deploy) new 2 GHz band MSS services in the near future. Specifically, Omnispace has expressed an interest in providing services in Australia. Satellite industry representatives have also suggested that services similar to those to be provided by Inmarsat’s proposed satellite (Europasat) can be expected to be deployed in Australia as part of an international footprint in the future. </w:t>
      </w:r>
    </w:p>
    <w:p w14:paraId="34CDE371" w14:textId="77777777" w:rsidR="004D0DEA" w:rsidRDefault="004D0DEA" w:rsidP="004D0DEA">
      <w:pPr>
        <w:rPr>
          <w:rFonts w:cs="Arial"/>
          <w:szCs w:val="26"/>
        </w:rPr>
      </w:pPr>
      <w:r w:rsidRPr="00F800D3">
        <w:rPr>
          <w:rFonts w:cs="Arial"/>
        </w:rPr>
        <w:t xml:space="preserve">The </w:t>
      </w:r>
      <w:r w:rsidRPr="00714A21">
        <w:rPr>
          <w:rFonts w:cs="Arial"/>
          <w:szCs w:val="26"/>
        </w:rPr>
        <w:t>frequency bands 1980</w:t>
      </w:r>
      <w:r>
        <w:rPr>
          <w:rFonts w:cs="Arial"/>
          <w:szCs w:val="26"/>
        </w:rPr>
        <w:t>–</w:t>
      </w:r>
      <w:r w:rsidRPr="00714A21">
        <w:rPr>
          <w:rFonts w:cs="Arial"/>
          <w:szCs w:val="26"/>
        </w:rPr>
        <w:t>2010 MHz and 2170</w:t>
      </w:r>
      <w:r>
        <w:rPr>
          <w:rFonts w:cs="Arial"/>
          <w:szCs w:val="26"/>
        </w:rPr>
        <w:t>–</w:t>
      </w:r>
      <w:r w:rsidRPr="00714A21">
        <w:rPr>
          <w:rFonts w:cs="Arial"/>
          <w:szCs w:val="26"/>
        </w:rPr>
        <w:t>2200 MHz</w:t>
      </w:r>
      <w:r w:rsidRPr="00F800D3" w:rsidDel="00FB7D94">
        <w:rPr>
          <w:rFonts w:cs="Arial"/>
        </w:rPr>
        <w:t xml:space="preserve"> </w:t>
      </w:r>
      <w:r w:rsidRPr="00F800D3">
        <w:rPr>
          <w:rFonts w:cs="Arial"/>
        </w:rPr>
        <w:t xml:space="preserve">are already </w:t>
      </w:r>
      <w:r>
        <w:rPr>
          <w:rFonts w:cs="Arial"/>
        </w:rPr>
        <w:t xml:space="preserve">allocated to the mobile service and </w:t>
      </w:r>
      <w:r w:rsidRPr="00714A21">
        <w:rPr>
          <w:rFonts w:cs="Arial"/>
          <w:szCs w:val="26"/>
        </w:rPr>
        <w:t xml:space="preserve">subject to a global IMT identification via footnote 388 of the </w:t>
      </w:r>
      <w:r>
        <w:rPr>
          <w:rFonts w:cs="Arial"/>
          <w:szCs w:val="26"/>
        </w:rPr>
        <w:t xml:space="preserve">Spectrum Plan. </w:t>
      </w:r>
      <w:r w:rsidRPr="00714A21">
        <w:rPr>
          <w:rFonts w:cs="Arial"/>
          <w:szCs w:val="26"/>
        </w:rPr>
        <w:t xml:space="preserve">In Resolution </w:t>
      </w:r>
      <w:r w:rsidRPr="00714A21">
        <w:rPr>
          <w:rFonts w:cs="Arial"/>
          <w:b/>
          <w:szCs w:val="26"/>
        </w:rPr>
        <w:t>212 (Rev. WRC-15),</w:t>
      </w:r>
      <w:r w:rsidRPr="00714A21">
        <w:rPr>
          <w:rFonts w:cs="Arial"/>
          <w:szCs w:val="26"/>
        </w:rPr>
        <w:t xml:space="preserve"> it is noted that</w:t>
      </w:r>
      <w:r>
        <w:rPr>
          <w:rFonts w:cs="Arial"/>
          <w:szCs w:val="26"/>
        </w:rPr>
        <w:t xml:space="preserve"> these frequency bands are available for use for both the terrestrial component of IMT and the satellite component of IMT.</w:t>
      </w:r>
    </w:p>
    <w:p w14:paraId="599B467B" w14:textId="77777777" w:rsidR="004D0DEA" w:rsidRPr="0039046B" w:rsidRDefault="004D0DEA" w:rsidP="004D0DEA">
      <w:r>
        <w:t>The ITU</w:t>
      </w:r>
      <w:r w:rsidRPr="00F800D3">
        <w:t xml:space="preserve"> </w:t>
      </w:r>
      <w:r>
        <w:t xml:space="preserve">has defined </w:t>
      </w:r>
      <w:r w:rsidRPr="00F800D3">
        <w:t xml:space="preserve">IMT channel arrangements </w:t>
      </w:r>
      <w:r>
        <w:t xml:space="preserve">for the </w:t>
      </w:r>
      <w:r w:rsidRPr="00714A21">
        <w:t>frequency bands 1980</w:t>
      </w:r>
      <w:r>
        <w:t>–</w:t>
      </w:r>
      <w:r w:rsidRPr="00714A21">
        <w:t>2010 MHz and 2170</w:t>
      </w:r>
      <w:r>
        <w:t>–</w:t>
      </w:r>
      <w:r w:rsidRPr="00714A21">
        <w:t>2200 MHz</w:t>
      </w:r>
      <w:r>
        <w:t>. These can be found in ITU-R Recommendation M.1036.</w:t>
      </w:r>
      <w:r>
        <w:rPr>
          <w:rStyle w:val="FootnoteReference"/>
          <w:rFonts w:cs="Arial"/>
        </w:rPr>
        <w:footnoteReference w:id="47"/>
      </w:r>
      <w:r w:rsidRPr="00714A21">
        <w:t xml:space="preserve"> </w:t>
      </w:r>
      <w:r>
        <w:t xml:space="preserve">In order to include the new arrangements in ITU-R Recommendation M.1036, it was agreed in </w:t>
      </w:r>
      <w:r w:rsidRPr="00714A21">
        <w:t xml:space="preserve">Resolution </w:t>
      </w:r>
      <w:r w:rsidRPr="00714A21">
        <w:rPr>
          <w:b/>
        </w:rPr>
        <w:t>212 (Rev. WRC-15)</w:t>
      </w:r>
      <w:r w:rsidRPr="00714A21">
        <w:t xml:space="preserve"> </w:t>
      </w:r>
      <w:r>
        <w:t>to invite</w:t>
      </w:r>
      <w:r w:rsidRPr="00714A21">
        <w:t xml:space="preserve"> study</w:t>
      </w:r>
      <w:r>
        <w:t xml:space="preserve"> on the </w:t>
      </w:r>
      <w:r w:rsidRPr="00714A21">
        <w:t>possible technical and operational measures to ensure coexistence and compatibility</w:t>
      </w:r>
      <w:r>
        <w:t xml:space="preserve"> </w:t>
      </w:r>
      <w:r w:rsidRPr="00714A21">
        <w:t>between the terrestrial component of IMT (in the mobile service) and the satellite component of</w:t>
      </w:r>
      <w:r>
        <w:t xml:space="preserve"> </w:t>
      </w:r>
      <w:r w:rsidRPr="00714A21">
        <w:t>IMT (in the mobile-satellite service) in the frequency bands 1980</w:t>
      </w:r>
      <w:r>
        <w:t>–</w:t>
      </w:r>
      <w:r w:rsidRPr="00714A21">
        <w:t>2010</w:t>
      </w:r>
      <w:r>
        <w:t> </w:t>
      </w:r>
      <w:r w:rsidRPr="00714A21">
        <w:t>MHz and 2170</w:t>
      </w:r>
      <w:r>
        <w:t>–</w:t>
      </w:r>
      <w:r w:rsidRPr="00714A21">
        <w:t>2200 MHz. These bands are directly adjacent to the existing 2.1</w:t>
      </w:r>
      <w:r>
        <w:t> </w:t>
      </w:r>
      <w:r w:rsidRPr="00714A21">
        <w:t xml:space="preserve">GHz band used for </w:t>
      </w:r>
      <w:r>
        <w:t xml:space="preserve">terrestrial </w:t>
      </w:r>
      <w:r w:rsidRPr="00714A21">
        <w:t>mobile voice</w:t>
      </w:r>
      <w:r w:rsidRPr="00F800D3">
        <w:t xml:space="preserve"> and </w:t>
      </w:r>
      <w:r w:rsidRPr="00676648">
        <w:t>broadband services. This work will be conducted as part of WRC-19 agenda item 9.1.1.</w:t>
      </w:r>
    </w:p>
    <w:p w14:paraId="34EBD41F" w14:textId="77777777" w:rsidR="004D0DEA" w:rsidRDefault="004D0DEA" w:rsidP="004D0DEA">
      <w:r>
        <w:t>The ACMA notes that the work of the ITU on this issue will focus on co-existence of terrestrial and satellite use of the band across international borders, but acknowledges that this work may provide some useful information on how these bands could be shared between uses and users on a geographic basis domestically.</w:t>
      </w:r>
    </w:p>
    <w:p w14:paraId="56357144" w14:textId="77777777" w:rsidR="004D0DEA" w:rsidRPr="00074F60" w:rsidRDefault="004D0DEA" w:rsidP="004D0DEA">
      <w:pPr>
        <w:rPr>
          <w:rFonts w:ascii="Calibri" w:hAnsi="Calibri"/>
          <w:lang w:val="en-GB"/>
        </w:rPr>
      </w:pPr>
      <w:r>
        <w:t xml:space="preserve">The ACMA has made the </w:t>
      </w:r>
      <w:r w:rsidRPr="00714A21">
        <w:t>1980</w:t>
      </w:r>
      <w:r>
        <w:t>–</w:t>
      </w:r>
      <w:r w:rsidRPr="00714A21">
        <w:t>2010 MHz and 2170</w:t>
      </w:r>
      <w:r>
        <w:t>–</w:t>
      </w:r>
      <w:r w:rsidRPr="00714A21">
        <w:t>2200 MHz</w:t>
      </w:r>
      <w:r>
        <w:t xml:space="preserve"> bands available for use by TOB services on a temporary basis. RALI FX21 and Embargo 23 indicate that </w:t>
      </w:r>
      <w:r>
        <w:rPr>
          <w:lang w:val="en-GB"/>
        </w:rPr>
        <w:t>future use of these bands is under consideration as part of the work considering future spectrum requirements for mobile broadband. For these reasons, these bands are only available for use by TOB services while further investigation is undertaken on the long</w:t>
      </w:r>
      <w:r w:rsidR="00375F63">
        <w:rPr>
          <w:lang w:val="en-GB"/>
        </w:rPr>
        <w:t>-</w:t>
      </w:r>
      <w:r>
        <w:rPr>
          <w:lang w:val="en-GB"/>
        </w:rPr>
        <w:t>term use of these bands.</w:t>
      </w:r>
    </w:p>
    <w:p w14:paraId="5B472CE5" w14:textId="77777777" w:rsidR="004D0DEA" w:rsidRDefault="004D0DEA" w:rsidP="004D0DEA">
      <w:pPr>
        <w:pStyle w:val="BodySubHeader"/>
        <w:rPr>
          <w:rFonts w:ascii="Segoe UI" w:hAnsi="Segoe UI" w:cs="Segoe UI"/>
          <w:color w:val="808080"/>
          <w:szCs w:val="20"/>
        </w:rPr>
      </w:pPr>
      <w:r>
        <w:t>Developments since February 2016</w:t>
      </w:r>
    </w:p>
    <w:p w14:paraId="54923C4F" w14:textId="1154EF97" w:rsidR="004D0DEA" w:rsidRPr="009922ED" w:rsidRDefault="004D0DEA" w:rsidP="004D0DEA">
      <w:pPr>
        <w:rPr>
          <w:rFonts w:cs="Arial"/>
          <w:szCs w:val="26"/>
        </w:rPr>
      </w:pPr>
      <w:r>
        <w:rPr>
          <w:rFonts w:cs="Arial"/>
        </w:rPr>
        <w:t xml:space="preserve">In February 2016, ITU-R Working Party 5D developed a work plan and </w:t>
      </w:r>
      <w:r>
        <w:rPr>
          <w:lang w:eastAsia="zh-CN"/>
        </w:rPr>
        <w:t xml:space="preserve">commenced </w:t>
      </w:r>
      <w:r w:rsidRPr="00715D65">
        <w:rPr>
          <w:lang w:val="en-US" w:eastAsia="zh-CN"/>
        </w:rPr>
        <w:t>studies on technical and operational measures to ensure coexistence and compatibility between the terrestrial and satellite components of IMT in the frequency b</w:t>
      </w:r>
      <w:r w:rsidR="005356C6">
        <w:rPr>
          <w:lang w:val="en-US" w:eastAsia="zh-CN"/>
        </w:rPr>
        <w:t>ands 1</w:t>
      </w:r>
      <w:r w:rsidRPr="00715D65">
        <w:rPr>
          <w:lang w:val="en-US" w:eastAsia="zh-CN"/>
        </w:rPr>
        <w:t>980</w:t>
      </w:r>
      <w:r w:rsidR="00375F63">
        <w:rPr>
          <w:lang w:val="en-US" w:eastAsia="zh-CN"/>
        </w:rPr>
        <w:t>–</w:t>
      </w:r>
      <w:r w:rsidR="005356C6">
        <w:rPr>
          <w:lang w:val="en-US" w:eastAsia="zh-CN"/>
        </w:rPr>
        <w:t>2010 MHz and 2</w:t>
      </w:r>
      <w:r w:rsidRPr="00715D65">
        <w:rPr>
          <w:lang w:val="en-US" w:eastAsia="zh-CN"/>
        </w:rPr>
        <w:t>170</w:t>
      </w:r>
      <w:r w:rsidR="00375F63">
        <w:rPr>
          <w:lang w:val="en-US" w:eastAsia="zh-CN"/>
        </w:rPr>
        <w:t>–</w:t>
      </w:r>
      <w:r w:rsidR="005356C6">
        <w:rPr>
          <w:lang w:val="en-US" w:eastAsia="zh-CN"/>
        </w:rPr>
        <w:t>2</w:t>
      </w:r>
      <w:r w:rsidRPr="00715D65">
        <w:rPr>
          <w:lang w:val="en-US" w:eastAsia="zh-CN"/>
        </w:rPr>
        <w:t>200 MHz in different countries, in response to WRC-19 agenda item 9.1 (issue 9.1.1)</w:t>
      </w:r>
      <w:r>
        <w:rPr>
          <w:lang w:val="en-US" w:eastAsia="zh-CN"/>
        </w:rPr>
        <w:t xml:space="preserve">. </w:t>
      </w:r>
    </w:p>
    <w:p w14:paraId="09208ADA" w14:textId="77777777" w:rsidR="004D0DEA" w:rsidRPr="00E95553" w:rsidRDefault="004D0DEA" w:rsidP="004D0DEA">
      <w:pPr>
        <w:pStyle w:val="BodySubHeader"/>
        <w:keepNext/>
        <w:keepLines/>
      </w:pPr>
      <w:r w:rsidRPr="00E95553">
        <w:t>Next steps</w:t>
      </w:r>
    </w:p>
    <w:p w14:paraId="407B931B" w14:textId="77777777" w:rsidR="004D0DEA" w:rsidRDefault="004D0DEA" w:rsidP="004D0DEA">
      <w:pPr>
        <w:keepNext/>
        <w:keepLines/>
        <w:rPr>
          <w:rFonts w:cs="Arial"/>
        </w:rPr>
      </w:pPr>
      <w:r>
        <w:rPr>
          <w:rFonts w:cs="Arial"/>
          <w:szCs w:val="26"/>
        </w:rPr>
        <w:t>T</w:t>
      </w:r>
      <w:r w:rsidRPr="00714A21">
        <w:rPr>
          <w:rFonts w:cs="Arial"/>
          <w:szCs w:val="26"/>
        </w:rPr>
        <w:t>he frequency bands 1980</w:t>
      </w:r>
      <w:r>
        <w:rPr>
          <w:rFonts w:cs="Arial"/>
          <w:szCs w:val="26"/>
        </w:rPr>
        <w:t>–</w:t>
      </w:r>
      <w:r w:rsidRPr="00714A21">
        <w:rPr>
          <w:rFonts w:cs="Arial"/>
          <w:szCs w:val="26"/>
        </w:rPr>
        <w:t>2010 MHz and 2170</w:t>
      </w:r>
      <w:r>
        <w:rPr>
          <w:rFonts w:cs="Arial"/>
          <w:szCs w:val="26"/>
        </w:rPr>
        <w:t>–</w:t>
      </w:r>
      <w:r w:rsidRPr="00714A21">
        <w:rPr>
          <w:rFonts w:cs="Arial"/>
          <w:szCs w:val="26"/>
        </w:rPr>
        <w:t>2200 MHz</w:t>
      </w:r>
      <w:r>
        <w:rPr>
          <w:rFonts w:cs="Arial"/>
        </w:rPr>
        <w:t xml:space="preserve"> will be retained</w:t>
      </w:r>
      <w:r w:rsidDel="00FB7D94">
        <w:rPr>
          <w:rFonts w:cs="Arial"/>
        </w:rPr>
        <w:t xml:space="preserve"> </w:t>
      </w:r>
      <w:r>
        <w:rPr>
          <w:rFonts w:cs="Arial"/>
        </w:rPr>
        <w:t xml:space="preserve">at the </w:t>
      </w:r>
      <w:r>
        <w:rPr>
          <w:rFonts w:cs="Arial"/>
          <w:i/>
        </w:rPr>
        <w:t>i</w:t>
      </w:r>
      <w:r w:rsidRPr="00FB7D94">
        <w:rPr>
          <w:rFonts w:cs="Arial"/>
          <w:i/>
        </w:rPr>
        <w:t xml:space="preserve">nitial </w:t>
      </w:r>
      <w:r>
        <w:rPr>
          <w:rFonts w:cs="Arial"/>
          <w:i/>
        </w:rPr>
        <w:t>i</w:t>
      </w:r>
      <w:r w:rsidRPr="00FB7D94">
        <w:rPr>
          <w:rFonts w:cs="Arial"/>
          <w:i/>
        </w:rPr>
        <w:t>nvestigation</w:t>
      </w:r>
      <w:r>
        <w:rPr>
          <w:rFonts w:cs="Arial"/>
          <w:i/>
        </w:rPr>
        <w:t xml:space="preserve"> </w:t>
      </w:r>
      <w:r w:rsidRPr="00FC2E2B">
        <w:rPr>
          <w:rFonts w:cs="Arial"/>
        </w:rPr>
        <w:t>stage</w:t>
      </w:r>
      <w:r>
        <w:rPr>
          <w:rFonts w:cs="Arial"/>
        </w:rPr>
        <w:t>. The ACMA will consider further work on this band towards the second half of 2017.</w:t>
      </w:r>
    </w:p>
    <w:p w14:paraId="5FC73857" w14:textId="77777777" w:rsidR="004D0DEA" w:rsidRDefault="004D0DEA" w:rsidP="004D0DEA">
      <w:pPr>
        <w:keepNext/>
        <w:keepLines/>
        <w:rPr>
          <w:rFonts w:cs="Arial"/>
        </w:rPr>
      </w:pPr>
      <w:r>
        <w:t xml:space="preserve">The ACMA will also continue to monitor and, where appropriate, </w:t>
      </w:r>
      <w:r w:rsidRPr="00465146">
        <w:t xml:space="preserve">engage with stakeholders via the </w:t>
      </w:r>
      <w:r>
        <w:t xml:space="preserve">usual </w:t>
      </w:r>
      <w:r w:rsidRPr="00465146">
        <w:t xml:space="preserve">international preparatory process to </w:t>
      </w:r>
      <w:r>
        <w:t xml:space="preserve">develop </w:t>
      </w:r>
      <w:r w:rsidRPr="00465146">
        <w:t>Australian positions</w:t>
      </w:r>
      <w:r>
        <w:t xml:space="preserve"> on international issues related to </w:t>
      </w:r>
      <w:r w:rsidRPr="00714A21">
        <w:rPr>
          <w:rFonts w:cs="Arial"/>
          <w:szCs w:val="26"/>
        </w:rPr>
        <w:t>the frequency bands 1980</w:t>
      </w:r>
      <w:r>
        <w:rPr>
          <w:rFonts w:cs="Arial"/>
          <w:szCs w:val="26"/>
        </w:rPr>
        <w:t>–</w:t>
      </w:r>
      <w:r w:rsidRPr="00714A21">
        <w:rPr>
          <w:rFonts w:cs="Arial"/>
          <w:szCs w:val="26"/>
        </w:rPr>
        <w:t>2010 MHz and 2170</w:t>
      </w:r>
      <w:r>
        <w:rPr>
          <w:rFonts w:cs="Arial"/>
          <w:szCs w:val="26"/>
        </w:rPr>
        <w:t>–</w:t>
      </w:r>
      <w:r w:rsidRPr="00714A21">
        <w:rPr>
          <w:rFonts w:cs="Arial"/>
          <w:szCs w:val="26"/>
        </w:rPr>
        <w:t>2200 MHz</w:t>
      </w:r>
      <w:r>
        <w:t>, particularly in relation to work conducted as part of WRC-19 agenda item 9.1.1.</w:t>
      </w:r>
    </w:p>
    <w:p w14:paraId="78C95105" w14:textId="77777777" w:rsidR="004D0DEA" w:rsidRPr="005B4B59" w:rsidRDefault="004D0DEA" w:rsidP="004D0DEA">
      <w:pPr>
        <w:pStyle w:val="Heading3"/>
      </w:pPr>
      <w:bookmarkStart w:id="406" w:name="_Toc458084584"/>
      <w:bookmarkStart w:id="407" w:name="_Toc458608721"/>
      <w:bookmarkStart w:id="408" w:name="_Toc461108027"/>
      <w:bookmarkStart w:id="409" w:name="_Toc461194854"/>
      <w:bookmarkStart w:id="410" w:name="_Toc461445504"/>
      <w:bookmarkStart w:id="411" w:name="_Toc463351342"/>
      <w:r w:rsidRPr="005B4B59">
        <w:t>3.6 GHz</w:t>
      </w:r>
      <w:r>
        <w:t xml:space="preserve"> (3575–3700 MHz)</w:t>
      </w:r>
      <w:bookmarkEnd w:id="406"/>
      <w:bookmarkEnd w:id="407"/>
      <w:bookmarkEnd w:id="408"/>
      <w:bookmarkEnd w:id="409"/>
      <w:bookmarkEnd w:id="410"/>
      <w:bookmarkEnd w:id="411"/>
    </w:p>
    <w:p w14:paraId="5E3630D7" w14:textId="77777777" w:rsidR="004D0DEA" w:rsidRPr="005C215D" w:rsidRDefault="004D0DEA" w:rsidP="004D0DEA">
      <w:r w:rsidRPr="005C215D">
        <w:t xml:space="preserve">In November 2009, the ACMA released arrangements for fixed and mobile broadband services in the 3575–3700 MHz band in regional and remote Australia. At the time, the band was not released in capital cities (except Hobart) to preserve future planning options within these areas. </w:t>
      </w:r>
    </w:p>
    <w:p w14:paraId="5FFC840A" w14:textId="77777777" w:rsidR="004D0DEA" w:rsidRPr="005C215D" w:rsidRDefault="004D0DEA" w:rsidP="004D0DEA">
      <w:r w:rsidRPr="005C215D">
        <w:t xml:space="preserve">Since that time, </w:t>
      </w:r>
      <w:r>
        <w:t xml:space="preserve">the band was considered under </w:t>
      </w:r>
      <w:r w:rsidRPr="005C215D">
        <w:t xml:space="preserve">WRC-15 </w:t>
      </w:r>
      <w:r>
        <w:t>agenda item</w:t>
      </w:r>
      <w:r w:rsidRPr="005C215D">
        <w:t xml:space="preserve"> 1.1</w:t>
      </w:r>
      <w:r>
        <w:t xml:space="preserve">, resulting in an IMT identification in the </w:t>
      </w:r>
      <w:r w:rsidRPr="005C215D">
        <w:t xml:space="preserve">3600–3700 MHz band </w:t>
      </w:r>
      <w:r>
        <w:t xml:space="preserve">in </w:t>
      </w:r>
      <w:r w:rsidRPr="005C215D">
        <w:t xml:space="preserve">Canada, Colombia, Costa Rica and the </w:t>
      </w:r>
      <w:r>
        <w:t>US</w:t>
      </w:r>
      <w:r w:rsidRPr="005C215D">
        <w:t xml:space="preserve">. </w:t>
      </w:r>
      <w:r>
        <w:t>In addition, ECC Decision 11(06)</w:t>
      </w:r>
      <w:r>
        <w:rPr>
          <w:rStyle w:val="FootnoteReference"/>
          <w:rFonts w:cs="Arial"/>
        </w:rPr>
        <w:footnoteReference w:id="48"/>
      </w:r>
      <w:r>
        <w:t xml:space="preserve"> identifies the band for fixed/mobile broadband applications within Europe. Such interest in the Americas and Europe suggests that a viable mobile broadband ecosystem could soon develop in the band.</w:t>
      </w:r>
    </w:p>
    <w:p w14:paraId="75626EF6" w14:textId="77777777" w:rsidR="004D0DEA" w:rsidRDefault="004D0DEA" w:rsidP="004D0DEA">
      <w:r>
        <w:t xml:space="preserve">At WRC-15, </w:t>
      </w:r>
      <w:r w:rsidRPr="008F1C5D">
        <w:t xml:space="preserve">Australia </w:t>
      </w:r>
      <w:r>
        <w:t>also added</w:t>
      </w:r>
      <w:r w:rsidRPr="008F1C5D">
        <w:t xml:space="preserve"> its name to existing footnotes in the ITU Radio Regulations identifying the 3400–3600 MHz band for IMT. </w:t>
      </w:r>
      <w:r>
        <w:t>This band is now identified for IMT in regions 1 and 2 and numerous Region 3 countries.</w:t>
      </w:r>
    </w:p>
    <w:p w14:paraId="5C47D2D2" w14:textId="77777777" w:rsidR="004D0DEA" w:rsidRDefault="004D0DEA" w:rsidP="004D0DEA">
      <w:r>
        <w:t xml:space="preserve">There are some </w:t>
      </w:r>
      <w:r w:rsidRPr="00E657B5">
        <w:t xml:space="preserve">fixed-satellite service </w:t>
      </w:r>
      <w:r w:rsidR="0041475D">
        <w:t>E</w:t>
      </w:r>
      <w:r w:rsidRPr="00E657B5">
        <w:t>arth</w:t>
      </w:r>
      <w:r>
        <w:t xml:space="preserve"> stations operating in the 3.6 GHz band, including installations in Perth and Sydney. Consequently, representatives of satellite interests have queried the justification for identifying the 3600–3700 MHz band for mobile broadband. Their main concern is the potential for interference from mobile broadband services and belief that this cannot be practically managed when both services operate on the same (or close frequency) in the same area. Satellite representatives have also indicated that given the outcomes of WRC-15, there appears to be little demand for mobile systems above 3600 MHz globally.</w:t>
      </w:r>
    </w:p>
    <w:p w14:paraId="4A6F9B14" w14:textId="77777777" w:rsidR="004D0DEA" w:rsidRDefault="004D0DEA" w:rsidP="004D0DEA">
      <w:r>
        <w:t xml:space="preserve">Representatives of fixed and mobile broadband interests have indicated their support for progressing the 3.6 GHz band to the </w:t>
      </w:r>
      <w:r>
        <w:rPr>
          <w:i/>
        </w:rPr>
        <w:t>re</w:t>
      </w:r>
      <w:r w:rsidRPr="00C54195">
        <w:rPr>
          <w:i/>
        </w:rPr>
        <w:t>-planning</w:t>
      </w:r>
      <w:r>
        <w:rPr>
          <w:i/>
        </w:rPr>
        <w:t xml:space="preserve"> </w:t>
      </w:r>
      <w:r w:rsidRPr="00FC2E2B">
        <w:t>stage</w:t>
      </w:r>
      <w:r>
        <w:t xml:space="preserve">. They also indicated that since the 3400–3575 MHz band is already available for fixed/mobile broadband, utility of the band for mobile broadband would be further increased if the 3575–3700 MHz band was made available and licences across the entire range were subsequently defragmented. This would require a broader review of the entire 3400–3700 MHz band, taking into account the rights of existing spectrum licence holders. </w:t>
      </w:r>
    </w:p>
    <w:p w14:paraId="369D3179" w14:textId="77777777" w:rsidR="004D0DEA" w:rsidRPr="00E95553" w:rsidRDefault="004D0DEA" w:rsidP="004D0DEA">
      <w:pPr>
        <w:pStyle w:val="BodySubHeader"/>
      </w:pPr>
      <w:r>
        <w:t>Developments since February 2016</w:t>
      </w:r>
    </w:p>
    <w:p w14:paraId="477FB551" w14:textId="77777777" w:rsidR="004D0DEA" w:rsidRPr="004D27D8" w:rsidRDefault="004D0DEA" w:rsidP="004D0DEA">
      <w:pPr>
        <w:rPr>
          <w:rFonts w:cs="Arial"/>
        </w:rPr>
      </w:pPr>
      <w:r>
        <w:t xml:space="preserve">In its </w:t>
      </w:r>
      <w:hyperlink r:id="rId102" w:history="1">
        <w:r w:rsidRPr="0096736C">
          <w:rPr>
            <w:rStyle w:val="Hyperlink"/>
          </w:rPr>
          <w:t>draft</w:t>
        </w:r>
        <w:r>
          <w:rPr>
            <w:rStyle w:val="Hyperlink"/>
          </w:rPr>
          <w:t xml:space="preserve"> </w:t>
        </w:r>
        <w:r w:rsidRPr="0096736C">
          <w:rPr>
            <w:rStyle w:val="Hyperlink"/>
          </w:rPr>
          <w:t>opinion on spectrum related aspects for next-generation wireless systems (5G)</w:t>
        </w:r>
      </w:hyperlink>
      <w:r>
        <w:t xml:space="preserve">, RSPG stated that it considers </w:t>
      </w:r>
      <w:r w:rsidRPr="004D27D8">
        <w:rPr>
          <w:rFonts w:cs="Arial"/>
        </w:rPr>
        <w:t>the 3400</w:t>
      </w:r>
      <w:r w:rsidR="00375F63">
        <w:rPr>
          <w:rFonts w:cs="Arial"/>
        </w:rPr>
        <w:t>–</w:t>
      </w:r>
      <w:r w:rsidRPr="004D27D8">
        <w:rPr>
          <w:rFonts w:cs="Arial"/>
        </w:rPr>
        <w:t>3800 MHz band to be the primary band suitable for the introduction of 5G use in Europe</w:t>
      </w:r>
      <w:r w:rsidR="00375F63">
        <w:rPr>
          <w:rFonts w:cs="Arial"/>
        </w:rPr>
        <w:t>,</w:t>
      </w:r>
      <w:r w:rsidRPr="004D27D8">
        <w:rPr>
          <w:rFonts w:cs="Arial"/>
        </w:rPr>
        <w:t xml:space="preserve"> even before 2020</w:t>
      </w:r>
      <w:r w:rsidR="002352C7">
        <w:rPr>
          <w:rFonts w:cs="Arial"/>
        </w:rPr>
        <w:t xml:space="preserve">, which are generally supported in </w:t>
      </w:r>
      <w:hyperlink r:id="rId103" w:history="1">
        <w:r w:rsidR="002352C7" w:rsidRPr="002352C7">
          <w:rPr>
            <w:rStyle w:val="Hyperlink"/>
            <w:rFonts w:cs="Arial"/>
          </w:rPr>
          <w:t>submissions</w:t>
        </w:r>
      </w:hyperlink>
      <w:r>
        <w:rPr>
          <w:rFonts w:cs="Arial"/>
        </w:rPr>
        <w:t>. RSPG noted</w:t>
      </w:r>
      <w:r w:rsidRPr="004D27D8">
        <w:rPr>
          <w:rFonts w:cs="Arial"/>
        </w:rPr>
        <w:t xml:space="preserve"> that this band is already harmonised for mobile networks, and consists of up to 400 MHz of continuous spectrum</w:t>
      </w:r>
      <w:r w:rsidR="00375F63">
        <w:rPr>
          <w:rFonts w:cs="Arial"/>
        </w:rPr>
        <w:t>,</w:t>
      </w:r>
      <w:r w:rsidRPr="004D27D8">
        <w:rPr>
          <w:rFonts w:cs="Arial"/>
        </w:rPr>
        <w:t xml:space="preserve"> enabling wide channel bandwidth. Th</w:t>
      </w:r>
      <w:r>
        <w:rPr>
          <w:rFonts w:cs="Arial"/>
        </w:rPr>
        <w:t>ey also noted that th</w:t>
      </w:r>
      <w:r w:rsidRPr="004D27D8">
        <w:rPr>
          <w:rFonts w:cs="Arial"/>
        </w:rPr>
        <w:t xml:space="preserve">is band has the possibility to put Europe at the forefront of the 5G deployment. </w:t>
      </w:r>
    </w:p>
    <w:p w14:paraId="095BAD69" w14:textId="77777777" w:rsidR="004D0DEA" w:rsidRPr="00E95553" w:rsidRDefault="004D0DEA" w:rsidP="004D0DEA">
      <w:pPr>
        <w:pStyle w:val="BodySubHeader"/>
      </w:pPr>
      <w:r w:rsidRPr="00E95553">
        <w:t>Ne</w:t>
      </w:r>
      <w:r>
        <w:t>x</w:t>
      </w:r>
      <w:r w:rsidRPr="00E95553">
        <w:t>t steps</w:t>
      </w:r>
    </w:p>
    <w:p w14:paraId="1D18457A" w14:textId="77777777" w:rsidR="004D0DEA" w:rsidRDefault="004D0DEA" w:rsidP="004D0DEA">
      <w:r>
        <w:t>Considering recent developments (WRC spectrum harmonisation outcomes and momentum in the US and Europe), t</w:t>
      </w:r>
      <w:r w:rsidRPr="00577F9D">
        <w:t xml:space="preserve">he ACMA </w:t>
      </w:r>
      <w:r>
        <w:t>expects to recommence consideration of this band for domestic use for mobile broadband later in 2016</w:t>
      </w:r>
      <w:r w:rsidR="00375F63">
        <w:t>,</w:t>
      </w:r>
      <w:r>
        <w:t xml:space="preserve"> and release a joint discussion paper on this frequency band and the 1.5 GHz band, which will progress consideration of both bands under the </w:t>
      </w:r>
      <w:r>
        <w:rPr>
          <w:i/>
        </w:rPr>
        <w:t>i</w:t>
      </w:r>
      <w:r w:rsidRPr="00352A35">
        <w:rPr>
          <w:i/>
        </w:rPr>
        <w:t>nitial investigation</w:t>
      </w:r>
      <w:r>
        <w:rPr>
          <w:i/>
        </w:rPr>
        <w:t xml:space="preserve"> </w:t>
      </w:r>
      <w:r w:rsidRPr="00FC2E2B">
        <w:t>stage</w:t>
      </w:r>
      <w:r w:rsidRPr="00352A35">
        <w:t>.</w:t>
      </w:r>
      <w:r>
        <w:t xml:space="preserve"> </w:t>
      </w:r>
    </w:p>
    <w:p w14:paraId="472E12DD" w14:textId="77777777" w:rsidR="004D0DEA" w:rsidRDefault="004D0DEA" w:rsidP="004D0DEA">
      <w:pPr>
        <w:rPr>
          <w:rFonts w:cs="Arial"/>
        </w:rPr>
      </w:pPr>
      <w:r>
        <w:rPr>
          <w:rFonts w:cs="Arial"/>
        </w:rPr>
        <w:t xml:space="preserve">Following joint consideration in this initial discussion paper, the 1.5 GHz and 3.6 GHz band may progress through the </w:t>
      </w:r>
      <w:r>
        <w:t>process for the consideration of potential bands for re-allocation to mobile broadband at different rates</w:t>
      </w:r>
      <w:r w:rsidR="00375F63">
        <w:t>,</w:t>
      </w:r>
      <w:r>
        <w:t xml:space="preserve"> depending on resources and priorities. T</w:t>
      </w:r>
      <w:r>
        <w:rPr>
          <w:rFonts w:cs="Arial"/>
        </w:rPr>
        <w:t>he ACMA sees benefit in pursuing a review of the arrangements in the broader 3400–3700 MHz band to improve its utility, contingent on progress in the 3.6 GHz band.</w:t>
      </w:r>
    </w:p>
    <w:p w14:paraId="4D96954E" w14:textId="77777777" w:rsidR="004D0DEA" w:rsidRPr="00C221EC" w:rsidRDefault="004D0DEA" w:rsidP="004D0DEA">
      <w:pPr>
        <w:pStyle w:val="Heading2"/>
      </w:pPr>
      <w:bookmarkStart w:id="412" w:name="_Toc458084585"/>
      <w:bookmarkStart w:id="413" w:name="_Toc458608722"/>
      <w:bookmarkStart w:id="414" w:name="_Toc461108028"/>
      <w:bookmarkStart w:id="415" w:name="_Toc461194855"/>
      <w:bookmarkStart w:id="416" w:name="_Toc461445505"/>
      <w:bookmarkStart w:id="417" w:name="_Toc463351343"/>
      <w:r w:rsidRPr="00C221EC">
        <w:t>Preliminary replanning</w:t>
      </w:r>
      <w:bookmarkEnd w:id="412"/>
      <w:bookmarkEnd w:id="413"/>
      <w:bookmarkEnd w:id="414"/>
      <w:bookmarkEnd w:id="415"/>
      <w:bookmarkEnd w:id="416"/>
      <w:bookmarkEnd w:id="417"/>
    </w:p>
    <w:p w14:paraId="24EAB631" w14:textId="77777777" w:rsidR="004D0DEA" w:rsidRPr="00C221EC" w:rsidRDefault="004D0DEA" w:rsidP="004D0DEA">
      <w:pPr>
        <w:rPr>
          <w:rFonts w:cs="Arial"/>
        </w:rPr>
      </w:pPr>
      <w:r>
        <w:t>There are currently no bands</w:t>
      </w:r>
      <w:r w:rsidRPr="00C221EC">
        <w:t xml:space="preserve"> in the </w:t>
      </w:r>
      <w:r w:rsidRPr="00FC2E2B">
        <w:rPr>
          <w:i/>
        </w:rPr>
        <w:t>preliminary replanning</w:t>
      </w:r>
      <w:r w:rsidRPr="00C221EC">
        <w:t xml:space="preserve"> stage of the process for consideration of additional spectrum for mobi</w:t>
      </w:r>
      <w:r>
        <w:t>le broadband services</w:t>
      </w:r>
      <w:r w:rsidRPr="00C221EC">
        <w:rPr>
          <w:rFonts w:cs="Arial"/>
        </w:rPr>
        <w:t xml:space="preserve">. </w:t>
      </w:r>
    </w:p>
    <w:p w14:paraId="5B5C3C02" w14:textId="77777777" w:rsidR="004D0DEA" w:rsidRPr="00637573" w:rsidRDefault="004D0DEA" w:rsidP="004D0DEA">
      <w:pPr>
        <w:pStyle w:val="Heading2"/>
      </w:pPr>
      <w:bookmarkStart w:id="418" w:name="_Toc458084586"/>
      <w:bookmarkStart w:id="419" w:name="_Toc458608723"/>
      <w:bookmarkStart w:id="420" w:name="_Toc461108029"/>
      <w:bookmarkStart w:id="421" w:name="_Toc461194856"/>
      <w:bookmarkStart w:id="422" w:name="_Toc461445506"/>
      <w:bookmarkStart w:id="423" w:name="_Toc463351344"/>
      <w:r w:rsidRPr="00637573">
        <w:t>Re-farming</w:t>
      </w:r>
      <w:bookmarkEnd w:id="418"/>
      <w:bookmarkEnd w:id="419"/>
      <w:bookmarkEnd w:id="420"/>
      <w:bookmarkEnd w:id="421"/>
      <w:bookmarkEnd w:id="422"/>
      <w:bookmarkEnd w:id="423"/>
    </w:p>
    <w:p w14:paraId="7C76FA21" w14:textId="77777777" w:rsidR="004D0DEA" w:rsidRPr="00637573" w:rsidRDefault="004D0DEA" w:rsidP="004D0DEA">
      <w:r w:rsidRPr="00637573">
        <w:t xml:space="preserve">Bands that are currently in the </w:t>
      </w:r>
      <w:r w:rsidRPr="00FC2E2B">
        <w:rPr>
          <w:i/>
        </w:rPr>
        <w:t>re-farming</w:t>
      </w:r>
      <w:r w:rsidRPr="00637573">
        <w:t xml:space="preserve"> stage of the process for consideration of additional spectrum for mobile broadband services are </w:t>
      </w:r>
      <w:r>
        <w:t>detailed below</w:t>
      </w:r>
      <w:r w:rsidRPr="00637573">
        <w:t xml:space="preserve">. In these cases, </w:t>
      </w:r>
      <w:r>
        <w:t xml:space="preserve">the band has been re-farmed or </w:t>
      </w:r>
      <w:r w:rsidRPr="00637573">
        <w:t xml:space="preserve">the decision has been made to </w:t>
      </w:r>
      <w:r>
        <w:t>re-farm</w:t>
      </w:r>
      <w:r w:rsidRPr="00637573">
        <w:t xml:space="preserve"> the band to mobile broadband services</w:t>
      </w:r>
      <w:r>
        <w:t>,</w:t>
      </w:r>
      <w:r w:rsidRPr="00637573">
        <w:t xml:space="preserve"> and final technical frameworks and re-allocation instruments have been or are being prepared. </w:t>
      </w:r>
    </w:p>
    <w:p w14:paraId="7B66C948" w14:textId="77777777" w:rsidR="004D0DEA" w:rsidRPr="005B4B59" w:rsidRDefault="004D0DEA" w:rsidP="0039046B">
      <w:pPr>
        <w:pStyle w:val="Heading3"/>
        <w:keepLines/>
      </w:pPr>
      <w:bookmarkStart w:id="424" w:name="_Toc458084587"/>
      <w:bookmarkStart w:id="425" w:name="_Toc458608724"/>
      <w:bookmarkStart w:id="426" w:name="_Toc461108030"/>
      <w:bookmarkStart w:id="427" w:name="_Toc461194857"/>
      <w:bookmarkStart w:id="428" w:name="_Toc461445507"/>
      <w:bookmarkStart w:id="429" w:name="_Toc463351345"/>
      <w:r>
        <w:t>Spectrum available for the licensing of mobile broadband services</w:t>
      </w:r>
      <w:bookmarkEnd w:id="424"/>
      <w:bookmarkEnd w:id="425"/>
      <w:bookmarkEnd w:id="426"/>
      <w:bookmarkEnd w:id="427"/>
      <w:bookmarkEnd w:id="428"/>
      <w:bookmarkEnd w:id="429"/>
    </w:p>
    <w:p w14:paraId="3144D4C1" w14:textId="77777777" w:rsidR="004D0DEA" w:rsidRPr="00352A35" w:rsidRDefault="004D0DEA" w:rsidP="0039046B">
      <w:pPr>
        <w:keepNext/>
        <w:keepLines/>
        <w:spacing w:after="80"/>
      </w:pPr>
      <w:r>
        <w:t xml:space="preserve">There are numerous bands where the </w:t>
      </w:r>
      <w:r w:rsidRPr="00FC2E2B">
        <w:rPr>
          <w:i/>
        </w:rPr>
        <w:t>re-farming</w:t>
      </w:r>
      <w:r>
        <w:t xml:space="preserve"> stage has occurred and spectrum is available for mobile broadband services. The following bands have spectrum available </w:t>
      </w:r>
      <w:r w:rsidRPr="00352A35">
        <w:t>under either spectrum licence or apparatus licence arrangements:</w:t>
      </w:r>
    </w:p>
    <w:p w14:paraId="38A2C4DC" w14:textId="77777777" w:rsidR="004D0DEA" w:rsidRPr="00352A35" w:rsidRDefault="004D0DEA" w:rsidP="0039046B">
      <w:pPr>
        <w:pStyle w:val="ListBullet"/>
        <w:keepNext/>
        <w:keepLines/>
      </w:pPr>
      <w:r w:rsidRPr="00352A35">
        <w:rPr>
          <w:i/>
        </w:rPr>
        <w:t>700 MHz</w:t>
      </w:r>
      <w:r w:rsidRPr="00352A35">
        <w:t>: 2 x 15 MHz (733–748/788–802 MHz) available Australia-wide via spectrum licensing</w:t>
      </w:r>
    </w:p>
    <w:p w14:paraId="5766F01B" w14:textId="77777777" w:rsidR="004D0DEA" w:rsidRPr="00352A35" w:rsidRDefault="004D0DEA" w:rsidP="0039046B">
      <w:pPr>
        <w:pStyle w:val="ListBullet"/>
        <w:keepNext/>
        <w:keepLines/>
      </w:pPr>
      <w:r w:rsidRPr="00352A35">
        <w:rPr>
          <w:i/>
        </w:rPr>
        <w:t xml:space="preserve">1800 MHz </w:t>
      </w:r>
      <w:r>
        <w:rPr>
          <w:i/>
        </w:rPr>
        <w:t>r</w:t>
      </w:r>
      <w:r w:rsidRPr="00352A35">
        <w:rPr>
          <w:i/>
        </w:rPr>
        <w:t>egional</w:t>
      </w:r>
      <w:r w:rsidRPr="00352A35">
        <w:t xml:space="preserve">: </w:t>
      </w:r>
      <w:r w:rsidR="00375F63">
        <w:t>s</w:t>
      </w:r>
      <w:r w:rsidRPr="00352A35">
        <w:t xml:space="preserve">ix 2 x 5 MHz lots available in </w:t>
      </w:r>
      <w:r w:rsidRPr="00511959">
        <w:t>various</w:t>
      </w:r>
      <w:r w:rsidRPr="00352A35">
        <w:t xml:space="preserve"> regional areas via spectrum licensing </w:t>
      </w:r>
    </w:p>
    <w:p w14:paraId="231620E4" w14:textId="77777777" w:rsidR="004D0DEA" w:rsidRPr="00352A35" w:rsidRDefault="004D0DEA" w:rsidP="004D0DEA">
      <w:pPr>
        <w:pStyle w:val="ListBullet"/>
      </w:pPr>
      <w:r w:rsidRPr="00352A35">
        <w:rPr>
          <w:i/>
        </w:rPr>
        <w:t xml:space="preserve">1800 MHz </w:t>
      </w:r>
      <w:r>
        <w:rPr>
          <w:i/>
        </w:rPr>
        <w:t>r</w:t>
      </w:r>
      <w:r w:rsidRPr="00352A35">
        <w:rPr>
          <w:i/>
        </w:rPr>
        <w:t>emote</w:t>
      </w:r>
      <w:r w:rsidRPr="00352A35">
        <w:t xml:space="preserve">: </w:t>
      </w:r>
      <w:r w:rsidR="00375F63">
        <w:t>a</w:t>
      </w:r>
      <w:r w:rsidRPr="00352A35">
        <w:t>vailable via site-based apparatus licensing</w:t>
      </w:r>
    </w:p>
    <w:p w14:paraId="22F87F94" w14:textId="77777777" w:rsidR="004D0DEA" w:rsidRPr="00352A35" w:rsidRDefault="004D0DEA" w:rsidP="004D0DEA">
      <w:pPr>
        <w:pStyle w:val="ListBullet"/>
      </w:pPr>
      <w:r w:rsidRPr="00352A35">
        <w:rPr>
          <w:i/>
        </w:rPr>
        <w:t xml:space="preserve">2.1 GHz </w:t>
      </w:r>
      <w:r>
        <w:rPr>
          <w:i/>
        </w:rPr>
        <w:t>m</w:t>
      </w:r>
      <w:r w:rsidRPr="00352A35">
        <w:rPr>
          <w:i/>
        </w:rPr>
        <w:t>etropolitan</w:t>
      </w:r>
      <w:r w:rsidRPr="00352A35">
        <w:t xml:space="preserve">: </w:t>
      </w:r>
      <w:r w:rsidR="00375F63">
        <w:t>n</w:t>
      </w:r>
      <w:r w:rsidRPr="00352A35">
        <w:t xml:space="preserve">umerous 2 x 5 MHz lots available in the capital cities of Adelaide, Brisbane, Darwin, Hobart and Perth via spectrum licensing </w:t>
      </w:r>
    </w:p>
    <w:p w14:paraId="324325CF" w14:textId="77777777" w:rsidR="004D0DEA" w:rsidRPr="00352A35" w:rsidRDefault="004D0DEA" w:rsidP="004D0DEA">
      <w:pPr>
        <w:pStyle w:val="ListBullet"/>
      </w:pPr>
      <w:r w:rsidRPr="00352A35">
        <w:rPr>
          <w:i/>
        </w:rPr>
        <w:t xml:space="preserve">2.1 GHz </w:t>
      </w:r>
      <w:r>
        <w:rPr>
          <w:i/>
        </w:rPr>
        <w:t>r</w:t>
      </w:r>
      <w:r w:rsidRPr="00352A35">
        <w:rPr>
          <w:i/>
        </w:rPr>
        <w:t>egional/</w:t>
      </w:r>
      <w:r>
        <w:rPr>
          <w:i/>
        </w:rPr>
        <w:t>r</w:t>
      </w:r>
      <w:r w:rsidRPr="00352A35">
        <w:rPr>
          <w:i/>
        </w:rPr>
        <w:t>emote</w:t>
      </w:r>
      <w:r w:rsidRPr="00352A35">
        <w:t xml:space="preserve">: </w:t>
      </w:r>
      <w:r w:rsidR="00375F63">
        <w:t>a</w:t>
      </w:r>
      <w:r w:rsidRPr="00352A35">
        <w:t>vailable via site-based apparatus licensing</w:t>
      </w:r>
    </w:p>
    <w:p w14:paraId="550E5642" w14:textId="77777777" w:rsidR="004D0DEA" w:rsidRPr="00793F01" w:rsidRDefault="004D0DEA" w:rsidP="004D0DEA">
      <w:pPr>
        <w:pStyle w:val="ListBullet"/>
      </w:pPr>
      <w:r w:rsidRPr="00352A35">
        <w:rPr>
          <w:i/>
        </w:rPr>
        <w:t>2.3 GHz</w:t>
      </w:r>
      <w:r w:rsidRPr="00352A35">
        <w:t xml:space="preserve">: </w:t>
      </w:r>
      <w:r w:rsidR="00375F63">
        <w:t>n</w:t>
      </w:r>
      <w:r w:rsidRPr="00352A35">
        <w:t>umerous lots available in regional and remote areas via spectrum</w:t>
      </w:r>
      <w:r w:rsidRPr="00793F01">
        <w:t xml:space="preserve"> licensing</w:t>
      </w:r>
    </w:p>
    <w:p w14:paraId="220FF693" w14:textId="77777777" w:rsidR="004D0DEA" w:rsidRPr="00793F01" w:rsidRDefault="004D0DEA" w:rsidP="004D0DEA">
      <w:pPr>
        <w:pStyle w:val="ListBullet"/>
      </w:pPr>
      <w:r w:rsidRPr="00FB10A9">
        <w:rPr>
          <w:i/>
        </w:rPr>
        <w:t>3.4 GHz</w:t>
      </w:r>
      <w:r w:rsidRPr="00793F01">
        <w:t xml:space="preserve">: </w:t>
      </w:r>
      <w:r w:rsidR="00375F63">
        <w:t>n</w:t>
      </w:r>
      <w:r w:rsidRPr="00793F01">
        <w:t xml:space="preserve">umerous lots available in </w:t>
      </w:r>
      <w:r>
        <w:t>m</w:t>
      </w:r>
      <w:r w:rsidRPr="00793F01">
        <w:t xml:space="preserve">etropolitan and major regional centres </w:t>
      </w:r>
      <w:r>
        <w:t>via</w:t>
      </w:r>
      <w:r w:rsidRPr="00793F01">
        <w:t xml:space="preserve"> spectrum licensing</w:t>
      </w:r>
    </w:p>
    <w:p w14:paraId="59731BA6" w14:textId="77777777" w:rsidR="004D0DEA" w:rsidRPr="00793F01" w:rsidRDefault="004D0DEA" w:rsidP="004D0DEA">
      <w:pPr>
        <w:pStyle w:val="ListBullet"/>
      </w:pPr>
      <w:r w:rsidRPr="00FB10A9">
        <w:rPr>
          <w:i/>
        </w:rPr>
        <w:t>3.5 GHz</w:t>
      </w:r>
      <w:r w:rsidRPr="00793F01">
        <w:t xml:space="preserve">: </w:t>
      </w:r>
      <w:r w:rsidR="00375F63">
        <w:t>a</w:t>
      </w:r>
      <w:r>
        <w:t>vailable</w:t>
      </w:r>
      <w:r w:rsidRPr="00793F01">
        <w:t xml:space="preserve"> </w:t>
      </w:r>
      <w:r>
        <w:t>via</w:t>
      </w:r>
      <w:r w:rsidRPr="00793F01">
        <w:t xml:space="preserve"> site</w:t>
      </w:r>
      <w:r>
        <w:t>-</w:t>
      </w:r>
      <w:r w:rsidRPr="00793F01">
        <w:t>based apparatus licencing</w:t>
      </w:r>
    </w:p>
    <w:p w14:paraId="2FF89CA0" w14:textId="77777777" w:rsidR="004D0DEA" w:rsidRPr="00793F01" w:rsidRDefault="004D0DEA" w:rsidP="004D0DEA">
      <w:pPr>
        <w:pStyle w:val="ListBullet"/>
        <w:spacing w:after="240"/>
      </w:pPr>
      <w:r w:rsidRPr="00FB10A9">
        <w:rPr>
          <w:i/>
        </w:rPr>
        <w:t>3.6 GHz Regional/Remote</w:t>
      </w:r>
      <w:r w:rsidRPr="00793F01">
        <w:t xml:space="preserve">: </w:t>
      </w:r>
      <w:r w:rsidR="00375F63">
        <w:t>a</w:t>
      </w:r>
      <w:r>
        <w:t xml:space="preserve">vailable via </w:t>
      </w:r>
      <w:r w:rsidRPr="00793F01">
        <w:t>site</w:t>
      </w:r>
      <w:r>
        <w:t>-</w:t>
      </w:r>
      <w:r w:rsidRPr="00793F01">
        <w:t>based apparatus licen</w:t>
      </w:r>
      <w:r>
        <w:t>s</w:t>
      </w:r>
      <w:r w:rsidRPr="00793F01">
        <w:t>ing.</w:t>
      </w:r>
    </w:p>
    <w:p w14:paraId="6F9D807C" w14:textId="77777777" w:rsidR="004D0DEA" w:rsidRPr="00E95553" w:rsidRDefault="004D0DEA" w:rsidP="004D0DEA">
      <w:pPr>
        <w:pStyle w:val="BodySubHeader"/>
      </w:pPr>
      <w:r>
        <w:t>Developments since February 2016</w:t>
      </w:r>
    </w:p>
    <w:p w14:paraId="08571780" w14:textId="77777777" w:rsidR="004D0DEA" w:rsidRPr="005B7657" w:rsidRDefault="004D0DEA" w:rsidP="004D0DEA">
      <w:pPr>
        <w:rPr>
          <w:rFonts w:cs="Arial"/>
        </w:rPr>
      </w:pPr>
      <w:r w:rsidRPr="00240573">
        <w:rPr>
          <w:rFonts w:cs="Arial"/>
        </w:rPr>
        <w:t xml:space="preserve">From 6 May to 10 June, the Minister for Communications and the Arts </w:t>
      </w:r>
      <w:hyperlink r:id="rId104" w:history="1">
        <w:r w:rsidRPr="00240573">
          <w:t>consulted on a draft direction to the ACMA</w:t>
        </w:r>
      </w:hyperlink>
      <w:r w:rsidRPr="00240573">
        <w:rPr>
          <w:rFonts w:cs="Arial"/>
        </w:rPr>
        <w:t xml:space="preserve"> to allocate 2</w:t>
      </w:r>
      <w:r w:rsidR="00375F63">
        <w:rPr>
          <w:rFonts w:cs="Arial"/>
        </w:rPr>
        <w:t xml:space="preserve"> </w:t>
      </w:r>
      <w:r w:rsidRPr="00240573">
        <w:rPr>
          <w:rFonts w:cs="Arial"/>
        </w:rPr>
        <w:t>x10 MHz of this spectrum to Vodafone Hutchison Australia</w:t>
      </w:r>
      <w:r w:rsidR="00375F63">
        <w:rPr>
          <w:rFonts w:cs="Arial"/>
        </w:rPr>
        <w:t xml:space="preserve"> </w:t>
      </w:r>
      <w:r w:rsidR="00375F63" w:rsidRPr="00E852A9">
        <w:t>(VHA)</w:t>
      </w:r>
      <w:r w:rsidRPr="00240573">
        <w:rPr>
          <w:rFonts w:cs="Arial"/>
        </w:rPr>
        <w:t>. The outcomes of the consultation are yet to be made public.</w:t>
      </w:r>
    </w:p>
    <w:p w14:paraId="102D461F" w14:textId="77777777" w:rsidR="004D0DEA" w:rsidRPr="006973D6" w:rsidRDefault="004D0DEA" w:rsidP="004D0DEA">
      <w:pPr>
        <w:pStyle w:val="BodySubHeader"/>
      </w:pPr>
      <w:r>
        <w:t>Next steps</w:t>
      </w:r>
    </w:p>
    <w:p w14:paraId="33E7C4B7" w14:textId="77777777" w:rsidR="004D0DEA" w:rsidRDefault="004D0DEA" w:rsidP="004D0DEA">
      <w:pPr>
        <w:rPr>
          <w:rFonts w:cs="Arial"/>
        </w:rPr>
      </w:pPr>
      <w:r>
        <w:rPr>
          <w:rFonts w:cs="Arial"/>
        </w:rPr>
        <w:t>For bands subject to spectrum licensing, the ACMA will monitor demand and determine when it is appropriate to allocate the spectrum.</w:t>
      </w:r>
    </w:p>
    <w:p w14:paraId="5D7275D3" w14:textId="77777777" w:rsidR="004D0DEA" w:rsidRPr="00637573" w:rsidRDefault="004D0DEA" w:rsidP="004D0DEA">
      <w:r>
        <w:rPr>
          <w:rFonts w:cs="Arial"/>
        </w:rPr>
        <w:t>For bands subject to apparatus licensing, except those frequencies and areas subject to an embargo, first-in-time over-the-counter licence application processes usually apply.</w:t>
      </w:r>
    </w:p>
    <w:p w14:paraId="0B1EF539" w14:textId="77777777" w:rsidR="004D0DEA" w:rsidRPr="005B4B59" w:rsidRDefault="004D0DEA" w:rsidP="004D0DEA">
      <w:pPr>
        <w:pStyle w:val="Heading3"/>
      </w:pPr>
      <w:bookmarkStart w:id="430" w:name="_Toc458084588"/>
      <w:bookmarkStart w:id="431" w:name="_Toc458608725"/>
      <w:bookmarkStart w:id="432" w:name="_Toc461108031"/>
      <w:bookmarkStart w:id="433" w:name="_Toc461194858"/>
      <w:bookmarkStart w:id="434" w:name="_Toc461445508"/>
      <w:bookmarkStart w:id="435" w:name="_Toc463351346"/>
      <w:r w:rsidRPr="005B4B59">
        <w:t>850 MHz expansion band</w:t>
      </w:r>
      <w:r>
        <w:t xml:space="preserve"> (809–824 MHz and 854–869 MHz)</w:t>
      </w:r>
      <w:bookmarkEnd w:id="430"/>
      <w:bookmarkEnd w:id="431"/>
      <w:bookmarkEnd w:id="432"/>
      <w:bookmarkEnd w:id="433"/>
      <w:bookmarkEnd w:id="434"/>
      <w:bookmarkEnd w:id="435"/>
    </w:p>
    <w:p w14:paraId="3DB24FD1" w14:textId="77777777" w:rsidR="004D0DEA" w:rsidRPr="00E852A9" w:rsidRDefault="004D0DEA" w:rsidP="004D0DEA">
      <w:r w:rsidRPr="00E852A9">
        <w:t>In November 2015</w:t>
      </w:r>
      <w:r w:rsidR="00375F63">
        <w:t>,</w:t>
      </w:r>
      <w:r w:rsidRPr="00E852A9">
        <w:t xml:space="preserve"> the ACMA released its </w:t>
      </w:r>
      <w:hyperlink r:id="rId105" w:history="1">
        <w:r w:rsidRPr="0039046B">
          <w:rPr>
            <w:i/>
          </w:rPr>
          <w:t>Long-term strategy for the 803</w:t>
        </w:r>
        <w:r w:rsidR="00375F63">
          <w:rPr>
            <w:i/>
          </w:rPr>
          <w:t>–</w:t>
        </w:r>
        <w:r w:rsidRPr="0039046B">
          <w:rPr>
            <w:i/>
          </w:rPr>
          <w:t>960 MHz band</w:t>
        </w:r>
      </w:hyperlink>
      <w:r w:rsidRPr="00E852A9">
        <w:t xml:space="preserve"> decision paper, signalling an end to the review of this band and commencement of a long-term implementation plan to put those decisions into effect. One of the key decisions arising from the review was that 2 x 15 MHz of 4G-standardised spectrum will be made available for new mobile broadband services from 2024 onwards. </w:t>
      </w:r>
      <w:r w:rsidRPr="007A4B91">
        <w:t xml:space="preserve">This spectrum will come from the 850 MHz </w:t>
      </w:r>
      <w:r w:rsidR="00375F63" w:rsidRPr="007A4B91">
        <w:t>‘</w:t>
      </w:r>
      <w:r w:rsidRPr="007A4B91">
        <w:t>expansion band</w:t>
      </w:r>
      <w:r w:rsidR="00375F63" w:rsidRPr="007A4B91">
        <w:t>’,</w:t>
      </w:r>
      <w:r w:rsidRPr="007A4B91">
        <w:t xml:space="preserve"> which is lower-adjacent to</w:t>
      </w:r>
      <w:r w:rsidRPr="00E852A9">
        <w:t xml:space="preserve"> the current 850 MHz 3G band used by Telstra and VHA. </w:t>
      </w:r>
    </w:p>
    <w:p w14:paraId="7CACE308" w14:textId="77777777" w:rsidR="004D0DEA" w:rsidRDefault="004D0DEA" w:rsidP="004D0DEA">
      <w:pPr>
        <w:pStyle w:val="BodySubHeader"/>
      </w:pPr>
      <w:r>
        <w:t>Developments since February 2016</w:t>
      </w:r>
    </w:p>
    <w:p w14:paraId="0F8EAF82" w14:textId="77777777" w:rsidR="004D0DEA" w:rsidRPr="00E852A9" w:rsidRDefault="004D0DEA" w:rsidP="004D0DEA">
      <w:r w:rsidRPr="00E852A9">
        <w:t xml:space="preserve">The project is now in an </w:t>
      </w:r>
      <w:r w:rsidRPr="0039046B">
        <w:rPr>
          <w:i/>
        </w:rPr>
        <w:t>implementation</w:t>
      </w:r>
      <w:r w:rsidRPr="00E852A9">
        <w:t xml:space="preserve"> phase, which is largely geared towards the clearance/relocation of incumbent services operating in the 850 MHz expansion frequencies earmarked for mobile broadband. The implementation plan is contained in the decision paper and the ACMA has established an implementation team to ensure that the milestones of the plan are reached with minimal disruption. </w:t>
      </w:r>
    </w:p>
    <w:p w14:paraId="6FEFBC9B" w14:textId="77777777" w:rsidR="004D0DEA" w:rsidRPr="00E852A9" w:rsidRDefault="004D0DEA" w:rsidP="004D0DEA">
      <w:r w:rsidRPr="00E852A9">
        <w:t xml:space="preserve">As part of this process, in July 2016 a new RALI </w:t>
      </w:r>
      <w:r w:rsidRPr="00FD6B7F">
        <w:t>(FX 22)</w:t>
      </w:r>
      <w:r w:rsidRPr="00E852A9">
        <w:t xml:space="preserve"> was put in place to facilitate the transition </w:t>
      </w:r>
      <w:r w:rsidRPr="00E657B5">
        <w:t>of single frequency fixed links (SFFLs) and studio-to-transmitter links (STLs) to the new arrangements and further</w:t>
      </w:r>
      <w:r w:rsidRPr="00E852A9">
        <w:t xml:space="preserve"> incremental updates will be made to this and other instructions as the implementation phase progresses.</w:t>
      </w:r>
    </w:p>
    <w:p w14:paraId="5B2370DB" w14:textId="77777777" w:rsidR="004D0DEA" w:rsidRPr="00E95553" w:rsidRDefault="004D0DEA" w:rsidP="004D0DEA">
      <w:pPr>
        <w:pStyle w:val="BodySubHeader"/>
      </w:pPr>
      <w:r w:rsidRPr="00E95553">
        <w:t>Ne</w:t>
      </w:r>
      <w:r>
        <w:t>x</w:t>
      </w:r>
      <w:r w:rsidRPr="00E95553">
        <w:t>t steps</w:t>
      </w:r>
    </w:p>
    <w:p w14:paraId="79AD66C9" w14:textId="77777777" w:rsidR="004D0DEA" w:rsidRPr="00E852A9" w:rsidRDefault="004D0DEA" w:rsidP="004D0DEA">
      <w:r w:rsidRPr="00E852A9">
        <w:t>The implementation plan set out in the decision paper contains various milestones for the transition to long-term arrangements by incumbent services. No decision has been made on how or when the 850 MHz expansion band will be allocated.</w:t>
      </w:r>
    </w:p>
    <w:p w14:paraId="0C4D1613" w14:textId="77777777" w:rsidR="004D0DEA" w:rsidRPr="00230129" w:rsidRDefault="004D0DEA" w:rsidP="004D0DEA">
      <w:pPr>
        <w:pStyle w:val="Heading3"/>
      </w:pPr>
      <w:bookmarkStart w:id="436" w:name="_Toc461445509"/>
      <w:bookmarkStart w:id="437" w:name="_Toc463351347"/>
      <w:r w:rsidRPr="00230129">
        <w:t>900 MHz (890–915 MHz and 935–960 MHz)</w:t>
      </w:r>
      <w:bookmarkEnd w:id="436"/>
      <w:bookmarkEnd w:id="437"/>
      <w:r w:rsidRPr="00230129">
        <w:t xml:space="preserve"> </w:t>
      </w:r>
    </w:p>
    <w:p w14:paraId="04547D7F" w14:textId="77777777" w:rsidR="004D0DEA" w:rsidRPr="00E852A9" w:rsidRDefault="004D0DEA" w:rsidP="004D0DEA">
      <w:r w:rsidRPr="00E852A9">
        <w:t>A reconfiguration of licensing in the 900 MHz ‘GSM’ band (890</w:t>
      </w:r>
      <w:r w:rsidR="000B3819">
        <w:t>–</w:t>
      </w:r>
      <w:r w:rsidRPr="00E852A9">
        <w:t>915/935-960</w:t>
      </w:r>
      <w:r>
        <w:t> </w:t>
      </w:r>
      <w:r w:rsidRPr="00E852A9">
        <w:t>MHz) into 5 MHz FDD blocks, as well as a related proposal to implement a 1 MHz downshift of the 850 MHz band (to maximise the utility of the adjacent 900 MHz GSM band), was originally proposed under the review of the 803</w:t>
      </w:r>
      <w:r w:rsidR="000B3819">
        <w:t>–</w:t>
      </w:r>
      <w:r w:rsidRPr="00E852A9">
        <w:t xml:space="preserve">960 MHz band, however no decisions have yet been taken on these reforms. While these reforms remain critical objectives for the ACMA, the fact that these issues are ‘self-contained’ to the existing three licensees (Telstra, Optus and VHA) allows the ACMA to deal with them in isolation to the implementation of those broader reforms to the 803–960 MHz band detailed in the paper. </w:t>
      </w:r>
    </w:p>
    <w:p w14:paraId="385F1328" w14:textId="77777777" w:rsidR="004D0DEA" w:rsidRDefault="004D0DEA" w:rsidP="004D0DEA">
      <w:pPr>
        <w:pStyle w:val="BodySubHeader"/>
      </w:pPr>
      <w:r>
        <w:t>Developments since February 2016</w:t>
      </w:r>
    </w:p>
    <w:p w14:paraId="326EAAD7" w14:textId="77777777" w:rsidR="004D0DEA" w:rsidRPr="00E86448" w:rsidRDefault="004D0DEA" w:rsidP="004D0DEA">
      <w:r w:rsidRPr="00E852A9">
        <w:t>The ACMA has been consulting directly with the relevant industry stakeholders to bring about the changes to the 900 MHz GSM band, specifically looking at the potential for re</w:t>
      </w:r>
      <w:r w:rsidR="000B3819">
        <w:t>-</w:t>
      </w:r>
      <w:r w:rsidRPr="00E852A9">
        <w:t xml:space="preserve">farming the band into 5 MHz licence blocks (currently apparatus licenced in </w:t>
      </w:r>
      <w:r w:rsidRPr="00E86448">
        <w:t>either 8.4 or 8.2 MHz FDD pairs). It is intended that a</w:t>
      </w:r>
      <w:r w:rsidRPr="00C202B9">
        <w:t xml:space="preserve"> public paper that describes the applicable reform options will be released in Q3</w:t>
      </w:r>
      <w:r w:rsidR="000B3819">
        <w:t>,</w:t>
      </w:r>
      <w:r w:rsidRPr="00C202B9">
        <w:t xml:space="preserve"> 2016.</w:t>
      </w:r>
    </w:p>
    <w:p w14:paraId="5A9CD49E" w14:textId="77777777" w:rsidR="004D0DEA" w:rsidRPr="00E95553" w:rsidRDefault="004D0DEA" w:rsidP="004D0DEA">
      <w:pPr>
        <w:pStyle w:val="BodySubHeader"/>
      </w:pPr>
      <w:r w:rsidRPr="00E86448">
        <w:t xml:space="preserve">Next </w:t>
      </w:r>
      <w:r w:rsidRPr="00511959">
        <w:t>steps</w:t>
      </w:r>
    </w:p>
    <w:p w14:paraId="4D959B6C" w14:textId="77777777" w:rsidR="004D0DEA" w:rsidRDefault="004D0DEA" w:rsidP="004D0DEA">
      <w:pPr>
        <w:pStyle w:val="ACMASpaceaftertable"/>
      </w:pPr>
      <w:r w:rsidRPr="00E852A9">
        <w:t>A decision on an appropriate re</w:t>
      </w:r>
      <w:r w:rsidR="000B3819">
        <w:t>-</w:t>
      </w:r>
      <w:r w:rsidRPr="00E852A9">
        <w:t>farming mechanism and reform timetable for this band is expected to be made by the end of the 2016 calendar year.</w:t>
      </w:r>
    </w:p>
    <w:p w14:paraId="7F7858E5" w14:textId="77777777" w:rsidR="004D0DEA" w:rsidRDefault="004D0DEA" w:rsidP="004D0DEA">
      <w:pPr>
        <w:pStyle w:val="Heading1"/>
      </w:pPr>
      <w:bookmarkStart w:id="438" w:name="_Toc461445510"/>
      <w:bookmarkStart w:id="439" w:name="_Toc463351348"/>
      <w:r>
        <w:rPr>
          <w:b/>
        </w:rPr>
        <w:t>P</w:t>
      </w:r>
      <w:r w:rsidRPr="003821F3">
        <w:rPr>
          <w:b/>
        </w:rPr>
        <w:t xml:space="preserve">art </w:t>
      </w:r>
      <w:r>
        <w:rPr>
          <w:b/>
        </w:rPr>
        <w:t>4—</w:t>
      </w:r>
      <w:r>
        <w:rPr>
          <w:b/>
        </w:rPr>
        <w:br/>
      </w:r>
      <w:r w:rsidR="000A7B0D">
        <w:t>Projected work program</w:t>
      </w:r>
      <w:r>
        <w:br/>
        <w:t>2017–20</w:t>
      </w:r>
      <w:bookmarkEnd w:id="438"/>
      <w:r w:rsidR="00B91268" w:rsidRPr="00184327">
        <w:rPr>
          <w:rFonts w:eastAsiaTheme="minorHAnsi"/>
          <w:noProof/>
        </w:rPr>
        <w:drawing>
          <wp:anchor distT="0" distB="0" distL="114300" distR="114300" simplePos="0" relativeHeight="251665408" behindDoc="1" locked="1" layoutInCell="0" allowOverlap="0" wp14:anchorId="62CFCC9D" wp14:editId="58E99646">
            <wp:simplePos x="0" y="0"/>
            <wp:positionH relativeFrom="page">
              <wp:posOffset>-50165</wp:posOffset>
            </wp:positionH>
            <wp:positionV relativeFrom="page">
              <wp:posOffset>-6985</wp:posOffset>
            </wp:positionV>
            <wp:extent cx="7632000" cy="10807200"/>
            <wp:effectExtent l="0" t="0" r="7620" b="0"/>
            <wp:wrapNone/>
            <wp:docPr id="13" name="Picture 2"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FYSODocumentAssets2013_ChapIntro.png"/>
                    <pic:cNvPicPr/>
                  </pic:nvPicPr>
                  <pic:blipFill>
                    <a:blip r:embed="rId41" cstate="print"/>
                    <a:stretch>
                      <a:fillRect/>
                    </a:stretch>
                  </pic:blipFill>
                  <pic:spPr>
                    <a:xfrm>
                      <a:off x="0" y="0"/>
                      <a:ext cx="7632000" cy="10807200"/>
                    </a:xfrm>
                    <a:prstGeom prst="rect">
                      <a:avLst/>
                    </a:prstGeom>
                  </pic:spPr>
                </pic:pic>
              </a:graphicData>
            </a:graphic>
            <wp14:sizeRelH relativeFrom="margin">
              <wp14:pctWidth>0</wp14:pctWidth>
            </wp14:sizeRelH>
            <wp14:sizeRelV relativeFrom="margin">
              <wp14:pctHeight>0</wp14:pctHeight>
            </wp14:sizeRelV>
          </wp:anchor>
        </w:drawing>
      </w:r>
      <w:bookmarkEnd w:id="439"/>
    </w:p>
    <w:p w14:paraId="46F74127" w14:textId="77777777" w:rsidR="004D0DEA" w:rsidRDefault="004D0DEA" w:rsidP="00184327">
      <w:pPr>
        <w:pStyle w:val="Heading2"/>
        <w:pageBreakBefore/>
        <w:spacing w:before="60"/>
        <w:rPr>
          <w:lang w:val="en-US"/>
        </w:rPr>
      </w:pPr>
      <w:bookmarkStart w:id="440" w:name="_Toc421196925"/>
      <w:bookmarkStart w:id="441" w:name="_Toc421626791"/>
      <w:bookmarkStart w:id="442" w:name="_Toc422405907"/>
      <w:bookmarkStart w:id="443" w:name="_Toc425954315"/>
      <w:bookmarkStart w:id="444" w:name="_Toc455579243"/>
      <w:bookmarkStart w:id="445" w:name="_Toc456616645"/>
      <w:bookmarkStart w:id="446" w:name="_Toc458084590"/>
      <w:bookmarkStart w:id="447" w:name="_Toc458608727"/>
      <w:bookmarkStart w:id="448" w:name="_Toc461108033"/>
      <w:bookmarkStart w:id="449" w:name="_Toc461194860"/>
      <w:bookmarkStart w:id="450" w:name="_Toc461445511"/>
      <w:bookmarkStart w:id="451" w:name="_Toc463351349"/>
      <w:r>
        <w:rPr>
          <w:lang w:val="en-US"/>
        </w:rPr>
        <w:t>Purpose</w:t>
      </w:r>
      <w:bookmarkEnd w:id="440"/>
      <w:bookmarkEnd w:id="441"/>
      <w:bookmarkEnd w:id="442"/>
      <w:bookmarkEnd w:id="443"/>
      <w:bookmarkEnd w:id="444"/>
      <w:bookmarkEnd w:id="445"/>
      <w:bookmarkEnd w:id="446"/>
      <w:bookmarkEnd w:id="447"/>
      <w:bookmarkEnd w:id="448"/>
      <w:bookmarkEnd w:id="449"/>
      <w:bookmarkEnd w:id="450"/>
      <w:bookmarkEnd w:id="451"/>
    </w:p>
    <w:p w14:paraId="168B47AB" w14:textId="77777777" w:rsidR="004D0DEA" w:rsidRDefault="004D0DEA" w:rsidP="004D0DEA">
      <w:r>
        <w:t>Part 4</w:t>
      </w:r>
      <w:r w:rsidRPr="005C032E">
        <w:t xml:space="preserve"> </w:t>
      </w:r>
      <w:r>
        <w:t>presents the ACMA’s projected work program for 2017</w:t>
      </w:r>
      <w:r w:rsidR="000B3819">
        <w:t>–</w:t>
      </w:r>
      <w:r>
        <w:t xml:space="preserve">20 in two schedules. The purpose of the projected work program is to provide </w:t>
      </w:r>
      <w:r w:rsidRPr="005C032E">
        <w:t>a basis for meaningful engagement about the ACMA’s current work priorities</w:t>
      </w:r>
      <w:r w:rsidR="005E0BFE">
        <w:t>. T</w:t>
      </w:r>
      <w:r w:rsidRPr="005C032E">
        <w:t xml:space="preserve">he known future projects provide a starting point for the ACMA and industry </w:t>
      </w:r>
      <w:r>
        <w:t>consider</w:t>
      </w:r>
      <w:r w:rsidR="005E0BFE">
        <w:t>i</w:t>
      </w:r>
      <w:r>
        <w:t>n</w:t>
      </w:r>
      <w:r w:rsidR="005E0BFE">
        <w:t>g the</w:t>
      </w:r>
      <w:r>
        <w:t xml:space="preserve"> st</w:t>
      </w:r>
      <w:r w:rsidRPr="005C032E">
        <w:t>atus of other spectrum-related work as it arises.</w:t>
      </w:r>
    </w:p>
    <w:p w14:paraId="78491E12" w14:textId="77777777" w:rsidR="005E0BFE" w:rsidRDefault="005E0BFE" w:rsidP="005E0BFE">
      <w:pPr>
        <w:pStyle w:val="Heading3"/>
        <w:rPr>
          <w:lang w:val="en-US"/>
        </w:rPr>
      </w:pPr>
      <w:bookmarkStart w:id="452" w:name="_Toc421196927"/>
      <w:bookmarkStart w:id="453" w:name="_Toc421626793"/>
      <w:bookmarkStart w:id="454" w:name="_Toc422405909"/>
      <w:bookmarkStart w:id="455" w:name="_Toc425954317"/>
      <w:bookmarkStart w:id="456" w:name="_Toc455579245"/>
      <w:bookmarkStart w:id="457" w:name="_Toc456616647"/>
      <w:bookmarkStart w:id="458" w:name="_Toc458084592"/>
      <w:bookmarkStart w:id="459" w:name="_Toc458608729"/>
      <w:bookmarkStart w:id="460" w:name="_Toc461108035"/>
      <w:bookmarkStart w:id="461" w:name="_Toc461194862"/>
      <w:bookmarkStart w:id="462" w:name="_Toc461445513"/>
      <w:bookmarkStart w:id="463" w:name="_Toc463351350"/>
      <w:bookmarkStart w:id="464" w:name="_Toc421196926"/>
      <w:bookmarkStart w:id="465" w:name="_Toc421626792"/>
      <w:bookmarkStart w:id="466" w:name="_Toc422405908"/>
      <w:bookmarkStart w:id="467" w:name="_Toc425954316"/>
      <w:bookmarkStart w:id="468" w:name="_Toc455579244"/>
      <w:bookmarkStart w:id="469" w:name="_Toc456616646"/>
      <w:bookmarkStart w:id="470" w:name="_Toc458084591"/>
      <w:bookmarkStart w:id="471" w:name="_Toc458608728"/>
      <w:bookmarkStart w:id="472" w:name="_Toc461108034"/>
      <w:bookmarkStart w:id="473" w:name="_Toc461194861"/>
      <w:bookmarkStart w:id="474" w:name="_Toc461445512"/>
      <w:r>
        <w:rPr>
          <w:lang w:val="en-US"/>
        </w:rPr>
        <w:t xml:space="preserve">The projected work </w:t>
      </w:r>
      <w:bookmarkEnd w:id="452"/>
      <w:bookmarkEnd w:id="453"/>
      <w:bookmarkEnd w:id="454"/>
      <w:bookmarkEnd w:id="455"/>
      <w:bookmarkEnd w:id="456"/>
      <w:bookmarkEnd w:id="457"/>
      <w:bookmarkEnd w:id="458"/>
      <w:bookmarkEnd w:id="459"/>
      <w:r>
        <w:rPr>
          <w:lang w:val="en-US"/>
        </w:rPr>
        <w:t>program</w:t>
      </w:r>
      <w:bookmarkEnd w:id="460"/>
      <w:bookmarkEnd w:id="461"/>
      <w:bookmarkEnd w:id="462"/>
      <w:bookmarkEnd w:id="463"/>
    </w:p>
    <w:p w14:paraId="28138629" w14:textId="77777777" w:rsidR="005E0BFE" w:rsidRDefault="005E0BFE" w:rsidP="005E0BFE">
      <w:pPr>
        <w:spacing w:after="80"/>
      </w:pPr>
      <w:r>
        <w:t>The ACMA develops and publishes a</w:t>
      </w:r>
      <w:r w:rsidRPr="000A2B59">
        <w:t xml:space="preserve"> </w:t>
      </w:r>
      <w:r>
        <w:t xml:space="preserve">five-year </w:t>
      </w:r>
      <w:r w:rsidRPr="000A2B59">
        <w:t>s</w:t>
      </w:r>
      <w:r>
        <w:t xml:space="preserve">pectrum management work program on an annual basis. In addition to the 2016–17 work plan in Part 2, the ACMA has identified a program of work for the period 2017–20. This is work that the ACMA </w:t>
      </w:r>
      <w:r w:rsidRPr="000A2B59">
        <w:t>expects to commence</w:t>
      </w:r>
      <w:r>
        <w:t>,</w:t>
      </w:r>
      <w:r w:rsidRPr="000A2B59">
        <w:t xml:space="preserve"> or continue to progress</w:t>
      </w:r>
      <w:r>
        <w:t>, over that period of time.</w:t>
      </w:r>
      <w:r w:rsidRPr="000A2B59">
        <w:t xml:space="preserve"> </w:t>
      </w:r>
      <w:r>
        <w:t>T</w:t>
      </w:r>
      <w:r w:rsidRPr="000A2B59">
        <w:t xml:space="preserve">he information </w:t>
      </w:r>
      <w:r>
        <w:t xml:space="preserve">is divided </w:t>
      </w:r>
      <w:r w:rsidRPr="000A2B59">
        <w:t xml:space="preserve">into two </w:t>
      </w:r>
      <w:r>
        <w:t>schedules</w:t>
      </w:r>
      <w:r w:rsidRPr="000A2B59">
        <w:t>:</w:t>
      </w:r>
    </w:p>
    <w:p w14:paraId="100EA2D9" w14:textId="77777777" w:rsidR="005E0BFE" w:rsidRPr="00176E88" w:rsidRDefault="005E0BFE" w:rsidP="005E0BFE">
      <w:pPr>
        <w:pStyle w:val="ListBullet"/>
        <w:rPr>
          <w:rFonts w:cs="Arial"/>
          <w:szCs w:val="20"/>
        </w:rPr>
      </w:pPr>
      <w:r w:rsidRPr="00176E88">
        <w:rPr>
          <w:rFonts w:cs="Arial"/>
          <w:szCs w:val="20"/>
        </w:rPr>
        <w:t xml:space="preserve">Schedule </w:t>
      </w:r>
      <w:r>
        <w:rPr>
          <w:rFonts w:cs="Arial"/>
          <w:szCs w:val="20"/>
        </w:rPr>
        <w:t>1</w:t>
      </w:r>
      <w:r w:rsidRPr="00176E88">
        <w:rPr>
          <w:rFonts w:cs="Arial"/>
          <w:szCs w:val="20"/>
        </w:rPr>
        <w:t xml:space="preserve"> is a list of projects or activities on a band-by-band basis, listed in ascending frequency order</w:t>
      </w:r>
    </w:p>
    <w:p w14:paraId="1C8A0B0B" w14:textId="77777777" w:rsidR="005E0BFE" w:rsidRPr="00176E88" w:rsidRDefault="005E0BFE" w:rsidP="005E0BFE">
      <w:pPr>
        <w:pStyle w:val="ListBulletLast"/>
      </w:pPr>
      <w:r w:rsidRPr="00176E88">
        <w:t xml:space="preserve">Schedule </w:t>
      </w:r>
      <w:r>
        <w:t>2</w:t>
      </w:r>
      <w:r w:rsidRPr="00176E88">
        <w:t xml:space="preserve"> lists the regulatory or service</w:t>
      </w:r>
      <w:r>
        <w:t>-</w:t>
      </w:r>
      <w:r w:rsidRPr="00176E88">
        <w:t>based projects that, given the activity’s broad</w:t>
      </w:r>
      <w:r>
        <w:t>-</w:t>
      </w:r>
      <w:r w:rsidRPr="00176E88">
        <w:t>ranging impact (such as spectrum pricing activities) may span a number of bands or services.</w:t>
      </w:r>
    </w:p>
    <w:p w14:paraId="76D65EEA" w14:textId="77777777" w:rsidR="004D0DEA" w:rsidRDefault="004D0DEA" w:rsidP="00184327">
      <w:pPr>
        <w:pStyle w:val="Heading3"/>
        <w:rPr>
          <w:lang w:val="en-US"/>
        </w:rPr>
      </w:pPr>
      <w:bookmarkStart w:id="475" w:name="_Toc463351351"/>
      <w:r>
        <w:rPr>
          <w:lang w:val="en-US"/>
        </w:rPr>
        <w:t>Development of the projected work program</w:t>
      </w:r>
      <w:bookmarkEnd w:id="464"/>
      <w:bookmarkEnd w:id="465"/>
      <w:bookmarkEnd w:id="466"/>
      <w:bookmarkEnd w:id="467"/>
      <w:bookmarkEnd w:id="468"/>
      <w:bookmarkEnd w:id="469"/>
      <w:bookmarkEnd w:id="470"/>
      <w:bookmarkEnd w:id="471"/>
      <w:bookmarkEnd w:id="472"/>
      <w:bookmarkEnd w:id="473"/>
      <w:bookmarkEnd w:id="474"/>
      <w:bookmarkEnd w:id="475"/>
    </w:p>
    <w:p w14:paraId="19042082" w14:textId="77777777" w:rsidR="004D0DEA" w:rsidRDefault="004D0DEA" w:rsidP="004D0DEA">
      <w:r w:rsidRPr="005C032E">
        <w:t>Stakeholders should consider the projects identified in the work program as the ACMA’s response to increasing pressures on spectrum demand and availability. The projects</w:t>
      </w:r>
      <w:r>
        <w:t xml:space="preserve"> and programs</w:t>
      </w:r>
      <w:r w:rsidRPr="005C032E">
        <w:t xml:space="preserve"> outlined in </w:t>
      </w:r>
      <w:r w:rsidR="000B3819">
        <w:t>s</w:t>
      </w:r>
      <w:r>
        <w:t>chedules 1 and 2</w:t>
      </w:r>
      <w:r w:rsidRPr="005C032E">
        <w:t xml:space="preserve"> represent the ACMA’s preliminary thinking</w:t>
      </w:r>
      <w:r>
        <w:t xml:space="preserve"> on its priorities for the period 2017</w:t>
      </w:r>
      <w:r w:rsidR="000B3819">
        <w:t>–</w:t>
      </w:r>
      <w:r>
        <w:t>20</w:t>
      </w:r>
      <w:r w:rsidRPr="005C032E">
        <w:t xml:space="preserve">. </w:t>
      </w:r>
    </w:p>
    <w:p w14:paraId="4E5FEB79" w14:textId="77777777" w:rsidR="004D0DEA" w:rsidRDefault="004D0DEA" w:rsidP="004D0DEA">
      <w:r>
        <w:t>A</w:t>
      </w:r>
      <w:r w:rsidRPr="005C032E">
        <w:t xml:space="preserve">s </w:t>
      </w:r>
      <w:r>
        <w:t xml:space="preserve">stated in </w:t>
      </w:r>
      <w:r w:rsidR="005E0BFE">
        <w:t>earlier</w:t>
      </w:r>
      <w:r>
        <w:t xml:space="preserve"> sections of </w:t>
      </w:r>
      <w:r w:rsidRPr="005C032E">
        <w:t xml:space="preserve">the </w:t>
      </w:r>
      <w:r>
        <w:t>FYSO</w:t>
      </w:r>
      <w:r w:rsidRPr="005C032E">
        <w:t>, the</w:t>
      </w:r>
      <w:r>
        <w:t xml:space="preserve"> ACMA’s priorities are regularly reviewed and</w:t>
      </w:r>
      <w:r w:rsidR="005E0BFE">
        <w:t>, in particular,</w:t>
      </w:r>
      <w:r>
        <w:t xml:space="preserve"> may change as the ACMA is required to shift its focus on </w:t>
      </w:r>
      <w:r w:rsidR="000B3819">
        <w:t>implementing</w:t>
      </w:r>
      <w:r>
        <w:t xml:space="preserve"> the government’s spectrum reforms.  </w:t>
      </w:r>
    </w:p>
    <w:p w14:paraId="50D96F67" w14:textId="77777777" w:rsidR="004D0DEA" w:rsidRDefault="005E0BFE" w:rsidP="004D0DEA">
      <w:r>
        <w:t>Importantly, t</w:t>
      </w:r>
      <w:r w:rsidR="004D0DEA" w:rsidRPr="005C032E">
        <w:t>he</w:t>
      </w:r>
      <w:r w:rsidR="004D0DEA">
        <w:t xml:space="preserve"> projected </w:t>
      </w:r>
      <w:r w:rsidR="004D0DEA" w:rsidRPr="005C032E">
        <w:t>work program</w:t>
      </w:r>
      <w:r w:rsidR="004D0DEA">
        <w:t xml:space="preserve"> for 2017</w:t>
      </w:r>
      <w:r w:rsidR="000B3819">
        <w:t>–</w:t>
      </w:r>
      <w:r w:rsidR="004D0DEA">
        <w:t>20</w:t>
      </w:r>
      <w:r w:rsidR="004D0DEA" w:rsidRPr="005C032E">
        <w:t xml:space="preserve"> do</w:t>
      </w:r>
      <w:r w:rsidR="004D0DEA">
        <w:t>es</w:t>
      </w:r>
      <w:r w:rsidR="004D0DEA" w:rsidRPr="005C032E">
        <w:t xml:space="preserve"> not reflect all the work the ACMA undertakes in radiocommunications issues</w:t>
      </w:r>
      <w:r w:rsidR="004D0DEA">
        <w:t>. For example, many activities that would be considered ‘business as usual’</w:t>
      </w:r>
      <w:r w:rsidR="000B3819">
        <w:t>,</w:t>
      </w:r>
      <w:r w:rsidR="004D0DEA">
        <w:t xml:space="preserve"> including responding to requests from stakeholders resulting in minor changes to the existing regulatory arrangements. </w:t>
      </w:r>
    </w:p>
    <w:p w14:paraId="40939238" w14:textId="77777777" w:rsidR="004D0DEA" w:rsidRPr="0098560A" w:rsidRDefault="004D0DEA" w:rsidP="004D0DEA">
      <w:r w:rsidRPr="005C032E">
        <w:t xml:space="preserve">The ACMA received </w:t>
      </w:r>
      <w:r w:rsidR="000B3819">
        <w:t xml:space="preserve">10 </w:t>
      </w:r>
      <w:r w:rsidRPr="005C032E">
        <w:t>submissions in response to its 201</w:t>
      </w:r>
      <w:r>
        <w:t>5</w:t>
      </w:r>
      <w:r w:rsidRPr="005C032E">
        <w:t>–1</w:t>
      </w:r>
      <w:r>
        <w:t>9</w:t>
      </w:r>
      <w:r w:rsidRPr="005C032E">
        <w:t xml:space="preserve"> </w:t>
      </w:r>
      <w:r w:rsidR="000B3819">
        <w:t>FYSO</w:t>
      </w:r>
      <w:r w:rsidRPr="008A21F4">
        <w:t>,</w:t>
      </w:r>
      <w:r>
        <w:t xml:space="preserve"> with </w:t>
      </w:r>
      <w:r w:rsidRPr="005C032E">
        <w:t>submissions clos</w:t>
      </w:r>
      <w:r>
        <w:t>ing</w:t>
      </w:r>
      <w:r w:rsidRPr="005C032E">
        <w:t xml:space="preserve"> on </w:t>
      </w:r>
      <w:r>
        <w:t>18</w:t>
      </w:r>
      <w:r w:rsidRPr="005C032E">
        <w:t xml:space="preserve"> December 201</w:t>
      </w:r>
      <w:r>
        <w:t>5.</w:t>
      </w:r>
      <w:r w:rsidRPr="005C032E">
        <w:t xml:space="preserve"> Submissions covered a range of matters, including the spectrum needs or requirements o</w:t>
      </w:r>
      <w:r>
        <w:t>f</w:t>
      </w:r>
      <w:r w:rsidRPr="005C032E">
        <w:t xml:space="preserve"> individual submitters</w:t>
      </w:r>
      <w:r>
        <w:t>,</w:t>
      </w:r>
      <w:r w:rsidRPr="005C032E">
        <w:t xml:space="preserve"> and suggestions for matters the ACMA might wish to consider in positioning future </w:t>
      </w:r>
      <w:r>
        <w:t>publications</w:t>
      </w:r>
      <w:r w:rsidRPr="005C032E">
        <w:t xml:space="preserve">. </w:t>
      </w:r>
      <w:r>
        <w:t>The ACMA</w:t>
      </w:r>
      <w:r w:rsidRPr="005C032E">
        <w:t xml:space="preserve"> consider</w:t>
      </w:r>
      <w:r>
        <w:t>ed</w:t>
      </w:r>
      <w:r w:rsidRPr="005C032E">
        <w:t xml:space="preserve"> these submissions </w:t>
      </w:r>
      <w:r>
        <w:t>when developing</w:t>
      </w:r>
      <w:r w:rsidRPr="005C032E">
        <w:t xml:space="preserve"> </w:t>
      </w:r>
      <w:r>
        <w:t>its projected work program</w:t>
      </w:r>
      <w:r w:rsidRPr="005C032E">
        <w:t>.</w:t>
      </w:r>
    </w:p>
    <w:p w14:paraId="785D32FA" w14:textId="77777777" w:rsidR="004D0DEA" w:rsidRDefault="004D0DEA" w:rsidP="00184327">
      <w:pPr>
        <w:pStyle w:val="Heading3"/>
        <w:keepLines/>
      </w:pPr>
      <w:bookmarkStart w:id="476" w:name="_Toc286827646"/>
      <w:bookmarkStart w:id="477" w:name="_Toc282784448"/>
      <w:bookmarkStart w:id="478" w:name="_Toc280608457"/>
      <w:bookmarkStart w:id="479" w:name="_Toc388541429"/>
      <w:bookmarkStart w:id="480" w:name="_Toc421196928"/>
      <w:bookmarkStart w:id="481" w:name="_Toc421626794"/>
      <w:bookmarkStart w:id="482" w:name="_Toc422405910"/>
      <w:bookmarkStart w:id="483" w:name="_Toc425954318"/>
      <w:bookmarkStart w:id="484" w:name="_Toc455579246"/>
      <w:bookmarkStart w:id="485" w:name="_Toc456616648"/>
      <w:bookmarkStart w:id="486" w:name="_Toc458084593"/>
      <w:bookmarkStart w:id="487" w:name="_Toc458608730"/>
      <w:bookmarkStart w:id="488" w:name="_Toc461108036"/>
      <w:bookmarkStart w:id="489" w:name="_Toc461194863"/>
      <w:bookmarkStart w:id="490" w:name="_Toc461445514"/>
      <w:bookmarkStart w:id="491" w:name="_Toc463351352"/>
      <w:r w:rsidRPr="000A2B59">
        <w:t>Consultation for spectrum management changes</w:t>
      </w:r>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p w14:paraId="2A798959" w14:textId="77777777" w:rsidR="004D0DEA" w:rsidRDefault="004D0DEA" w:rsidP="004D0DEA">
      <w:r w:rsidRPr="000A2B59">
        <w:t>The ACMA publishe</w:t>
      </w:r>
      <w:r>
        <w:t>s</w:t>
      </w:r>
      <w:r w:rsidRPr="000A2B59">
        <w:t xml:space="preserve"> the</w:t>
      </w:r>
      <w:r>
        <w:t xml:space="preserve"> projected work program </w:t>
      </w:r>
      <w:r w:rsidRPr="000A2B59">
        <w:t>to give information to industry, government and community groups about planned spectrum management activit</w:t>
      </w:r>
      <w:r>
        <w:t xml:space="preserve">ies that can assist them in providing the ACMA with </w:t>
      </w:r>
      <w:r w:rsidRPr="000A2B59">
        <w:t>views about likely future pressures on spectrum management over the 201</w:t>
      </w:r>
      <w:r>
        <w:t>7–20</w:t>
      </w:r>
      <w:r w:rsidRPr="000A2B59">
        <w:t xml:space="preserve"> period. </w:t>
      </w:r>
    </w:p>
    <w:p w14:paraId="1396DDCC" w14:textId="77777777" w:rsidR="004D0DEA" w:rsidRDefault="004D0DEA" w:rsidP="004D0DEA">
      <w:r w:rsidRPr="000A2B59">
        <w:t>The ACMA stresses that consultation with interested parties about planned spectrum management work and related changes will be an ongoing feature of its regulatory functions. The work program</w:t>
      </w:r>
      <w:r>
        <w:t xml:space="preserve"> is a</w:t>
      </w:r>
      <w:r w:rsidRPr="000A2B59">
        <w:t xml:space="preserve"> living document that the ACMA reviews annually to </w:t>
      </w:r>
      <w:r w:rsidRPr="00126974">
        <w:t>ensure</w:t>
      </w:r>
      <w:r w:rsidRPr="000A2B59">
        <w:t xml:space="preserve"> </w:t>
      </w:r>
      <w:r>
        <w:t>its</w:t>
      </w:r>
      <w:r w:rsidRPr="000A2B59">
        <w:t xml:space="preserve"> relevance to current trends in radiocommunications. This will include regular updates of the time frames</w:t>
      </w:r>
      <w:r>
        <w:t>,</w:t>
      </w:r>
      <w:r w:rsidRPr="000A2B59">
        <w:t xml:space="preserve"> and priorities for each task and project to ensure they reflect current demand.</w:t>
      </w:r>
    </w:p>
    <w:p w14:paraId="1DC79302" w14:textId="77777777" w:rsidR="004D0DEA" w:rsidRDefault="004D0DEA" w:rsidP="004D0DEA">
      <w:pPr>
        <w:pStyle w:val="Heading1"/>
      </w:pPr>
      <w:bookmarkStart w:id="492" w:name="_Toc461445515"/>
      <w:bookmarkStart w:id="493" w:name="_Toc463351353"/>
      <w:r>
        <w:t>Schedule 1:</w:t>
      </w:r>
      <w:r>
        <w:br/>
        <w:t>Band-by-band work prog</w:t>
      </w:r>
      <w:r w:rsidR="00B91268" w:rsidRPr="00184327">
        <w:rPr>
          <w:rFonts w:eastAsiaTheme="minorHAnsi"/>
          <w:noProof/>
        </w:rPr>
        <w:drawing>
          <wp:anchor distT="0" distB="0" distL="114300" distR="114300" simplePos="0" relativeHeight="251667456" behindDoc="1" locked="1" layoutInCell="0" allowOverlap="0" wp14:anchorId="1436E335" wp14:editId="18B731B0">
            <wp:simplePos x="0" y="0"/>
            <wp:positionH relativeFrom="page">
              <wp:posOffset>-50165</wp:posOffset>
            </wp:positionH>
            <wp:positionV relativeFrom="page">
              <wp:posOffset>-6985</wp:posOffset>
            </wp:positionV>
            <wp:extent cx="7632000" cy="10807200"/>
            <wp:effectExtent l="0" t="0" r="7620" b="0"/>
            <wp:wrapNone/>
            <wp:docPr id="15" name="Picture 2"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FYSODocumentAssets2013_ChapIntro.png"/>
                    <pic:cNvPicPr/>
                  </pic:nvPicPr>
                  <pic:blipFill>
                    <a:blip r:embed="rId41" cstate="print"/>
                    <a:stretch>
                      <a:fillRect/>
                    </a:stretch>
                  </pic:blipFill>
                  <pic:spPr>
                    <a:xfrm>
                      <a:off x="0" y="0"/>
                      <a:ext cx="7632000" cy="10807200"/>
                    </a:xfrm>
                    <a:prstGeom prst="rect">
                      <a:avLst/>
                    </a:prstGeom>
                  </pic:spPr>
                </pic:pic>
              </a:graphicData>
            </a:graphic>
            <wp14:sizeRelH relativeFrom="margin">
              <wp14:pctWidth>0</wp14:pctWidth>
            </wp14:sizeRelH>
            <wp14:sizeRelV relativeFrom="margin">
              <wp14:pctHeight>0</wp14:pctHeight>
            </wp14:sizeRelV>
          </wp:anchor>
        </w:drawing>
      </w:r>
      <w:r>
        <w:t>ram</w:t>
      </w:r>
      <w:bookmarkEnd w:id="492"/>
      <w:bookmarkEnd w:id="493"/>
    </w:p>
    <w:p w14:paraId="0C5F7A8A" w14:textId="77777777" w:rsidR="004D0DEA" w:rsidRDefault="004D0DEA" w:rsidP="00971D54">
      <w:pPr>
        <w:pStyle w:val="Heading2"/>
        <w:pageBreakBefore/>
      </w:pPr>
      <w:bookmarkStart w:id="494" w:name="_Toc461108038"/>
      <w:bookmarkStart w:id="495" w:name="_Toc461194865"/>
      <w:bookmarkStart w:id="496" w:name="_Toc461445516"/>
      <w:bookmarkStart w:id="497" w:name="_Toc463351354"/>
      <w:r>
        <w:t>2017</w:t>
      </w:r>
      <w:r w:rsidR="00676648">
        <w:t>–</w:t>
      </w:r>
      <w:r>
        <w:t>20</w:t>
      </w:r>
      <w:bookmarkEnd w:id="494"/>
      <w:bookmarkEnd w:id="495"/>
      <w:bookmarkEnd w:id="496"/>
      <w:bookmarkEnd w:id="497"/>
    </w:p>
    <w:tbl>
      <w:tblPr>
        <w:tblStyle w:val="TableGrid2"/>
        <w:tblW w:w="9141" w:type="dxa"/>
        <w:tblInd w:w="56" w:type="dxa"/>
        <w:tblBorders>
          <w:left w:val="none" w:sz="0" w:space="0" w:color="auto"/>
          <w:bottom w:val="none" w:sz="0" w:space="0" w:color="auto"/>
          <w:right w:val="none" w:sz="0" w:space="0" w:color="auto"/>
        </w:tblBorders>
        <w:tblLayout w:type="fixed"/>
        <w:tblCellMar>
          <w:top w:w="57" w:type="dxa"/>
          <w:left w:w="57" w:type="dxa"/>
          <w:bottom w:w="57" w:type="dxa"/>
          <w:right w:w="57" w:type="dxa"/>
        </w:tblCellMar>
        <w:tblLook w:val="04A0" w:firstRow="1" w:lastRow="0" w:firstColumn="1" w:lastColumn="0" w:noHBand="0" w:noVBand="1"/>
        <w:tblCaption w:val="2016-17 Band-by-band work program"/>
        <w:tblDescription w:val="Includes frequency ranges, work task, outline of the project, the priority and expected completion time frame."/>
      </w:tblPr>
      <w:tblGrid>
        <w:gridCol w:w="1628"/>
        <w:gridCol w:w="1826"/>
        <w:gridCol w:w="3119"/>
        <w:gridCol w:w="992"/>
        <w:gridCol w:w="1576"/>
      </w:tblGrid>
      <w:tr w:rsidR="004D0DEA" w:rsidRPr="004C48F9" w14:paraId="7DEEE40A" w14:textId="77777777" w:rsidTr="00375F63">
        <w:trPr>
          <w:trHeight w:val="342"/>
          <w:tblHeader/>
        </w:trPr>
        <w:tc>
          <w:tcPr>
            <w:tcW w:w="1628"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45ECA632" w14:textId="77777777" w:rsidR="004D0DEA" w:rsidRPr="005C3603" w:rsidRDefault="004D0DEA" w:rsidP="00676648">
            <w:pPr>
              <w:pStyle w:val="TableHeading"/>
              <w:rPr>
                <w:b w:val="0"/>
                <w:color w:val="FFFFFF" w:themeColor="background1"/>
              </w:rPr>
            </w:pPr>
            <w:r w:rsidRPr="005C3603">
              <w:rPr>
                <w:color w:val="FFFFFF" w:themeColor="background1"/>
              </w:rPr>
              <w:t>Frequency range</w:t>
            </w:r>
          </w:p>
        </w:tc>
        <w:tc>
          <w:tcPr>
            <w:tcW w:w="1826"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22B0B07F" w14:textId="77777777" w:rsidR="004D0DEA" w:rsidRPr="005C3603" w:rsidRDefault="004D0DEA" w:rsidP="00676648">
            <w:pPr>
              <w:pStyle w:val="TableHeading"/>
              <w:rPr>
                <w:b w:val="0"/>
                <w:color w:val="FFFFFF" w:themeColor="background1"/>
              </w:rPr>
            </w:pPr>
            <w:r w:rsidRPr="005C3603">
              <w:rPr>
                <w:color w:val="FFFFFF" w:themeColor="background1"/>
              </w:rPr>
              <w:t>Work task</w:t>
            </w:r>
          </w:p>
        </w:tc>
        <w:tc>
          <w:tcPr>
            <w:tcW w:w="3119"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6F6FB3ED" w14:textId="77777777" w:rsidR="004D0DEA" w:rsidRPr="005C3603" w:rsidRDefault="004D0DEA" w:rsidP="00676648">
            <w:pPr>
              <w:pStyle w:val="TableHeading"/>
              <w:rPr>
                <w:b w:val="0"/>
                <w:color w:val="FFFFFF" w:themeColor="background1"/>
              </w:rPr>
            </w:pPr>
            <w:r w:rsidRPr="005C3603">
              <w:rPr>
                <w:color w:val="FFFFFF" w:themeColor="background1"/>
              </w:rPr>
              <w:t>Outline</w:t>
            </w:r>
          </w:p>
        </w:tc>
        <w:tc>
          <w:tcPr>
            <w:tcW w:w="992"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2B56895A" w14:textId="77777777" w:rsidR="004D0DEA" w:rsidRPr="005C3603" w:rsidRDefault="004D0DEA" w:rsidP="00676648">
            <w:pPr>
              <w:pStyle w:val="TableHeading"/>
              <w:rPr>
                <w:b w:val="0"/>
                <w:color w:val="FFFFFF" w:themeColor="background1"/>
              </w:rPr>
            </w:pPr>
            <w:r w:rsidRPr="005C3603">
              <w:rPr>
                <w:color w:val="FFFFFF" w:themeColor="background1"/>
              </w:rPr>
              <w:t>Priority</w:t>
            </w:r>
          </w:p>
        </w:tc>
        <w:tc>
          <w:tcPr>
            <w:tcW w:w="1576"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31E01E15" w14:textId="77777777" w:rsidR="004D0DEA" w:rsidRPr="005C3603" w:rsidRDefault="004D0DEA" w:rsidP="00676648">
            <w:pPr>
              <w:pStyle w:val="TableHeading"/>
              <w:rPr>
                <w:b w:val="0"/>
                <w:color w:val="FFFFFF" w:themeColor="background1"/>
              </w:rPr>
            </w:pPr>
            <w:r w:rsidRPr="005C3603">
              <w:rPr>
                <w:color w:val="FFFFFF" w:themeColor="background1"/>
              </w:rPr>
              <w:t>Expected completion time</w:t>
            </w:r>
            <w:r w:rsidR="00BC11EA">
              <w:rPr>
                <w:color w:val="FFFFFF" w:themeColor="background1"/>
              </w:rPr>
              <w:t xml:space="preserve"> </w:t>
            </w:r>
            <w:r w:rsidRPr="005C3603">
              <w:rPr>
                <w:color w:val="FFFFFF" w:themeColor="background1"/>
              </w:rPr>
              <w:t>frame</w:t>
            </w:r>
          </w:p>
        </w:tc>
      </w:tr>
      <w:tr w:rsidR="004D0DEA" w:rsidRPr="004C48F9" w14:paraId="4365FF5C" w14:textId="77777777" w:rsidTr="00375F63">
        <w:trPr>
          <w:trHeight w:val="2579"/>
        </w:trPr>
        <w:tc>
          <w:tcPr>
            <w:tcW w:w="1628" w:type="dxa"/>
            <w:tcBorders>
              <w:top w:val="single" w:sz="4" w:space="0" w:color="auto"/>
              <w:left w:val="single" w:sz="4" w:space="0" w:color="auto"/>
              <w:bottom w:val="single" w:sz="4" w:space="0" w:color="auto"/>
              <w:right w:val="single" w:sz="4" w:space="0" w:color="auto"/>
            </w:tcBorders>
          </w:tcPr>
          <w:p w14:paraId="50AF60B9" w14:textId="77777777" w:rsidR="004D0DEA" w:rsidRDefault="004D0DEA" w:rsidP="0039046B">
            <w:pPr>
              <w:spacing w:after="120"/>
            </w:pPr>
            <w:r>
              <w:t>45–52 MHz</w:t>
            </w:r>
          </w:p>
          <w:p w14:paraId="731E743E" w14:textId="77777777" w:rsidR="004D0DEA" w:rsidRDefault="004D0DEA" w:rsidP="00676648">
            <w:pPr>
              <w:spacing w:after="120"/>
              <w:rPr>
                <w:b/>
                <w:bCs/>
              </w:rPr>
            </w:pPr>
            <w:r>
              <w:t xml:space="preserve">56–70 MHz </w:t>
            </w:r>
          </w:p>
          <w:p w14:paraId="725E62F6" w14:textId="77777777" w:rsidR="004D0DEA" w:rsidRDefault="004D0DEA" w:rsidP="00676648">
            <w:pPr>
              <w:spacing w:after="120"/>
            </w:pPr>
            <w:r>
              <w:t xml:space="preserve">85–108 MHz </w:t>
            </w:r>
          </w:p>
          <w:p w14:paraId="2A075BB3" w14:textId="77777777" w:rsidR="004D0DEA" w:rsidRDefault="004D0DEA" w:rsidP="00676648">
            <w:pPr>
              <w:spacing w:after="120"/>
              <w:rPr>
                <w:lang w:eastAsia="en-US"/>
              </w:rPr>
            </w:pPr>
            <w:r>
              <w:t>137–144 MHz</w:t>
            </w:r>
          </w:p>
        </w:tc>
        <w:tc>
          <w:tcPr>
            <w:tcW w:w="1826" w:type="dxa"/>
            <w:tcBorders>
              <w:top w:val="single" w:sz="4" w:space="0" w:color="auto"/>
              <w:left w:val="single" w:sz="4" w:space="0" w:color="auto"/>
              <w:bottom w:val="single" w:sz="4" w:space="0" w:color="auto"/>
              <w:right w:val="single" w:sz="4" w:space="0" w:color="auto"/>
            </w:tcBorders>
          </w:tcPr>
          <w:p w14:paraId="77559DE4" w14:textId="77777777" w:rsidR="004D0DEA" w:rsidRDefault="00D67EC2" w:rsidP="00676648">
            <w:pPr>
              <w:spacing w:after="120"/>
              <w:rPr>
                <w:lang w:eastAsia="en-US"/>
              </w:rPr>
            </w:pPr>
            <w:hyperlink r:id="rId106" w:history="1">
              <w:r w:rsidR="004D0DEA" w:rsidRPr="005C3603">
                <w:rPr>
                  <w:rStyle w:val="Hyperlink"/>
                  <w:rFonts w:cs="Arial"/>
                </w:rPr>
                <w:t>VHF broadcasting service bands</w:t>
              </w:r>
            </w:hyperlink>
            <w:r w:rsidR="004D0DEA" w:rsidRPr="00F21D28">
              <w:rPr>
                <w:rStyle w:val="Hyperlink"/>
                <w:rFonts w:cs="Arial"/>
              </w:rPr>
              <w:t xml:space="preserve"> </w:t>
            </w:r>
            <w:r w:rsidR="004D0DEA" w:rsidRPr="005C3603">
              <w:rPr>
                <w:rStyle w:val="Hyperlink"/>
                <w:rFonts w:cs="Arial"/>
              </w:rPr>
              <w:t>(BSB)</w:t>
            </w:r>
          </w:p>
        </w:tc>
        <w:tc>
          <w:tcPr>
            <w:tcW w:w="3119" w:type="dxa"/>
            <w:tcBorders>
              <w:top w:val="single" w:sz="4" w:space="0" w:color="auto"/>
              <w:left w:val="single" w:sz="4" w:space="0" w:color="auto"/>
              <w:bottom w:val="single" w:sz="4" w:space="0" w:color="auto"/>
              <w:right w:val="single" w:sz="4" w:space="0" w:color="auto"/>
            </w:tcBorders>
          </w:tcPr>
          <w:p w14:paraId="2A97390D" w14:textId="77777777" w:rsidR="004D0DEA" w:rsidRDefault="004D0DEA" w:rsidP="0039046B">
            <w:pPr>
              <w:spacing w:after="120"/>
            </w:pPr>
            <w:r>
              <w:t>Spectrum in these bands has been vacated following the switch-off of analog television</w:t>
            </w:r>
            <w:r w:rsidR="00BC11EA">
              <w:t>.</w:t>
            </w:r>
            <w:r>
              <w:t xml:space="preserve"> </w:t>
            </w:r>
          </w:p>
          <w:p w14:paraId="06748011" w14:textId="77777777" w:rsidR="004D0DEA" w:rsidRDefault="004D0DEA" w:rsidP="00676648">
            <w:pPr>
              <w:spacing w:after="120"/>
              <w:rPr>
                <w:lang w:eastAsia="en-US"/>
              </w:rPr>
            </w:pPr>
            <w:r>
              <w:t>The VHF BSB review will examine potential future uses for these bands, including potential use for the IoT. Subsequent projects will be needed to implement arrangements for any new uses of the bands</w:t>
            </w:r>
            <w:r w:rsidR="00BC11EA">
              <w:t>.</w:t>
            </w:r>
          </w:p>
        </w:tc>
        <w:tc>
          <w:tcPr>
            <w:tcW w:w="992" w:type="dxa"/>
            <w:tcBorders>
              <w:top w:val="single" w:sz="4" w:space="0" w:color="auto"/>
              <w:left w:val="single" w:sz="4" w:space="0" w:color="auto"/>
              <w:bottom w:val="single" w:sz="4" w:space="0" w:color="auto"/>
              <w:right w:val="single" w:sz="4" w:space="0" w:color="auto"/>
            </w:tcBorders>
          </w:tcPr>
          <w:p w14:paraId="3E61C592" w14:textId="77777777" w:rsidR="004D0DEA" w:rsidRPr="004C48F9" w:rsidRDefault="004D0DEA" w:rsidP="0039046B">
            <w:pPr>
              <w:spacing w:after="120"/>
            </w:pPr>
            <w:r>
              <w:t>Medium</w:t>
            </w:r>
          </w:p>
        </w:tc>
        <w:tc>
          <w:tcPr>
            <w:tcW w:w="1576" w:type="dxa"/>
            <w:tcBorders>
              <w:top w:val="single" w:sz="4" w:space="0" w:color="auto"/>
              <w:left w:val="single" w:sz="4" w:space="0" w:color="auto"/>
              <w:bottom w:val="single" w:sz="4" w:space="0" w:color="auto"/>
              <w:right w:val="single" w:sz="4" w:space="0" w:color="auto"/>
            </w:tcBorders>
          </w:tcPr>
          <w:p w14:paraId="47E5511F" w14:textId="77777777" w:rsidR="004D0DEA" w:rsidRDefault="004D0DEA" w:rsidP="00676648">
            <w:pPr>
              <w:spacing w:after="120"/>
              <w:rPr>
                <w:lang w:eastAsia="en-US"/>
              </w:rPr>
            </w:pPr>
            <w:r>
              <w:t xml:space="preserve">TBA as </w:t>
            </w:r>
            <w:r w:rsidR="00676648">
              <w:t>S</w:t>
            </w:r>
            <w:r>
              <w:t>pectrum Review proposals may affect this work.</w:t>
            </w:r>
          </w:p>
        </w:tc>
      </w:tr>
      <w:tr w:rsidR="004D0DEA" w:rsidRPr="004C48F9" w14:paraId="01F31E7C" w14:textId="77777777" w:rsidTr="00184327">
        <w:trPr>
          <w:trHeight w:val="3545"/>
        </w:trPr>
        <w:tc>
          <w:tcPr>
            <w:tcW w:w="1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B0231E2" w14:textId="77777777" w:rsidR="004D0DEA" w:rsidRPr="004C48F9" w:rsidRDefault="004D0DEA" w:rsidP="00676648">
            <w:pPr>
              <w:spacing w:after="120"/>
              <w:rPr>
                <w:rFonts w:asciiTheme="minorHAnsi" w:hAnsiTheme="minorHAnsi" w:cs="Arial"/>
              </w:rPr>
            </w:pPr>
            <w:r>
              <w:rPr>
                <w:lang w:eastAsia="en-US"/>
              </w:rPr>
              <w:t>174–230 MHz</w:t>
            </w:r>
          </w:p>
        </w:tc>
        <w:tc>
          <w:tcPr>
            <w:tcW w:w="182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E406D30" w14:textId="77777777" w:rsidR="004D0DEA" w:rsidRPr="00B36AEB" w:rsidRDefault="004D0DEA" w:rsidP="00676648">
            <w:pPr>
              <w:spacing w:after="120"/>
              <w:rPr>
                <w:lang w:eastAsia="en-US"/>
              </w:rPr>
            </w:pPr>
            <w:r>
              <w:rPr>
                <w:lang w:eastAsia="en-US"/>
              </w:rPr>
              <w:t>Complete digital radio planning and licensing for Canberra and Darwin</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8A9AC37" w14:textId="77777777" w:rsidR="004D0DEA" w:rsidRPr="004C48F9" w:rsidRDefault="004D0DEA" w:rsidP="00676648">
            <w:pPr>
              <w:spacing w:after="120"/>
              <w:rPr>
                <w:rFonts w:asciiTheme="minorHAnsi" w:hAnsiTheme="minorHAnsi" w:cs="Arial"/>
              </w:rPr>
            </w:pPr>
            <w:r>
              <w:rPr>
                <w:lang w:eastAsia="en-US"/>
              </w:rPr>
              <w:t xml:space="preserve">Planning for digital radio services outside mainland state capitals will be informed by the considerations of the Digital Radio Planning Committee for Regional Australia, as recommended by the </w:t>
            </w:r>
            <w:r w:rsidR="00676648">
              <w:rPr>
                <w:lang w:eastAsia="en-US"/>
              </w:rPr>
              <w:t xml:space="preserve">DoCA </w:t>
            </w:r>
            <w:r>
              <w:rPr>
                <w:lang w:eastAsia="en-US"/>
              </w:rPr>
              <w:t>Digital Radio Report. The government expects the committee to give priority to the permanent licencing of digital radio services in Canberra and Darwin</w:t>
            </w:r>
            <w:r w:rsidR="00BC11EA">
              <w:rPr>
                <w:lang w:eastAsia="en-US"/>
              </w:rPr>
              <w:t>.</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040BBC1" w14:textId="77777777" w:rsidR="004D0DEA" w:rsidRPr="004C48F9" w:rsidRDefault="004D0DEA" w:rsidP="00676648">
            <w:r w:rsidRPr="004C48F9">
              <w:t xml:space="preserve">Medium </w:t>
            </w:r>
          </w:p>
        </w:tc>
        <w:tc>
          <w:tcPr>
            <w:tcW w:w="157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E6FCC07" w14:textId="77777777" w:rsidR="004D0DEA" w:rsidRPr="004C48F9" w:rsidRDefault="004D0DEA" w:rsidP="00676648">
            <w:pPr>
              <w:spacing w:after="120"/>
              <w:rPr>
                <w:rFonts w:asciiTheme="minorHAnsi" w:hAnsiTheme="minorHAnsi" w:cs="Arial"/>
              </w:rPr>
            </w:pPr>
            <w:r>
              <w:rPr>
                <w:lang w:eastAsia="en-US"/>
              </w:rPr>
              <w:t>Possible in 2017. However, the time frame for completion will be informed by the deliberation of the Digital Radio Planning Committee for Regional Australia and the passage by parliament of any necessary minor legislative amendments</w:t>
            </w:r>
            <w:r w:rsidR="00BC11EA">
              <w:rPr>
                <w:lang w:eastAsia="en-US"/>
              </w:rPr>
              <w:t>.</w:t>
            </w:r>
          </w:p>
        </w:tc>
      </w:tr>
      <w:tr w:rsidR="004D0DEA" w:rsidRPr="00F2435E" w14:paraId="650AC818" w14:textId="77777777" w:rsidTr="00184327">
        <w:trPr>
          <w:trHeight w:val="795"/>
        </w:trPr>
        <w:tc>
          <w:tcPr>
            <w:tcW w:w="1628" w:type="dxa"/>
            <w:tcBorders>
              <w:top w:val="single" w:sz="4" w:space="0" w:color="auto"/>
              <w:left w:val="single" w:sz="4" w:space="0" w:color="auto"/>
              <w:bottom w:val="single" w:sz="4" w:space="0" w:color="auto"/>
              <w:right w:val="single" w:sz="4" w:space="0" w:color="auto"/>
            </w:tcBorders>
            <w:shd w:val="clear" w:color="auto" w:fill="auto"/>
          </w:tcPr>
          <w:p w14:paraId="66E52AC6" w14:textId="77777777" w:rsidR="004D0DEA" w:rsidRPr="00F2435E" w:rsidRDefault="004D0DEA" w:rsidP="00676648">
            <w:pPr>
              <w:spacing w:after="120"/>
              <w:rPr>
                <w:lang w:eastAsia="en-US"/>
              </w:rPr>
            </w:pPr>
            <w:r w:rsidRPr="00511959">
              <w:rPr>
                <w:lang w:eastAsia="en-US"/>
              </w:rPr>
              <w:t>403</w:t>
            </w:r>
            <w:r w:rsidR="00676648">
              <w:rPr>
                <w:lang w:eastAsia="en-US"/>
              </w:rPr>
              <w:t>–</w:t>
            </w:r>
            <w:r w:rsidRPr="00511959">
              <w:rPr>
                <w:lang w:eastAsia="en-US"/>
              </w:rPr>
              <w:t>520 MHz</w:t>
            </w:r>
          </w:p>
        </w:tc>
        <w:tc>
          <w:tcPr>
            <w:tcW w:w="1826" w:type="dxa"/>
            <w:tcBorders>
              <w:top w:val="single" w:sz="4" w:space="0" w:color="auto"/>
              <w:left w:val="single" w:sz="4" w:space="0" w:color="auto"/>
              <w:bottom w:val="single" w:sz="4" w:space="0" w:color="auto"/>
              <w:right w:val="single" w:sz="4" w:space="0" w:color="auto"/>
            </w:tcBorders>
            <w:shd w:val="clear" w:color="auto" w:fill="auto"/>
          </w:tcPr>
          <w:p w14:paraId="00A6E2D3" w14:textId="77777777" w:rsidR="004D0DEA" w:rsidRPr="00F2435E" w:rsidRDefault="004D0DEA" w:rsidP="00676648">
            <w:pPr>
              <w:spacing w:after="120"/>
              <w:rPr>
                <w:lang w:eastAsia="en-US"/>
              </w:rPr>
            </w:pPr>
            <w:r w:rsidRPr="00511959">
              <w:rPr>
                <w:lang w:eastAsia="en-US"/>
              </w:rPr>
              <w:t xml:space="preserve">400 MHz </w:t>
            </w:r>
            <w:r w:rsidR="00676648">
              <w:rPr>
                <w:lang w:eastAsia="en-US"/>
              </w:rPr>
              <w:t>i</w:t>
            </w:r>
            <w:r w:rsidRPr="00511959">
              <w:rPr>
                <w:lang w:eastAsia="en-US"/>
              </w:rPr>
              <w:t>mplementation changes</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1D586A8F" w14:textId="77777777" w:rsidR="004D0DEA" w:rsidRPr="00511959" w:rsidRDefault="004D0DEA" w:rsidP="0039046B">
            <w:pPr>
              <w:spacing w:after="120"/>
              <w:rPr>
                <w:lang w:eastAsia="en-US"/>
              </w:rPr>
            </w:pPr>
            <w:r w:rsidRPr="00511959">
              <w:rPr>
                <w:lang w:eastAsia="en-US"/>
              </w:rPr>
              <w:t>Licensees to make changes as per Milestone 3 requirements (RDA/LDA)</w:t>
            </w:r>
            <w:r w:rsidR="00BC11EA">
              <w:rPr>
                <w:lang w:eastAsia="en-U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3FCA260" w14:textId="77777777" w:rsidR="004D0DEA" w:rsidRPr="00F2435E" w:rsidRDefault="004D0DEA" w:rsidP="00676648">
            <w:pPr>
              <w:spacing w:after="120"/>
              <w:rPr>
                <w:lang w:eastAsia="en-US"/>
              </w:rPr>
            </w:pPr>
            <w:r w:rsidRPr="00F2435E">
              <w:rPr>
                <w:lang w:eastAsia="en-US"/>
              </w:rPr>
              <w:t>High</w:t>
            </w:r>
          </w:p>
        </w:tc>
        <w:tc>
          <w:tcPr>
            <w:tcW w:w="1576" w:type="dxa"/>
            <w:tcBorders>
              <w:top w:val="single" w:sz="4" w:space="0" w:color="auto"/>
              <w:left w:val="single" w:sz="4" w:space="0" w:color="auto"/>
              <w:bottom w:val="single" w:sz="4" w:space="0" w:color="auto"/>
              <w:right w:val="single" w:sz="4" w:space="0" w:color="auto"/>
            </w:tcBorders>
            <w:shd w:val="clear" w:color="auto" w:fill="auto"/>
          </w:tcPr>
          <w:p w14:paraId="6DEE2B94" w14:textId="77777777" w:rsidR="004D0DEA" w:rsidRPr="00F2435E" w:rsidRDefault="004D0DEA" w:rsidP="00676648">
            <w:pPr>
              <w:spacing w:after="120"/>
              <w:rPr>
                <w:lang w:eastAsia="en-US"/>
              </w:rPr>
            </w:pPr>
            <w:r w:rsidRPr="00511959">
              <w:rPr>
                <w:lang w:eastAsia="en-US"/>
              </w:rPr>
              <w:t>End 2019</w:t>
            </w:r>
          </w:p>
        </w:tc>
      </w:tr>
      <w:tr w:rsidR="004D0DEA" w:rsidRPr="004C48F9" w14:paraId="3DCA483D" w14:textId="77777777" w:rsidTr="00184327">
        <w:trPr>
          <w:trHeight w:val="895"/>
        </w:trPr>
        <w:tc>
          <w:tcPr>
            <w:tcW w:w="1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AB4052" w14:textId="77777777" w:rsidR="004D0DEA" w:rsidRPr="00F2435E" w:rsidRDefault="004D0DEA" w:rsidP="00676648">
            <w:pPr>
              <w:spacing w:after="120"/>
            </w:pPr>
            <w:r w:rsidRPr="00F2435E">
              <w:rPr>
                <w:lang w:val="de-DE"/>
              </w:rPr>
              <w:t>803</w:t>
            </w:r>
            <w:r w:rsidRPr="00F2435E">
              <w:t>–</w:t>
            </w:r>
            <w:r w:rsidRPr="00F2435E">
              <w:rPr>
                <w:lang w:val="de-DE"/>
              </w:rPr>
              <w:t>960 MHz</w:t>
            </w:r>
          </w:p>
        </w:tc>
        <w:tc>
          <w:tcPr>
            <w:tcW w:w="182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9CF7070" w14:textId="77777777" w:rsidR="004D0DEA" w:rsidRPr="00F2435E" w:rsidRDefault="00D67EC2" w:rsidP="00676648">
            <w:pPr>
              <w:spacing w:after="120"/>
            </w:pPr>
            <w:hyperlink r:id="rId107" w:history="1">
              <w:r w:rsidR="004D0DEA" w:rsidRPr="00F2435E">
                <w:rPr>
                  <w:rStyle w:val="Hyperlink"/>
                  <w:rFonts w:eastAsiaTheme="majorEastAsia" w:cs="Arial"/>
                </w:rPr>
                <w:t xml:space="preserve">Review of the band 803–960 MHz </w:t>
              </w:r>
            </w:hyperlink>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19730B" w14:textId="77777777" w:rsidR="004D0DEA" w:rsidRPr="00F2435E" w:rsidRDefault="004D0DEA" w:rsidP="00676648">
            <w:pPr>
              <w:spacing w:after="120"/>
            </w:pPr>
            <w:r w:rsidRPr="00F2435E">
              <w:rPr>
                <w:rFonts w:cs="Arial"/>
              </w:rPr>
              <w:t xml:space="preserve">Continuation of </w:t>
            </w:r>
            <w:r>
              <w:rPr>
                <w:rFonts w:cs="Arial"/>
              </w:rPr>
              <w:t xml:space="preserve">the </w:t>
            </w:r>
            <w:r w:rsidRPr="00F2435E">
              <w:t>multi-staged</w:t>
            </w:r>
            <w:r w:rsidRPr="00F2435E">
              <w:rPr>
                <w:rFonts w:cs="Arial"/>
              </w:rPr>
              <w:t xml:space="preserve"> implementation of outcomes of the band review. Implementation plan contained in the </w:t>
            </w:r>
            <w:hyperlink r:id="rId108" w:history="1">
              <w:r w:rsidR="00676648">
                <w:rPr>
                  <w:rStyle w:val="Hyperlink"/>
                  <w:rFonts w:cs="Arial"/>
                </w:rPr>
                <w:t>d</w:t>
              </w:r>
              <w:r w:rsidRPr="00F2435E">
                <w:rPr>
                  <w:rStyle w:val="Hyperlink"/>
                  <w:rFonts w:cs="Arial"/>
                </w:rPr>
                <w:t xml:space="preserve">ecision </w:t>
              </w:r>
              <w:r w:rsidR="00676648">
                <w:rPr>
                  <w:rStyle w:val="Hyperlink"/>
                  <w:rFonts w:cs="Arial"/>
                </w:rPr>
                <w:t>p</w:t>
              </w:r>
              <w:r w:rsidRPr="00F2435E">
                <w:rPr>
                  <w:rStyle w:val="Hyperlink"/>
                  <w:rFonts w:cs="Arial"/>
                </w:rPr>
                <w:t>aper</w:t>
              </w:r>
            </w:hyperlink>
            <w:r w:rsidR="00BC11EA">
              <w:rPr>
                <w:rStyle w:val="Hyperlink"/>
                <w:rFonts w:cs="Arial"/>
              </w:rPr>
              <w:t>.</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95F5E97" w14:textId="77777777" w:rsidR="004D0DEA" w:rsidRPr="00F2435E" w:rsidRDefault="004D0DEA" w:rsidP="00676648">
            <w:pPr>
              <w:spacing w:after="120"/>
            </w:pPr>
            <w:r w:rsidRPr="00F2435E">
              <w:rPr>
                <w:rFonts w:cs="Arial"/>
                <w:lang w:val="de-DE"/>
              </w:rPr>
              <w:t>High</w:t>
            </w:r>
          </w:p>
        </w:tc>
        <w:tc>
          <w:tcPr>
            <w:tcW w:w="157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ABC886B" w14:textId="77777777" w:rsidR="004D0DEA" w:rsidRPr="004C48F9" w:rsidRDefault="004D0DEA" w:rsidP="00676648">
            <w:pPr>
              <w:spacing w:after="120"/>
            </w:pPr>
            <w:r w:rsidRPr="00F2435E">
              <w:rPr>
                <w:rFonts w:cs="Arial"/>
                <w:lang w:val="de-DE"/>
              </w:rPr>
              <w:t>Mid</w:t>
            </w:r>
            <w:r w:rsidR="00676648">
              <w:rPr>
                <w:rFonts w:cs="Arial"/>
                <w:lang w:val="de-DE"/>
              </w:rPr>
              <w:t>-</w:t>
            </w:r>
            <w:r w:rsidRPr="00F2435E">
              <w:rPr>
                <w:rFonts w:cs="Arial"/>
                <w:lang w:val="de-DE"/>
              </w:rPr>
              <w:t>2024</w:t>
            </w:r>
          </w:p>
        </w:tc>
      </w:tr>
      <w:tr w:rsidR="004D0DEA" w:rsidRPr="004C48F9" w14:paraId="5899B18E" w14:textId="77777777" w:rsidTr="00375F63">
        <w:tc>
          <w:tcPr>
            <w:tcW w:w="1628" w:type="dxa"/>
            <w:tcBorders>
              <w:top w:val="single" w:sz="4" w:space="0" w:color="auto"/>
              <w:left w:val="single" w:sz="4" w:space="0" w:color="auto"/>
              <w:bottom w:val="single" w:sz="4" w:space="0" w:color="auto"/>
              <w:right w:val="single" w:sz="4" w:space="0" w:color="auto"/>
            </w:tcBorders>
          </w:tcPr>
          <w:p w14:paraId="14421E0F" w14:textId="77777777" w:rsidR="004D0DEA" w:rsidRPr="004C48F9" w:rsidRDefault="004D0DEA" w:rsidP="00676648">
            <w:pPr>
              <w:spacing w:after="120"/>
            </w:pPr>
            <w:r>
              <w:t>1900</w:t>
            </w:r>
            <w:r w:rsidR="00676648">
              <w:t>–</w:t>
            </w:r>
            <w:r>
              <w:t>1920 MHz</w:t>
            </w:r>
          </w:p>
        </w:tc>
        <w:tc>
          <w:tcPr>
            <w:tcW w:w="1826" w:type="dxa"/>
            <w:tcBorders>
              <w:top w:val="single" w:sz="4" w:space="0" w:color="auto"/>
              <w:left w:val="single" w:sz="4" w:space="0" w:color="auto"/>
              <w:bottom w:val="single" w:sz="4" w:space="0" w:color="auto"/>
              <w:right w:val="single" w:sz="4" w:space="0" w:color="auto"/>
            </w:tcBorders>
          </w:tcPr>
          <w:p w14:paraId="4787ED61" w14:textId="77777777" w:rsidR="004D0DEA" w:rsidRPr="004C48F9" w:rsidRDefault="004D0DEA" w:rsidP="00676648">
            <w:pPr>
              <w:spacing w:after="120"/>
            </w:pPr>
            <w:r w:rsidRPr="00B93333">
              <w:rPr>
                <w:lang w:val="de-DE"/>
              </w:rPr>
              <w:t>2 GHz band</w:t>
            </w:r>
            <w:r w:rsidRPr="004C48F9" w:rsidDel="007F10C8">
              <w:rPr>
                <w:b/>
              </w:rPr>
              <w:t xml:space="preserve"> </w:t>
            </w:r>
          </w:p>
        </w:tc>
        <w:tc>
          <w:tcPr>
            <w:tcW w:w="3119" w:type="dxa"/>
            <w:tcBorders>
              <w:top w:val="single" w:sz="4" w:space="0" w:color="auto"/>
              <w:left w:val="single" w:sz="4" w:space="0" w:color="auto"/>
              <w:bottom w:val="single" w:sz="4" w:space="0" w:color="auto"/>
              <w:right w:val="single" w:sz="4" w:space="0" w:color="auto"/>
            </w:tcBorders>
          </w:tcPr>
          <w:p w14:paraId="44AA8A77" w14:textId="77777777" w:rsidR="004D0DEA" w:rsidRDefault="004D0DEA" w:rsidP="0039046B">
            <w:pPr>
              <w:spacing w:after="120"/>
              <w:rPr>
                <w:lang w:val="de-DE"/>
              </w:rPr>
            </w:pPr>
            <w:r>
              <w:rPr>
                <w:lang w:val="de-DE"/>
              </w:rPr>
              <w:t>The 1900</w:t>
            </w:r>
            <w:r w:rsidR="00676648">
              <w:rPr>
                <w:lang w:val="de-DE"/>
              </w:rPr>
              <w:t>–</w:t>
            </w:r>
            <w:r>
              <w:rPr>
                <w:lang w:val="de-DE"/>
              </w:rPr>
              <w:t xml:space="preserve">1920 MHz band was not included in the </w:t>
            </w:r>
            <w:r w:rsidR="00676648">
              <w:rPr>
                <w:lang w:val="de-DE"/>
              </w:rPr>
              <w:t>m</w:t>
            </w:r>
            <w:r>
              <w:rPr>
                <w:lang w:val="de-DE"/>
              </w:rPr>
              <w:t>inister</w:t>
            </w:r>
            <w:r w:rsidR="00676648">
              <w:rPr>
                <w:lang w:val="de-DE"/>
              </w:rPr>
              <w:t>‘</w:t>
            </w:r>
            <w:r>
              <w:rPr>
                <w:lang w:val="de-DE"/>
              </w:rPr>
              <w:t>s class of service dertermination and licensees indicated they were not interested in re-issue of their licences as spectrum lciences. The ACMA therefore intends to allow these licences to expire. Once expired</w:t>
            </w:r>
            <w:r w:rsidR="00676648">
              <w:rPr>
                <w:lang w:val="de-DE"/>
              </w:rPr>
              <w:t>,</w:t>
            </w:r>
            <w:r w:rsidR="001461CE">
              <w:rPr>
                <w:lang w:val="de-DE"/>
              </w:rPr>
              <w:t xml:space="preserve"> the associa</w:t>
            </w:r>
            <w:r>
              <w:rPr>
                <w:lang w:val="de-DE"/>
              </w:rPr>
              <w:t>ted spectrum licence space will revert to an apparatus licencing regime</w:t>
            </w:r>
            <w:r w:rsidR="00BC11EA">
              <w:rPr>
                <w:lang w:val="de-DE"/>
              </w:rPr>
              <w:t>.</w:t>
            </w:r>
          </w:p>
          <w:p w14:paraId="5D8EC41B" w14:textId="77777777" w:rsidR="004D0DEA" w:rsidRDefault="004D0DEA" w:rsidP="00676648">
            <w:pPr>
              <w:spacing w:after="120"/>
              <w:rPr>
                <w:lang w:val="de-DE"/>
              </w:rPr>
            </w:pPr>
            <w:r>
              <w:rPr>
                <w:lang w:val="de-DE"/>
              </w:rPr>
              <w:t>Spectrum licences in the 2 GHz band expire on 11 October 2017</w:t>
            </w:r>
            <w:r w:rsidR="00BC11EA">
              <w:rPr>
                <w:lang w:val="de-DE"/>
              </w:rPr>
              <w:t>.</w:t>
            </w:r>
          </w:p>
          <w:p w14:paraId="49062796" w14:textId="77777777" w:rsidR="004D0DEA" w:rsidRPr="004C48F9" w:rsidRDefault="004D0DEA" w:rsidP="00676648">
            <w:pPr>
              <w:spacing w:after="120"/>
            </w:pPr>
            <w:r>
              <w:rPr>
                <w:lang w:val="de-DE"/>
              </w:rPr>
              <w:t>The ACMA intends to review the international developments in the band to determine the most appropriate future arrangem</w:t>
            </w:r>
            <w:r w:rsidR="00676648">
              <w:rPr>
                <w:lang w:val="de-DE"/>
              </w:rPr>
              <w:t>e</w:t>
            </w:r>
            <w:r>
              <w:rPr>
                <w:lang w:val="de-DE"/>
              </w:rPr>
              <w:t>nts to implement</w:t>
            </w:r>
            <w:r w:rsidR="00BC11EA">
              <w:rPr>
                <w:lang w:val="de-DE"/>
              </w:rPr>
              <w:t>.</w:t>
            </w:r>
          </w:p>
        </w:tc>
        <w:tc>
          <w:tcPr>
            <w:tcW w:w="992" w:type="dxa"/>
            <w:tcBorders>
              <w:top w:val="single" w:sz="4" w:space="0" w:color="auto"/>
              <w:left w:val="single" w:sz="4" w:space="0" w:color="auto"/>
              <w:bottom w:val="single" w:sz="4" w:space="0" w:color="auto"/>
              <w:right w:val="single" w:sz="4" w:space="0" w:color="auto"/>
            </w:tcBorders>
          </w:tcPr>
          <w:p w14:paraId="0C296EED" w14:textId="77777777" w:rsidR="004D0DEA" w:rsidRPr="004C48F9" w:rsidRDefault="004D0DEA" w:rsidP="00676648">
            <w:pPr>
              <w:spacing w:after="120"/>
            </w:pPr>
            <w:r>
              <w:rPr>
                <w:lang w:val="de-DE"/>
              </w:rPr>
              <w:t>Medium</w:t>
            </w:r>
            <w:r w:rsidRPr="00B93333">
              <w:rPr>
                <w:lang w:val="de-DE"/>
              </w:rPr>
              <w:t xml:space="preserve"> </w:t>
            </w:r>
          </w:p>
        </w:tc>
        <w:tc>
          <w:tcPr>
            <w:tcW w:w="1576" w:type="dxa"/>
            <w:tcBorders>
              <w:top w:val="single" w:sz="4" w:space="0" w:color="auto"/>
              <w:left w:val="single" w:sz="4" w:space="0" w:color="auto"/>
              <w:bottom w:val="single" w:sz="4" w:space="0" w:color="auto"/>
              <w:right w:val="single" w:sz="4" w:space="0" w:color="auto"/>
            </w:tcBorders>
          </w:tcPr>
          <w:p w14:paraId="2C912DE0" w14:textId="77777777" w:rsidR="004D0DEA" w:rsidRPr="004C48F9" w:rsidRDefault="004D0DEA" w:rsidP="00676648">
            <w:pPr>
              <w:spacing w:after="120"/>
            </w:pPr>
            <w:r>
              <w:rPr>
                <w:lang w:val="de-DE"/>
              </w:rPr>
              <w:t>Subject to international developments in the band</w:t>
            </w:r>
            <w:r w:rsidR="00BC11EA">
              <w:rPr>
                <w:lang w:val="de-DE"/>
              </w:rPr>
              <w:t>.</w:t>
            </w:r>
          </w:p>
        </w:tc>
      </w:tr>
      <w:tr w:rsidR="004D0DEA" w:rsidRPr="004C48F9" w14:paraId="4FA7FB28" w14:textId="77777777" w:rsidTr="00375F63">
        <w:trPr>
          <w:trHeight w:val="1619"/>
        </w:trPr>
        <w:tc>
          <w:tcPr>
            <w:tcW w:w="1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B3D83DB" w14:textId="77777777" w:rsidR="004D0DEA" w:rsidRPr="004C48F9" w:rsidRDefault="004D0DEA" w:rsidP="00676648">
            <w:pPr>
              <w:spacing w:after="120"/>
            </w:pPr>
            <w:r w:rsidRPr="004C48F9">
              <w:t>1980–2010 MHz and 2170–2200 MHz</w:t>
            </w:r>
          </w:p>
        </w:tc>
        <w:tc>
          <w:tcPr>
            <w:tcW w:w="182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1F83849" w14:textId="77777777" w:rsidR="004D0DEA" w:rsidRPr="004C48F9" w:rsidRDefault="004D0DEA" w:rsidP="00676648">
            <w:pPr>
              <w:spacing w:after="120"/>
            </w:pPr>
            <w:r w:rsidRPr="0039046B">
              <w:rPr>
                <w:i/>
              </w:rPr>
              <w:t>Band review:</w:t>
            </w:r>
            <w:r w:rsidR="00676648" w:rsidRPr="0039046B" w:rsidDel="00676648">
              <w:rPr>
                <w:i/>
              </w:rPr>
              <w:t xml:space="preserve"> </w:t>
            </w:r>
            <w:r w:rsidRPr="004C48F9">
              <w:t>Potential future use by mobile broadband</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A94062F" w14:textId="77777777" w:rsidR="004D0DEA" w:rsidRPr="004C48F9" w:rsidRDefault="004D0DEA" w:rsidP="00676648">
            <w:pPr>
              <w:spacing w:after="120"/>
            </w:pPr>
            <w:r w:rsidRPr="004C48F9">
              <w:t xml:space="preserve">These bands </w:t>
            </w:r>
            <w:r>
              <w:t xml:space="preserve">are currently available on an interim basis for TOB and </w:t>
            </w:r>
            <w:r w:rsidRPr="004C48F9">
              <w:t xml:space="preserve">were identified as candidate bands for mobile broadband in </w:t>
            </w:r>
            <w:r w:rsidRPr="004C48F9">
              <w:rPr>
                <w:i/>
              </w:rPr>
              <w:t>Towards 2020</w:t>
            </w:r>
            <w:r>
              <w:t xml:space="preserve">. The ACMA will further consider this band </w:t>
            </w:r>
            <w:r w:rsidRPr="004C48F9">
              <w:t>under the ACMA’s mobile broadband strategy</w:t>
            </w:r>
            <w:r>
              <w:t xml:space="preserve"> (noting potential interest in access to the band (in some geographic areas) for mobile satellite service applications is possible)</w:t>
            </w:r>
            <w:r w:rsidR="00BC11EA">
              <w:t>.</w:t>
            </w:r>
            <w:r w:rsidRPr="004C48F9">
              <w:t xml:space="preserve"> </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BBE25B9" w14:textId="77777777" w:rsidR="004D0DEA" w:rsidRPr="004C48F9" w:rsidRDefault="004D0DEA" w:rsidP="00676648">
            <w:pPr>
              <w:spacing w:after="120"/>
            </w:pPr>
            <w:r>
              <w:t>Low to m</w:t>
            </w:r>
            <w:r w:rsidRPr="004C48F9">
              <w:t>edium</w:t>
            </w:r>
          </w:p>
        </w:tc>
        <w:tc>
          <w:tcPr>
            <w:tcW w:w="157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B9EC38" w14:textId="77777777" w:rsidR="004D0DEA" w:rsidRPr="004C48F9" w:rsidRDefault="004D0DEA" w:rsidP="00676648">
            <w:pPr>
              <w:spacing w:after="120"/>
            </w:pPr>
            <w:r w:rsidRPr="004C48F9">
              <w:t>Subject to mobile broadband strategy</w:t>
            </w:r>
            <w:r w:rsidR="00BC11EA">
              <w:t>.</w:t>
            </w:r>
          </w:p>
        </w:tc>
      </w:tr>
      <w:tr w:rsidR="004D0DEA" w:rsidRPr="004C48F9" w14:paraId="23920940" w14:textId="77777777" w:rsidTr="001461CE">
        <w:trPr>
          <w:trHeight w:val="1619"/>
        </w:trPr>
        <w:tc>
          <w:tcPr>
            <w:tcW w:w="1628" w:type="dxa"/>
            <w:tcBorders>
              <w:top w:val="single" w:sz="4" w:space="0" w:color="auto"/>
              <w:left w:val="single" w:sz="4" w:space="0" w:color="auto"/>
              <w:bottom w:val="single" w:sz="4" w:space="0" w:color="auto"/>
              <w:right w:val="single" w:sz="4" w:space="0" w:color="auto"/>
            </w:tcBorders>
            <w:shd w:val="clear" w:color="auto" w:fill="auto"/>
          </w:tcPr>
          <w:p w14:paraId="7A5B0D10" w14:textId="77777777" w:rsidR="004D0DEA" w:rsidRDefault="004D0DEA" w:rsidP="00676648">
            <w:pPr>
              <w:spacing w:after="120"/>
            </w:pPr>
            <w:r w:rsidRPr="004C48F9">
              <w:t>2700–3100 MHz</w:t>
            </w:r>
          </w:p>
        </w:tc>
        <w:tc>
          <w:tcPr>
            <w:tcW w:w="1826" w:type="dxa"/>
            <w:tcBorders>
              <w:top w:val="single" w:sz="4" w:space="0" w:color="auto"/>
              <w:left w:val="single" w:sz="4" w:space="0" w:color="auto"/>
              <w:bottom w:val="single" w:sz="4" w:space="0" w:color="auto"/>
              <w:right w:val="single" w:sz="4" w:space="0" w:color="auto"/>
            </w:tcBorders>
            <w:shd w:val="clear" w:color="auto" w:fill="auto"/>
          </w:tcPr>
          <w:p w14:paraId="12110F5C" w14:textId="77777777" w:rsidR="004D0DEA" w:rsidRPr="00712196" w:rsidRDefault="004D0DEA" w:rsidP="00676648">
            <w:pPr>
              <w:spacing w:after="120"/>
              <w:rPr>
                <w:rFonts w:asciiTheme="minorHAnsi" w:eastAsiaTheme="minorHAnsi" w:hAnsiTheme="minorHAnsi" w:cstheme="minorBidi"/>
                <w:b/>
                <w:sz w:val="22"/>
                <w:szCs w:val="22"/>
                <w:lang w:eastAsia="en-US"/>
              </w:rPr>
            </w:pPr>
            <w:r w:rsidRPr="0039046B">
              <w:rPr>
                <w:i/>
              </w:rPr>
              <w:t>Regulatory assessment:</w:t>
            </w:r>
            <w:r w:rsidR="00676648" w:rsidRPr="00676648" w:rsidDel="00676648">
              <w:rPr>
                <w:i/>
              </w:rPr>
              <w:t xml:space="preserve"> </w:t>
            </w:r>
            <w:r w:rsidRPr="004C48F9">
              <w:t>Assignment coordination difficulties between radar operators</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3386E94E" w14:textId="77777777" w:rsidR="004D0DEA" w:rsidRPr="008B326E" w:rsidRDefault="004D0DEA" w:rsidP="0039046B">
            <w:pPr>
              <w:spacing w:after="120"/>
              <w:rPr>
                <w:rFonts w:asciiTheme="minorHAnsi" w:eastAsiaTheme="minorHAnsi" w:hAnsiTheme="minorHAnsi" w:cs="Arial"/>
                <w:sz w:val="22"/>
                <w:szCs w:val="22"/>
                <w:lang w:eastAsia="en-US"/>
              </w:rPr>
            </w:pPr>
            <w:r w:rsidRPr="004C48F9">
              <w:t xml:space="preserve">The ACMA is working with Defence, Airservices Australia and the </w:t>
            </w:r>
            <w:r>
              <w:t>Bureau of Meteorology</w:t>
            </w:r>
            <w:r w:rsidRPr="004C48F9">
              <w:t xml:space="preserve"> to consider improved arrangements for radiolocation and radionavigation services in these bands. This has included establishment of a domestic radar technical working group</w:t>
            </w:r>
            <w:r w:rsidR="00BC11EA">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9B1279B" w14:textId="77777777" w:rsidR="004D0DEA" w:rsidRDefault="004D0DEA" w:rsidP="00676648">
            <w:pPr>
              <w:spacing w:after="120"/>
              <w:rPr>
                <w:rFonts w:asciiTheme="minorHAnsi" w:eastAsiaTheme="minorHAnsi" w:hAnsiTheme="minorHAnsi" w:cs="Arial"/>
                <w:sz w:val="22"/>
                <w:szCs w:val="22"/>
                <w:lang w:val="de-DE" w:eastAsia="en-US"/>
              </w:rPr>
            </w:pPr>
            <w:r>
              <w:rPr>
                <w:rFonts w:asciiTheme="minorHAnsi" w:eastAsiaTheme="minorHAnsi" w:hAnsiTheme="minorHAnsi" w:cs="Arial"/>
                <w:sz w:val="22"/>
                <w:szCs w:val="22"/>
                <w:lang w:val="de-DE" w:eastAsia="en-US"/>
              </w:rPr>
              <w:t>Low</w:t>
            </w:r>
          </w:p>
        </w:tc>
        <w:tc>
          <w:tcPr>
            <w:tcW w:w="1576" w:type="dxa"/>
            <w:tcBorders>
              <w:top w:val="single" w:sz="4" w:space="0" w:color="auto"/>
              <w:left w:val="single" w:sz="4" w:space="0" w:color="auto"/>
              <w:bottom w:val="single" w:sz="4" w:space="0" w:color="auto"/>
              <w:right w:val="single" w:sz="4" w:space="0" w:color="auto"/>
            </w:tcBorders>
            <w:shd w:val="clear" w:color="auto" w:fill="auto"/>
          </w:tcPr>
          <w:p w14:paraId="7C495014" w14:textId="77777777" w:rsidR="004D0DEA" w:rsidRDefault="004D0DEA" w:rsidP="00676648">
            <w:pPr>
              <w:spacing w:after="120"/>
            </w:pPr>
          </w:p>
        </w:tc>
      </w:tr>
      <w:tr w:rsidR="004D0DEA" w:rsidRPr="004C48F9" w14:paraId="1345BE26" w14:textId="77777777" w:rsidTr="00375F63">
        <w:trPr>
          <w:trHeight w:val="1619"/>
        </w:trPr>
        <w:tc>
          <w:tcPr>
            <w:tcW w:w="1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79AB00" w14:textId="77777777" w:rsidR="004D0DEA" w:rsidRPr="004C48F9" w:rsidRDefault="004D0DEA" w:rsidP="00676648">
            <w:pPr>
              <w:spacing w:after="120"/>
            </w:pPr>
            <w:r w:rsidRPr="00CC0F48">
              <w:t>3575</w:t>
            </w:r>
            <w:r w:rsidR="00676648">
              <w:t>–</w:t>
            </w:r>
            <w:r w:rsidRPr="00CC0F48">
              <w:t>3700 MHz</w:t>
            </w:r>
          </w:p>
        </w:tc>
        <w:tc>
          <w:tcPr>
            <w:tcW w:w="182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AA1F52B" w14:textId="77777777" w:rsidR="004D0DEA" w:rsidRPr="004C48F9" w:rsidRDefault="004D0DEA" w:rsidP="00676648">
            <w:pPr>
              <w:spacing w:after="120"/>
              <w:rPr>
                <w:b/>
              </w:rPr>
            </w:pPr>
            <w:r w:rsidRPr="00CC0F48">
              <w:t>Potential future use by mobile broadband</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247481D" w14:textId="0712992D" w:rsidR="004D0DEA" w:rsidRPr="004C48F9" w:rsidRDefault="004D0DEA" w:rsidP="00A96B15">
            <w:pPr>
              <w:spacing w:after="120"/>
            </w:pPr>
            <w:r w:rsidRPr="004C48F9">
              <w:t xml:space="preserve">This band </w:t>
            </w:r>
            <w:r w:rsidRPr="009C74F0">
              <w:t>i</w:t>
            </w:r>
            <w:r>
              <w:t>s i</w:t>
            </w:r>
            <w:r w:rsidRPr="009C74F0">
              <w:t xml:space="preserve">n the </w:t>
            </w:r>
            <w:r w:rsidRPr="00FC2E2B">
              <w:rPr>
                <w:i/>
              </w:rPr>
              <w:t>initial investigation</w:t>
            </w:r>
            <w:r w:rsidRPr="009C74F0">
              <w:t xml:space="preserve"> stage of the process for consideration of additional spectrum for mobile broadband services</w:t>
            </w:r>
            <w:r w:rsidRPr="004C48F9">
              <w:t xml:space="preserve">. </w:t>
            </w:r>
            <w:r>
              <w:t>Parts of t</w:t>
            </w:r>
            <w:r w:rsidRPr="004C48F9">
              <w:t xml:space="preserve">he </w:t>
            </w:r>
            <w:r>
              <w:t>3</w:t>
            </w:r>
            <w:r w:rsidRPr="004C48F9">
              <w:t>.</w:t>
            </w:r>
            <w:r>
              <w:t>6</w:t>
            </w:r>
            <w:r w:rsidRPr="004C48F9">
              <w:t xml:space="preserve"> GHz band</w:t>
            </w:r>
            <w:r>
              <w:t xml:space="preserve"> were identified for IMT at</w:t>
            </w:r>
            <w:r w:rsidRPr="004C48F9">
              <w:t xml:space="preserve"> WRC-15. </w:t>
            </w:r>
            <w:r>
              <w:t>T</w:t>
            </w:r>
            <w:r w:rsidRPr="00577F9D">
              <w:rPr>
                <w:rFonts w:cs="Arial"/>
              </w:rPr>
              <w:t xml:space="preserve">he ACMA </w:t>
            </w:r>
            <w:r>
              <w:rPr>
                <w:rFonts w:cs="Arial"/>
              </w:rPr>
              <w:t>expects to recommence consideration of this band for domestic use for mobile broadband later in 2016 with the release of a discussion paper.</w:t>
            </w:r>
          </w:p>
        </w:tc>
        <w:tc>
          <w:tcPr>
            <w:tcW w:w="99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A6640A" w14:textId="77777777" w:rsidR="004D0DEA" w:rsidRDefault="004D0DEA" w:rsidP="00676648">
            <w:pPr>
              <w:spacing w:after="120"/>
            </w:pPr>
            <w:r>
              <w:t>High</w:t>
            </w:r>
          </w:p>
        </w:tc>
        <w:tc>
          <w:tcPr>
            <w:tcW w:w="157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158B5DE" w14:textId="77777777" w:rsidR="004D0DEA" w:rsidRPr="004C48F9" w:rsidRDefault="004D0DEA" w:rsidP="00676648">
            <w:pPr>
              <w:spacing w:after="120"/>
            </w:pPr>
            <w:r w:rsidRPr="00373009">
              <w:t>Late 2017/</w:t>
            </w:r>
            <w:r w:rsidR="00676648">
              <w:t>e</w:t>
            </w:r>
            <w:r w:rsidRPr="00373009">
              <w:t>arly 2018</w:t>
            </w:r>
            <w:r w:rsidR="00676648">
              <w:t>,</w:t>
            </w:r>
            <w:r w:rsidRPr="00373009">
              <w:t xml:space="preserve"> contingent on consultation outcomes</w:t>
            </w:r>
            <w:r w:rsidR="00BC11EA">
              <w:t>.</w:t>
            </w:r>
          </w:p>
        </w:tc>
      </w:tr>
    </w:tbl>
    <w:p w14:paraId="759C69A1" w14:textId="77777777" w:rsidR="004D0DEA" w:rsidRDefault="004D0DEA" w:rsidP="004D0DEA">
      <w:pPr>
        <w:pStyle w:val="ACMASpaceaftertable"/>
      </w:pPr>
    </w:p>
    <w:p w14:paraId="0C8D3DAD" w14:textId="77777777" w:rsidR="004D0DEA" w:rsidRDefault="004D0DEA" w:rsidP="004D0DEA">
      <w:pPr>
        <w:pStyle w:val="Heading1"/>
      </w:pPr>
      <w:bookmarkStart w:id="498" w:name="_Toc461445517"/>
      <w:bookmarkStart w:id="499" w:name="_Toc463351355"/>
      <w:r w:rsidRPr="0078519F">
        <w:t>Schedule 2</w:t>
      </w:r>
      <w:r>
        <w:t xml:space="preserve">: </w:t>
      </w:r>
      <w:r>
        <w:br/>
        <w:t>R</w:t>
      </w:r>
      <w:r w:rsidRPr="00320D03">
        <w:t>egulatory and service</w:t>
      </w:r>
      <w:r>
        <w:t>-</w:t>
      </w:r>
      <w:r w:rsidRPr="00320D03">
        <w:t>planning work programs</w:t>
      </w:r>
      <w:bookmarkEnd w:id="498"/>
      <w:r w:rsidR="00B91268" w:rsidRPr="001461CE">
        <w:rPr>
          <w:rFonts w:eastAsiaTheme="minorHAnsi"/>
          <w:noProof/>
        </w:rPr>
        <w:drawing>
          <wp:anchor distT="0" distB="0" distL="114300" distR="114300" simplePos="0" relativeHeight="251669504" behindDoc="1" locked="1" layoutInCell="0" allowOverlap="0" wp14:anchorId="46F9E0B6" wp14:editId="7B2E93A9">
            <wp:simplePos x="0" y="0"/>
            <wp:positionH relativeFrom="page">
              <wp:posOffset>-50165</wp:posOffset>
            </wp:positionH>
            <wp:positionV relativeFrom="page">
              <wp:posOffset>-6985</wp:posOffset>
            </wp:positionV>
            <wp:extent cx="7632000" cy="10807200"/>
            <wp:effectExtent l="0" t="0" r="7620" b="0"/>
            <wp:wrapNone/>
            <wp:docPr id="16" name="Picture 2" descr="background image"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FYSODocumentAssets2013_ChapIntro.png"/>
                    <pic:cNvPicPr/>
                  </pic:nvPicPr>
                  <pic:blipFill>
                    <a:blip r:embed="rId41" cstate="print"/>
                    <a:stretch>
                      <a:fillRect/>
                    </a:stretch>
                  </pic:blipFill>
                  <pic:spPr>
                    <a:xfrm>
                      <a:off x="0" y="0"/>
                      <a:ext cx="7632000" cy="10807200"/>
                    </a:xfrm>
                    <a:prstGeom prst="rect">
                      <a:avLst/>
                    </a:prstGeom>
                  </pic:spPr>
                </pic:pic>
              </a:graphicData>
            </a:graphic>
            <wp14:sizeRelH relativeFrom="margin">
              <wp14:pctWidth>0</wp14:pctWidth>
            </wp14:sizeRelH>
            <wp14:sizeRelV relativeFrom="margin">
              <wp14:pctHeight>0</wp14:pctHeight>
            </wp14:sizeRelV>
          </wp:anchor>
        </w:drawing>
      </w:r>
      <w:bookmarkEnd w:id="499"/>
    </w:p>
    <w:p w14:paraId="2183D6D0" w14:textId="77777777" w:rsidR="004D0DEA" w:rsidRDefault="004D0DEA" w:rsidP="00971D54">
      <w:pPr>
        <w:pStyle w:val="Heading2"/>
        <w:pageBreakBefore/>
      </w:pPr>
      <w:bookmarkStart w:id="500" w:name="_Toc461108040"/>
      <w:bookmarkStart w:id="501" w:name="_Toc461194867"/>
      <w:bookmarkStart w:id="502" w:name="_Toc461445518"/>
      <w:bookmarkStart w:id="503" w:name="_Toc463351356"/>
      <w:r>
        <w:t>2017</w:t>
      </w:r>
      <w:r w:rsidR="009A6DDE">
        <w:t>–</w:t>
      </w:r>
      <w:r>
        <w:t>20</w:t>
      </w:r>
      <w:bookmarkEnd w:id="500"/>
      <w:bookmarkEnd w:id="501"/>
      <w:bookmarkEnd w:id="502"/>
      <w:bookmarkEnd w:id="503"/>
    </w:p>
    <w:tbl>
      <w:tblPr>
        <w:tblStyle w:val="TableGrid2"/>
        <w:tblW w:w="9161" w:type="dxa"/>
        <w:tblInd w:w="161" w:type="dxa"/>
        <w:tblBorders>
          <w:left w:val="none" w:sz="0" w:space="0" w:color="auto"/>
          <w:bottom w:val="none" w:sz="0" w:space="0" w:color="auto"/>
          <w:right w:val="none" w:sz="0" w:space="0" w:color="auto"/>
        </w:tblBorders>
        <w:tblLayout w:type="fixed"/>
        <w:tblCellMar>
          <w:top w:w="57" w:type="dxa"/>
          <w:left w:w="57" w:type="dxa"/>
          <w:bottom w:w="57" w:type="dxa"/>
          <w:right w:w="57" w:type="dxa"/>
        </w:tblCellMar>
        <w:tblLook w:val="04A0" w:firstRow="1" w:lastRow="0" w:firstColumn="1" w:lastColumn="0" w:noHBand="0" w:noVBand="1"/>
        <w:tblCaption w:val="2016-17 Regulatory and service-planning work programs"/>
        <w:tblDescription w:val="Includes work tasks, outline of the program and priority."/>
      </w:tblPr>
      <w:tblGrid>
        <w:gridCol w:w="2782"/>
        <w:gridCol w:w="4536"/>
        <w:gridCol w:w="1843"/>
      </w:tblGrid>
      <w:tr w:rsidR="004D0DEA" w:rsidRPr="004C48F9" w14:paraId="47E37EE1" w14:textId="77777777" w:rsidTr="00375F63">
        <w:trPr>
          <w:trHeight w:val="342"/>
          <w:tblHeader/>
        </w:trPr>
        <w:tc>
          <w:tcPr>
            <w:tcW w:w="2782"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59D4AF8B" w14:textId="77777777" w:rsidR="004D0DEA" w:rsidRPr="001F57D0" w:rsidRDefault="004D0DEA" w:rsidP="00375F63">
            <w:pPr>
              <w:pStyle w:val="TableHeading"/>
              <w:spacing w:after="120"/>
              <w:rPr>
                <w:color w:val="FFFFFF" w:themeColor="background1"/>
              </w:rPr>
            </w:pPr>
            <w:r w:rsidRPr="001F57D0">
              <w:rPr>
                <w:color w:val="FFFFFF" w:themeColor="background1"/>
              </w:rPr>
              <w:t>Work task</w:t>
            </w:r>
          </w:p>
        </w:tc>
        <w:tc>
          <w:tcPr>
            <w:tcW w:w="4536"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4F5F5A5C" w14:textId="77777777" w:rsidR="004D0DEA" w:rsidRPr="001F57D0" w:rsidRDefault="004D0DEA" w:rsidP="00375F63">
            <w:pPr>
              <w:pStyle w:val="TableHeading"/>
              <w:spacing w:after="120"/>
              <w:rPr>
                <w:color w:val="FFFFFF" w:themeColor="background1"/>
              </w:rPr>
            </w:pPr>
            <w:r w:rsidRPr="001F57D0">
              <w:rPr>
                <w:color w:val="FFFFFF" w:themeColor="background1"/>
              </w:rPr>
              <w:t>Outline</w:t>
            </w:r>
          </w:p>
        </w:tc>
        <w:tc>
          <w:tcPr>
            <w:tcW w:w="1843"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181A66B9" w14:textId="77777777" w:rsidR="004D0DEA" w:rsidRPr="001F57D0" w:rsidRDefault="004D0DEA" w:rsidP="00375F63">
            <w:pPr>
              <w:pStyle w:val="TableHeading"/>
              <w:spacing w:after="120"/>
              <w:rPr>
                <w:color w:val="FFFFFF" w:themeColor="background1"/>
              </w:rPr>
            </w:pPr>
            <w:r w:rsidRPr="001F57D0">
              <w:rPr>
                <w:color w:val="FFFFFF" w:themeColor="background1"/>
              </w:rPr>
              <w:t>Priority</w:t>
            </w:r>
          </w:p>
        </w:tc>
      </w:tr>
      <w:tr w:rsidR="00B227C9" w:rsidRPr="004C48F9" w14:paraId="5FF9DD1A" w14:textId="77777777" w:rsidTr="000E200B">
        <w:trPr>
          <w:trHeight w:val="790"/>
        </w:trPr>
        <w:tc>
          <w:tcPr>
            <w:tcW w:w="2782" w:type="dxa"/>
            <w:tcBorders>
              <w:top w:val="single" w:sz="4" w:space="0" w:color="auto"/>
              <w:left w:val="single" w:sz="4" w:space="0" w:color="auto"/>
              <w:bottom w:val="single" w:sz="4" w:space="0" w:color="auto"/>
              <w:right w:val="single" w:sz="4" w:space="0" w:color="auto"/>
            </w:tcBorders>
          </w:tcPr>
          <w:p w14:paraId="7D875600" w14:textId="77777777" w:rsidR="00B227C9" w:rsidRPr="004C48F9" w:rsidRDefault="00B227C9" w:rsidP="000E200B">
            <w:pPr>
              <w:spacing w:after="120"/>
            </w:pPr>
            <w:r>
              <w:rPr>
                <w:rFonts w:cs="Arial"/>
              </w:rPr>
              <w:t>Implementation of Spectrum Review outcomes</w:t>
            </w:r>
          </w:p>
        </w:tc>
        <w:tc>
          <w:tcPr>
            <w:tcW w:w="4536" w:type="dxa"/>
            <w:tcBorders>
              <w:top w:val="single" w:sz="4" w:space="0" w:color="auto"/>
              <w:left w:val="single" w:sz="4" w:space="0" w:color="auto"/>
              <w:bottom w:val="single" w:sz="4" w:space="0" w:color="auto"/>
              <w:right w:val="single" w:sz="4" w:space="0" w:color="auto"/>
            </w:tcBorders>
          </w:tcPr>
          <w:p w14:paraId="4BFB3D27" w14:textId="6E9F9557" w:rsidR="00B227C9" w:rsidRPr="004C48F9" w:rsidRDefault="00B227C9" w:rsidP="000E200B">
            <w:pPr>
              <w:spacing w:after="120"/>
            </w:pPr>
            <w:r>
              <w:rPr>
                <w:rFonts w:cs="Arial"/>
              </w:rPr>
              <w:t>Development of the policy framework</w:t>
            </w:r>
            <w:r w:rsidR="00804AF2">
              <w:rPr>
                <w:rFonts w:cs="Arial"/>
              </w:rPr>
              <w:t xml:space="preserve"> to implement the government’s Spectrum R</w:t>
            </w:r>
            <w:r>
              <w:rPr>
                <w:rFonts w:cs="Arial"/>
              </w:rPr>
              <w:t>eview outcomes when the new arrangements are in place</w:t>
            </w:r>
          </w:p>
        </w:tc>
        <w:tc>
          <w:tcPr>
            <w:tcW w:w="1843" w:type="dxa"/>
            <w:tcBorders>
              <w:top w:val="single" w:sz="4" w:space="0" w:color="auto"/>
              <w:left w:val="single" w:sz="4" w:space="0" w:color="auto"/>
              <w:bottom w:val="single" w:sz="4" w:space="0" w:color="auto"/>
              <w:right w:val="single" w:sz="4" w:space="0" w:color="auto"/>
            </w:tcBorders>
          </w:tcPr>
          <w:p w14:paraId="0065E474" w14:textId="77777777" w:rsidR="00B227C9" w:rsidRPr="004C48F9" w:rsidRDefault="00B227C9" w:rsidP="000E200B">
            <w:pPr>
              <w:spacing w:after="120"/>
            </w:pPr>
            <w:r>
              <w:t>High</w:t>
            </w:r>
          </w:p>
        </w:tc>
      </w:tr>
      <w:tr w:rsidR="004D0DEA" w:rsidRPr="004C48F9" w14:paraId="3CFD8713" w14:textId="77777777" w:rsidTr="00804AF2">
        <w:trPr>
          <w:trHeight w:val="790"/>
        </w:trPr>
        <w:tc>
          <w:tcPr>
            <w:tcW w:w="278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FA419AC" w14:textId="77777777" w:rsidR="004D0DEA" w:rsidRPr="004C48F9" w:rsidRDefault="004D0DEA" w:rsidP="00375F63">
            <w:pPr>
              <w:spacing w:after="120"/>
              <w:rPr>
                <w:rFonts w:cs="Arial"/>
              </w:rPr>
            </w:pPr>
            <w:r w:rsidRPr="004C48F9">
              <w:t xml:space="preserve">Infrastructure park </w:t>
            </w:r>
          </w:p>
        </w:tc>
        <w:tc>
          <w:tcPr>
            <w:tcW w:w="453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5799A93" w14:textId="77777777" w:rsidR="004D0DEA" w:rsidRPr="004C48F9" w:rsidRDefault="004D0DEA" w:rsidP="00375F63">
            <w:pPr>
              <w:spacing w:after="120"/>
              <w:rPr>
                <w:rFonts w:cs="Arial"/>
              </w:rPr>
            </w:pPr>
            <w:r w:rsidRPr="004C48F9">
              <w:t>The ACMA is undertaking research and analysis into the development of a type of ‘private park’ to be made available for smart infrastructure</w:t>
            </w:r>
            <w:r w:rsidR="0006468B">
              <w:t>.</w:t>
            </w:r>
          </w:p>
        </w:tc>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52BD0FE" w14:textId="77777777" w:rsidR="004D0DEA" w:rsidRPr="004C48F9" w:rsidRDefault="004D0DEA" w:rsidP="00375F63">
            <w:pPr>
              <w:spacing w:after="120"/>
              <w:rPr>
                <w:rFonts w:cs="Arial"/>
              </w:rPr>
            </w:pPr>
            <w:r w:rsidRPr="004C48F9">
              <w:t>Medium</w:t>
            </w:r>
          </w:p>
        </w:tc>
      </w:tr>
      <w:tr w:rsidR="004D0DEA" w:rsidRPr="00CE1447" w14:paraId="6C383635" w14:textId="77777777" w:rsidTr="00804AF2">
        <w:tc>
          <w:tcPr>
            <w:tcW w:w="278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533C5D5" w14:textId="77777777" w:rsidR="004D0DEA" w:rsidRPr="00CE1447" w:rsidRDefault="004D0DEA" w:rsidP="009A6DDE">
            <w:pPr>
              <w:spacing w:after="120"/>
              <w:rPr>
                <w:rFonts w:cs="Arial"/>
              </w:rPr>
            </w:pPr>
            <w:r w:rsidRPr="00CE1447">
              <w:rPr>
                <w:rFonts w:cs="Arial"/>
              </w:rPr>
              <w:t xml:space="preserve">Taxation arrangements for </w:t>
            </w:r>
            <w:r w:rsidR="009A6DDE">
              <w:rPr>
                <w:rFonts w:cs="Arial"/>
              </w:rPr>
              <w:t>TOB</w:t>
            </w:r>
            <w:r w:rsidRPr="00CE1447">
              <w:rPr>
                <w:rFonts w:cs="Arial"/>
              </w:rPr>
              <w:t xml:space="preserve"> services</w:t>
            </w:r>
          </w:p>
        </w:tc>
        <w:tc>
          <w:tcPr>
            <w:tcW w:w="45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3965BB" w14:textId="77777777" w:rsidR="004D0DEA" w:rsidRPr="00CE1447" w:rsidRDefault="004D0DEA" w:rsidP="009A6DDE">
            <w:pPr>
              <w:spacing w:after="120"/>
              <w:rPr>
                <w:rFonts w:cs="Arial"/>
              </w:rPr>
            </w:pPr>
            <w:r w:rsidRPr="00CE1447">
              <w:t xml:space="preserve">The ACMA has previously committed to reviewing the apparatus licence taxation arrangements associated with </w:t>
            </w:r>
            <w:r w:rsidR="009A6DDE">
              <w:t>TOB</w:t>
            </w:r>
            <w:r w:rsidRPr="00CE1447">
              <w:t xml:space="preserve"> services. This review is expected to commence in 2016</w:t>
            </w:r>
            <w:r>
              <w:t xml:space="preserve"> and is expected to be concluded in early 2017</w:t>
            </w:r>
            <w:r w:rsidR="009A6DDE">
              <w:t>–</w:t>
            </w:r>
            <w:r>
              <w:t>18</w:t>
            </w:r>
            <w:r w:rsidR="0006468B">
              <w:t>.</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B00793F" w14:textId="77777777" w:rsidR="004D0DEA" w:rsidRPr="00CE1447" w:rsidRDefault="004D0DEA" w:rsidP="00375F63">
            <w:pPr>
              <w:spacing w:after="120"/>
              <w:rPr>
                <w:rFonts w:cs="Arial"/>
              </w:rPr>
            </w:pPr>
            <w:r w:rsidRPr="00CE1447">
              <w:rPr>
                <w:rFonts w:cs="Arial"/>
              </w:rPr>
              <w:t>Medium</w:t>
            </w:r>
          </w:p>
        </w:tc>
      </w:tr>
      <w:tr w:rsidR="004D0DEA" w:rsidRPr="004C48F9" w:rsidDel="00D60A0A" w14:paraId="049FBD95" w14:textId="77777777" w:rsidTr="00804AF2">
        <w:tc>
          <w:tcPr>
            <w:tcW w:w="278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38484AB" w14:textId="77777777" w:rsidR="004D0DEA" w:rsidRPr="004C48F9" w:rsidDel="00D60A0A" w:rsidRDefault="004D0DEA" w:rsidP="00375F63">
            <w:pPr>
              <w:spacing w:after="120"/>
            </w:pPr>
            <w:r w:rsidRPr="004C48F9">
              <w:t>Whitespace</w:t>
            </w:r>
          </w:p>
        </w:tc>
        <w:tc>
          <w:tcPr>
            <w:tcW w:w="453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DE25FE0" w14:textId="77777777" w:rsidR="004D0DEA" w:rsidRPr="004C48F9" w:rsidDel="00D60A0A" w:rsidRDefault="004D0DEA" w:rsidP="00375F63">
            <w:pPr>
              <w:spacing w:after="120"/>
            </w:pPr>
            <w:r w:rsidRPr="004C48F9">
              <w:t>Whitespace is a colloquial term used to describe ‘unused’ television channels and has traditionally been used by wireless microphones. There is now interest in whitespace for use by Wi-Fi-like systems. The ACMA is monitoring</w:t>
            </w:r>
            <w:r>
              <w:t xml:space="preserve"> </w:t>
            </w:r>
            <w:r w:rsidRPr="004C48F9">
              <w:t>developments in this area</w:t>
            </w:r>
            <w:r>
              <w:t xml:space="preserve">. Implementation of the recommendations of the Spectrum Review </w:t>
            </w:r>
            <w:r w:rsidRPr="004C48F9">
              <w:t>m</w:t>
            </w:r>
            <w:r>
              <w:t>ay</w:t>
            </w:r>
            <w:r w:rsidRPr="004C48F9">
              <w:t xml:space="preserve"> assist in the development of new regulatory approaches that would assist in the introduction of such technologies</w:t>
            </w:r>
            <w:r w:rsidR="0006468B">
              <w:t>.</w:t>
            </w:r>
          </w:p>
        </w:tc>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084E05B" w14:textId="77777777" w:rsidR="004D0DEA" w:rsidRPr="004C48F9" w:rsidDel="00D60A0A" w:rsidRDefault="004D0DEA" w:rsidP="00375F63">
            <w:pPr>
              <w:spacing w:after="120"/>
            </w:pPr>
            <w:r w:rsidRPr="004C48F9">
              <w:t>Medium</w:t>
            </w:r>
          </w:p>
        </w:tc>
      </w:tr>
      <w:tr w:rsidR="004D0DEA" w:rsidRPr="004C48F9" w:rsidDel="00D60A0A" w14:paraId="1E3065AA" w14:textId="77777777" w:rsidTr="00804AF2">
        <w:tc>
          <w:tcPr>
            <w:tcW w:w="2782" w:type="dxa"/>
            <w:tcBorders>
              <w:top w:val="single" w:sz="4" w:space="0" w:color="auto"/>
              <w:left w:val="single" w:sz="4" w:space="0" w:color="auto"/>
              <w:bottom w:val="single" w:sz="4" w:space="0" w:color="auto"/>
              <w:right w:val="single" w:sz="4" w:space="0" w:color="auto"/>
            </w:tcBorders>
            <w:shd w:val="clear" w:color="auto" w:fill="FFFFFF" w:themeFill="background1"/>
          </w:tcPr>
          <w:p w14:paraId="7F38AB48" w14:textId="77777777" w:rsidR="004D0DEA" w:rsidRPr="007A1605" w:rsidRDefault="004D0DEA" w:rsidP="00375F63">
            <w:pPr>
              <w:spacing w:after="120"/>
            </w:pPr>
            <w:r>
              <w:t xml:space="preserve">Review of spurious emissions </w:t>
            </w:r>
          </w:p>
        </w:tc>
        <w:tc>
          <w:tcPr>
            <w:tcW w:w="4536" w:type="dxa"/>
            <w:tcBorders>
              <w:top w:val="single" w:sz="4" w:space="0" w:color="auto"/>
              <w:left w:val="single" w:sz="4" w:space="0" w:color="auto"/>
              <w:bottom w:val="single" w:sz="4" w:space="0" w:color="auto"/>
              <w:right w:val="single" w:sz="4" w:space="0" w:color="auto"/>
            </w:tcBorders>
            <w:shd w:val="clear" w:color="auto" w:fill="FFFFFF" w:themeFill="background1"/>
          </w:tcPr>
          <w:p w14:paraId="3C0FF0A9" w14:textId="77777777" w:rsidR="004D0DEA" w:rsidRPr="004C48F9" w:rsidRDefault="004D0DEA" w:rsidP="00375F63">
            <w:pPr>
              <w:spacing w:after="120"/>
            </w:pPr>
            <w:r>
              <w:t>The ACMA has identified potential ambiguities and inconsistencies in how spurious emission limits are defined and how interference from spurious emissions is managed for devices operating under spectrum and apparatus licences in Australia. A combined review of these arrangements is therefore considered appropriate</w:t>
            </w:r>
            <w:r w:rsidR="0006468B">
              <w:t>.</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4A905597" w14:textId="77777777" w:rsidR="004D0DEA" w:rsidRPr="004C48F9" w:rsidRDefault="004D0DEA" w:rsidP="00375F63">
            <w:pPr>
              <w:spacing w:after="120"/>
            </w:pPr>
            <w:r>
              <w:t>Medium</w:t>
            </w:r>
          </w:p>
        </w:tc>
      </w:tr>
    </w:tbl>
    <w:p w14:paraId="41B8DC23" w14:textId="77777777" w:rsidR="004D0DEA" w:rsidRDefault="004D0DEA" w:rsidP="004D0DEA">
      <w:pPr>
        <w:pStyle w:val="ACMASpaceaftertable"/>
      </w:pPr>
    </w:p>
    <w:p w14:paraId="6BE1F916" w14:textId="77777777" w:rsidR="004D0DEA" w:rsidRPr="006D46E5" w:rsidRDefault="004D0DEA" w:rsidP="004D0DEA">
      <w:pPr>
        <w:pStyle w:val="Heading1"/>
      </w:pPr>
      <w:bookmarkStart w:id="504" w:name="Invitation"/>
      <w:bookmarkStart w:id="505" w:name="_Toc461445519"/>
      <w:bookmarkStart w:id="506" w:name="_Toc463351357"/>
      <w:bookmarkEnd w:id="504"/>
      <w:r w:rsidRPr="006D46E5">
        <w:t>Invitation to comment</w:t>
      </w:r>
      <w:bookmarkEnd w:id="505"/>
      <w:bookmarkEnd w:id="506"/>
    </w:p>
    <w:p w14:paraId="571DC10B" w14:textId="77777777" w:rsidR="004D0DEA" w:rsidRDefault="004D0DEA" w:rsidP="004D0DEA">
      <w:bookmarkStart w:id="507" w:name="_Toc300909557"/>
      <w:bookmarkStart w:id="508" w:name="_Toc348105638"/>
      <w:bookmarkStart w:id="509" w:name="_Toc274296357"/>
      <w:bookmarkStart w:id="510" w:name="_Toc298924674"/>
      <w:r w:rsidRPr="006D46E5">
        <w:t xml:space="preserve">The ACMA invites comments on the issues set out in </w:t>
      </w:r>
      <w:r>
        <w:t xml:space="preserve">the </w:t>
      </w:r>
      <w:r>
        <w:rPr>
          <w:i/>
        </w:rPr>
        <w:t>Five-year spectrum outlook</w:t>
      </w:r>
      <w:r w:rsidRPr="00B451BE">
        <w:rPr>
          <w:i/>
        </w:rPr>
        <w:t xml:space="preserve"> </w:t>
      </w:r>
      <w:r>
        <w:rPr>
          <w:i/>
        </w:rPr>
        <w:t>2016</w:t>
      </w:r>
      <w:r w:rsidR="009A6DDE">
        <w:rPr>
          <w:i/>
        </w:rPr>
        <w:t>–</w:t>
      </w:r>
      <w:r>
        <w:rPr>
          <w:i/>
        </w:rPr>
        <w:t>20</w:t>
      </w:r>
      <w:r w:rsidRPr="00054267">
        <w:rPr>
          <w:i/>
        </w:rPr>
        <w:t xml:space="preserve"> </w:t>
      </w:r>
      <w:r w:rsidRPr="006D46E5">
        <w:t xml:space="preserve">or any other issues relevant to </w:t>
      </w:r>
      <w:r>
        <w:t xml:space="preserve">spectrum </w:t>
      </w:r>
      <w:r w:rsidRPr="00880DAB">
        <w:t>demand analysis and strategic direction</w:t>
      </w:r>
      <w:r>
        <w:t xml:space="preserve">. </w:t>
      </w:r>
    </w:p>
    <w:p w14:paraId="2B83AD2C" w14:textId="77777777" w:rsidR="00B91268" w:rsidRDefault="00B91268" w:rsidP="0039046B">
      <w:pPr>
        <w:pStyle w:val="Heading2"/>
      </w:pPr>
      <w:bookmarkStart w:id="511" w:name="_Toc463351358"/>
      <w:r w:rsidRPr="006D46E5">
        <w:t>Making a submission</w:t>
      </w:r>
      <w:bookmarkEnd w:id="511"/>
    </w:p>
    <w:p w14:paraId="75973338" w14:textId="77777777" w:rsidR="004D0DEA" w:rsidRDefault="00D67EC2" w:rsidP="004D0DEA">
      <w:pPr>
        <w:pStyle w:val="ListBullet"/>
      </w:pPr>
      <w:hyperlink r:id="rId109" w:history="1">
        <w:r w:rsidR="004D0DEA" w:rsidRPr="00153FD5">
          <w:rPr>
            <w:rStyle w:val="Hyperlink"/>
            <w:b/>
            <w:bCs/>
          </w:rPr>
          <w:t>Online submissions</w:t>
        </w:r>
      </w:hyperlink>
      <w:r w:rsidR="004D0DEA">
        <w:t>—submissions can be made via the comment function or by uploading a document. The online consultation page provides details.</w:t>
      </w:r>
    </w:p>
    <w:p w14:paraId="4494DB10" w14:textId="77777777" w:rsidR="004D0DEA" w:rsidRDefault="004D0DEA" w:rsidP="004D0DEA">
      <w:pPr>
        <w:pStyle w:val="ListBullet"/>
      </w:pPr>
      <w:r w:rsidRPr="00D60C33">
        <w:rPr>
          <w:b/>
        </w:rPr>
        <w:t>Submissions by post</w:t>
      </w:r>
      <w:r>
        <w:t>—</w:t>
      </w:r>
      <w:r w:rsidRPr="00D60C33">
        <w:t>can</w:t>
      </w:r>
      <w:r>
        <w:t xml:space="preserve"> be sent to: </w:t>
      </w:r>
    </w:p>
    <w:p w14:paraId="1DA4C80F" w14:textId="77777777" w:rsidR="004D0DEA" w:rsidRDefault="004D0DEA" w:rsidP="004D0DEA">
      <w:pPr>
        <w:spacing w:after="0"/>
        <w:ind w:left="284"/>
      </w:pPr>
      <w:r w:rsidRPr="006D46E5">
        <w:t>The Manager</w:t>
      </w:r>
      <w:r w:rsidRPr="006D46E5">
        <w:br/>
      </w:r>
      <w:r>
        <w:t>Spectrum Licensing Policy Section</w:t>
      </w:r>
    </w:p>
    <w:p w14:paraId="559BB9B8" w14:textId="77777777" w:rsidR="004D0DEA" w:rsidRPr="006D46E5" w:rsidRDefault="004D0DEA" w:rsidP="004D0DEA">
      <w:pPr>
        <w:ind w:left="284"/>
      </w:pPr>
      <w:r>
        <w:t>Spectrum Management Policy Branch</w:t>
      </w:r>
      <w:r w:rsidRPr="006D46E5">
        <w:br/>
        <w:t>Australian Communications and Media Authority</w:t>
      </w:r>
      <w:r w:rsidRPr="006D46E5">
        <w:br/>
        <w:t>PO Box 78</w:t>
      </w:r>
      <w:r w:rsidRPr="006D46E5">
        <w:br/>
        <w:t>Belconnen ACT 2616</w:t>
      </w:r>
    </w:p>
    <w:p w14:paraId="5230B29E" w14:textId="565F8EC6" w:rsidR="004D0DEA" w:rsidRPr="006D576C" w:rsidRDefault="004D0DEA" w:rsidP="004D0DEA">
      <w:pPr>
        <w:rPr>
          <w:rStyle w:val="Strong"/>
        </w:rPr>
      </w:pPr>
      <w:r w:rsidRPr="006D576C">
        <w:rPr>
          <w:rStyle w:val="Strong"/>
        </w:rPr>
        <w:t>The closing date f</w:t>
      </w:r>
      <w:r>
        <w:rPr>
          <w:rStyle w:val="Strong"/>
        </w:rPr>
        <w:t xml:space="preserve">or submissions is COB, </w:t>
      </w:r>
      <w:r>
        <w:rPr>
          <w:rFonts w:cs="Arial"/>
          <w:b/>
          <w:bCs/>
          <w:color w:val="000000"/>
          <w:szCs w:val="20"/>
        </w:rPr>
        <w:t xml:space="preserve">Friday </w:t>
      </w:r>
      <w:r w:rsidR="00CE54D3">
        <w:rPr>
          <w:rFonts w:cs="Arial"/>
          <w:b/>
          <w:bCs/>
          <w:color w:val="000000"/>
          <w:szCs w:val="20"/>
        </w:rPr>
        <w:t>20 January 2017</w:t>
      </w:r>
      <w:r w:rsidRPr="006D46E5">
        <w:rPr>
          <w:rFonts w:cs="Arial"/>
          <w:b/>
          <w:bCs/>
          <w:color w:val="000000"/>
          <w:szCs w:val="20"/>
        </w:rPr>
        <w:t>.</w:t>
      </w:r>
    </w:p>
    <w:p w14:paraId="31412B05" w14:textId="77777777" w:rsidR="004D0DEA" w:rsidRPr="005E7226" w:rsidRDefault="004D0DEA" w:rsidP="004D0DEA">
      <w:r w:rsidRPr="005E7226">
        <w:t xml:space="preserve">Electronic submissions in Microsoft Word or Rich Text Format are preferred. </w:t>
      </w:r>
    </w:p>
    <w:p w14:paraId="2C1C2D91" w14:textId="77777777" w:rsidR="004D0DEA" w:rsidRDefault="004D0DEA" w:rsidP="004D0DEA">
      <w:pPr>
        <w:pStyle w:val="BodySubHeader"/>
      </w:pPr>
      <w:r>
        <w:t>Enquiries</w:t>
      </w:r>
    </w:p>
    <w:p w14:paraId="500CE9D8" w14:textId="77777777" w:rsidR="004D0DEA" w:rsidRDefault="004D0DEA" w:rsidP="004D0DEA">
      <w:pPr>
        <w:pStyle w:val="ListBullet"/>
      </w:pPr>
      <w:r>
        <w:t>Consultation enquiries</w:t>
      </w:r>
      <w:r w:rsidRPr="005E7226">
        <w:t xml:space="preserve"> </w:t>
      </w:r>
      <w:r>
        <w:t>can be emailed to</w:t>
      </w:r>
      <w:r w:rsidRPr="005E7226">
        <w:t xml:space="preserve"> </w:t>
      </w:r>
      <w:hyperlink r:id="rId110" w:history="1">
        <w:r w:rsidRPr="009E5498">
          <w:rPr>
            <w:rStyle w:val="Hyperlink"/>
          </w:rPr>
          <w:t>spectrumlicensingpolicy@acma.gov.au</w:t>
        </w:r>
      </w:hyperlink>
      <w:r>
        <w:t>.</w:t>
      </w:r>
    </w:p>
    <w:p w14:paraId="1A73D8F7" w14:textId="77777777" w:rsidR="004D0DEA" w:rsidRDefault="004D0DEA" w:rsidP="004D0DEA">
      <w:pPr>
        <w:pStyle w:val="ListBulletLast"/>
      </w:pPr>
      <w:r w:rsidRPr="005E7226">
        <w:t xml:space="preserve">Media enquiries </w:t>
      </w:r>
      <w:r>
        <w:t>can</w:t>
      </w:r>
      <w:r w:rsidRPr="005E7226">
        <w:t xml:space="preserve"> be directed to Emma Rossi on 02 9334 7719 or by email to </w:t>
      </w:r>
      <w:hyperlink r:id="rId111" w:history="1">
        <w:r w:rsidRPr="00250B07">
          <w:rPr>
            <w:rStyle w:val="Hyperlink"/>
          </w:rPr>
          <w:t>media@acma.gov.au</w:t>
        </w:r>
      </w:hyperlink>
      <w:r w:rsidRPr="005E7226">
        <w:t xml:space="preserve">. </w:t>
      </w:r>
    </w:p>
    <w:p w14:paraId="695738DF" w14:textId="77777777" w:rsidR="004D0DEA" w:rsidRPr="005E7226" w:rsidRDefault="004D0DEA" w:rsidP="004D0DEA">
      <w:pPr>
        <w:pStyle w:val="BodySubHeader"/>
      </w:pPr>
      <w:r w:rsidRPr="005E7226">
        <w:t>Effective consultation</w:t>
      </w:r>
      <w:bookmarkEnd w:id="507"/>
      <w:bookmarkEnd w:id="508"/>
      <w:r w:rsidRPr="005E7226">
        <w:t xml:space="preserve"> </w:t>
      </w:r>
    </w:p>
    <w:p w14:paraId="522DA53E" w14:textId="77777777" w:rsidR="004D0DEA" w:rsidRPr="005E7226" w:rsidRDefault="004D0DEA" w:rsidP="004D0DEA">
      <w:r w:rsidRPr="005E7226">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w:t>
      </w:r>
      <w:hyperlink r:id="rId112" w:history="1">
        <w:r w:rsidRPr="00250B07">
          <w:rPr>
            <w:rStyle w:val="Hyperlink"/>
            <w:i/>
          </w:rPr>
          <w:t>Effective consultation—a guide to making a submission</w:t>
        </w:r>
      </w:hyperlink>
      <w:r w:rsidRPr="005E7226">
        <w:t>. This guide provides information about the ACMA’s formal written public consultation processes and practical guidance on how to make a submission.</w:t>
      </w:r>
    </w:p>
    <w:p w14:paraId="3C291A62" w14:textId="77777777" w:rsidR="004D0DEA" w:rsidRPr="005E7226" w:rsidRDefault="004D0DEA" w:rsidP="004D0DEA">
      <w:pPr>
        <w:pStyle w:val="BodySubHeader"/>
      </w:pPr>
      <w:bookmarkStart w:id="512" w:name="_Toc300909558"/>
      <w:bookmarkStart w:id="513" w:name="_Toc348105639"/>
      <w:r w:rsidRPr="005E7226">
        <w:t>Publication of submissions</w:t>
      </w:r>
      <w:bookmarkEnd w:id="509"/>
      <w:bookmarkEnd w:id="510"/>
      <w:bookmarkEnd w:id="512"/>
      <w:bookmarkEnd w:id="513"/>
    </w:p>
    <w:p w14:paraId="0FE5F9CC" w14:textId="77777777" w:rsidR="004D0DEA" w:rsidRPr="005E7226" w:rsidRDefault="004D0DEA" w:rsidP="004D0DEA">
      <w:r w:rsidRPr="005E7226">
        <w:t>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w:t>
      </w:r>
    </w:p>
    <w:p w14:paraId="04ACB292" w14:textId="77777777" w:rsidR="004D0DEA" w:rsidRPr="005E7226" w:rsidRDefault="004D0DEA" w:rsidP="004D0DEA">
      <w:r w:rsidRPr="005E7226">
        <w:t xml:space="preserve">The ACMA will consider each confidentiality claim on a case-by-case basis. If the ACMA accepts a claim, it will not publish the confidential information unless authorised or required by law to do so. </w:t>
      </w:r>
    </w:p>
    <w:p w14:paraId="704B4C00" w14:textId="77777777" w:rsidR="004D0DEA" w:rsidRPr="005E7226" w:rsidRDefault="004D0DEA" w:rsidP="004D0DEA">
      <w:pPr>
        <w:pStyle w:val="BodySubHeader"/>
      </w:pPr>
      <w:bookmarkStart w:id="514" w:name="_Toc265246234"/>
      <w:bookmarkStart w:id="515" w:name="_Toc300909559"/>
      <w:bookmarkStart w:id="516" w:name="_Toc348105640"/>
      <w:r w:rsidRPr="005E7226">
        <w:t>Release of submissions where authorised or required by law</w:t>
      </w:r>
      <w:bookmarkEnd w:id="514"/>
      <w:bookmarkEnd w:id="515"/>
      <w:bookmarkEnd w:id="516"/>
    </w:p>
    <w:p w14:paraId="13AF8859" w14:textId="77777777" w:rsidR="004D0DEA" w:rsidRPr="005E7226" w:rsidRDefault="004D0DEA" w:rsidP="004D0DEA">
      <w:r w:rsidRPr="005E7226">
        <w:t xml:space="preserve">Any submissions provided to the ACMA may be released under the </w:t>
      </w:r>
      <w:hyperlink r:id="rId113" w:history="1">
        <w:r w:rsidRPr="00DF56AF">
          <w:rPr>
            <w:rStyle w:val="Hyperlink"/>
            <w:i/>
          </w:rPr>
          <w:t>Freedom of Information Act 1982</w:t>
        </w:r>
      </w:hyperlink>
      <w:r w:rsidRPr="005E7226">
        <w:t xml:space="preserve"> (unless an exemption applies) or shared with </w:t>
      </w:r>
      <w:r>
        <w:t xml:space="preserve">various </w:t>
      </w:r>
      <w:r w:rsidRPr="005E7226">
        <w:t xml:space="preserve">other </w:t>
      </w:r>
      <w:r>
        <w:t>g</w:t>
      </w:r>
      <w:r w:rsidRPr="005E7226">
        <w:t xml:space="preserve">overnment agencies </w:t>
      </w:r>
      <w:r>
        <w:t xml:space="preserve">and certain other parties </w:t>
      </w:r>
      <w:r w:rsidRPr="005E7226">
        <w:t xml:space="preserve">under Part 7A of the </w:t>
      </w:r>
      <w:hyperlink r:id="rId114" w:history="1">
        <w:r w:rsidRPr="00DF56AF">
          <w:rPr>
            <w:rStyle w:val="Hyperlink"/>
            <w:i/>
          </w:rPr>
          <w:t>Australian Communications and Media Authority Act 2005</w:t>
        </w:r>
      </w:hyperlink>
      <w:r w:rsidRPr="005E7226">
        <w:t xml:space="preserve">. The ACMA may also be required to release submissions for other reasons including for the purpose of parliamentary processes or where otherwise required by law (for example, under a court subpoena). While the ACMA seeks to consult submitters of confidential information before that information is provided to another party, the ACMA cannot guarantee that confidential information will not be released through these or other legal means. </w:t>
      </w:r>
    </w:p>
    <w:p w14:paraId="500E8AFC" w14:textId="77777777" w:rsidR="004D0DEA" w:rsidRPr="0041233F" w:rsidRDefault="004D0DEA" w:rsidP="004D0DEA">
      <w:pPr>
        <w:pStyle w:val="BodySubHeader"/>
        <w:keepNext/>
      </w:pPr>
      <w:r w:rsidRPr="0041233F">
        <w:t>Privacy</w:t>
      </w:r>
    </w:p>
    <w:p w14:paraId="58F6B86B" w14:textId="77777777" w:rsidR="004D0DEA" w:rsidRDefault="004D0DEA" w:rsidP="004D0DEA">
      <w:pPr>
        <w:keepLines/>
      </w:pPr>
      <w:r w:rsidRPr="0041233F">
        <w:t xml:space="preserve">The </w:t>
      </w:r>
      <w:hyperlink r:id="rId115" w:history="1">
        <w:r w:rsidRPr="00E7431C">
          <w:rPr>
            <w:rStyle w:val="Hyperlink"/>
            <w:rFonts w:cs="Arial"/>
            <w:i/>
            <w:szCs w:val="20"/>
          </w:rPr>
          <w:t>Privacy Act 1988</w:t>
        </w:r>
      </w:hyperlink>
      <w:r w:rsidRPr="0041233F">
        <w:t xml:space="preserve"> imposes obligations on the ACMA in relation to the collection, security, quality, access, use and disclosure of personal information. These obligations are detailed in the </w:t>
      </w:r>
      <w:hyperlink r:id="rId116" w:history="1">
        <w:r w:rsidRPr="004B31A4">
          <w:rPr>
            <w:rStyle w:val="Hyperlink"/>
            <w:rFonts w:cs="Arial"/>
            <w:i/>
            <w:szCs w:val="20"/>
          </w:rPr>
          <w:t>Australian Privacy Principles</w:t>
        </w:r>
      </w:hyperlink>
      <w:r w:rsidRPr="0041233F">
        <w:t>.</w:t>
      </w:r>
    </w:p>
    <w:p w14:paraId="0C0DB6AB" w14:textId="77777777" w:rsidR="004D0DEA" w:rsidRPr="001A44EC" w:rsidRDefault="004D0DEA" w:rsidP="004D0DEA">
      <w:r w:rsidRPr="001A44EC">
        <w:t xml:space="preserve">The ACMA may only collect personal information if it is reasonably necessary for, or directly related to, one or more of its functions or activities. </w:t>
      </w:r>
    </w:p>
    <w:p w14:paraId="052570C7" w14:textId="77777777" w:rsidR="004D0DEA" w:rsidRPr="001A44EC" w:rsidRDefault="004D0DEA" w:rsidP="004D0DEA">
      <w:pPr>
        <w:spacing w:after="80"/>
      </w:pPr>
      <w:r w:rsidRPr="001A44EC">
        <w:t>The purposes for which personal information is being collected (such as the names and contact details of submitters) are to:</w:t>
      </w:r>
    </w:p>
    <w:p w14:paraId="08642DAE" w14:textId="77777777" w:rsidR="004D0DEA" w:rsidRPr="005808C5" w:rsidRDefault="004D0DEA" w:rsidP="004D0DEA">
      <w:pPr>
        <w:pStyle w:val="ListBullet"/>
      </w:pPr>
      <w:r w:rsidRPr="005808C5">
        <w:t xml:space="preserve">contribute to the transparency of the consultation process by clarifying, where appropriate, whose views are represented by a submission </w:t>
      </w:r>
    </w:p>
    <w:p w14:paraId="06392636" w14:textId="77777777" w:rsidR="004D0DEA" w:rsidRDefault="004D0DEA" w:rsidP="004D0DEA">
      <w:pPr>
        <w:pStyle w:val="ListBulletLast"/>
      </w:pPr>
      <w:r>
        <w:t>enable</w:t>
      </w:r>
      <w:r w:rsidRPr="0041233F">
        <w:t xml:space="preserve"> the ACMA to contact submitters where follow</w:t>
      </w:r>
      <w:r>
        <w:t>-</w:t>
      </w:r>
      <w:r w:rsidRPr="0041233F">
        <w:t>up is required</w:t>
      </w:r>
      <w:r>
        <w:t xml:space="preserve"> </w:t>
      </w:r>
      <w:r w:rsidRPr="005808C5">
        <w:t>or to notify them of related matters (except where submitters indicate they do not wish to be notified of such matters).</w:t>
      </w:r>
    </w:p>
    <w:p w14:paraId="597B895B" w14:textId="77777777" w:rsidR="004D0DEA" w:rsidRDefault="004D0DEA" w:rsidP="004D0DEA">
      <w:r w:rsidRPr="005808C5">
        <w:t>The ACMA will not use the personal information collected for any other purpose, unless the submitter has provided their consent or the ACMA is otherwise permitted to do so under the Privacy Act.</w:t>
      </w:r>
      <w:r w:rsidRPr="00977564">
        <w:t xml:space="preserve"> </w:t>
      </w:r>
    </w:p>
    <w:p w14:paraId="73515A8C" w14:textId="77777777" w:rsidR="004D0DEA" w:rsidRPr="005808C5" w:rsidRDefault="004D0DEA" w:rsidP="004D0DEA">
      <w:r w:rsidRPr="0041233F">
        <w:t xml:space="preserve">Submissions in response to this paper are voluntary. </w:t>
      </w:r>
      <w:r>
        <w:t xml:space="preserve">As mentioned above, </w:t>
      </w:r>
      <w:r w:rsidRPr="0041233F">
        <w:t xml:space="preserve">the ACMA generally publishes </w:t>
      </w:r>
      <w:r>
        <w:t xml:space="preserve">all </w:t>
      </w:r>
      <w:r w:rsidRPr="0041233F">
        <w:t>submissions</w:t>
      </w:r>
      <w:r>
        <w:t xml:space="preserve"> </w:t>
      </w:r>
      <w:r w:rsidRPr="005808C5">
        <w:t>it</w:t>
      </w:r>
      <w:r w:rsidRPr="0041233F">
        <w:t xml:space="preserve"> receive</w:t>
      </w:r>
      <w:r w:rsidRPr="005808C5">
        <w:t>s</w:t>
      </w:r>
      <w:r>
        <w:t xml:space="preserve">, </w:t>
      </w:r>
      <w:r w:rsidRPr="00FB2D58">
        <w:t>including any personal information in the submissions. If a submitter has made a con</w:t>
      </w:r>
      <w:r w:rsidRPr="005808C5">
        <w:t xml:space="preserve">fidentiality claim over personal </w:t>
      </w:r>
      <w:r w:rsidRPr="001A44EC">
        <w:t>information</w:t>
      </w:r>
      <w:r w:rsidRPr="005808C5">
        <w:t xml:space="preserve"> </w:t>
      </w:r>
      <w:r>
        <w:t>that</w:t>
      </w:r>
      <w:r w:rsidRPr="005808C5">
        <w:t xml:space="preserve"> the ACMA has accepted, the submission will be published without</w:t>
      </w:r>
      <w:r>
        <w:t xml:space="preserve"> that information</w:t>
      </w:r>
      <w:r w:rsidRPr="005808C5">
        <w:t>.</w:t>
      </w:r>
      <w:r>
        <w:t xml:space="preserve"> </w:t>
      </w:r>
      <w:r w:rsidRPr="005808C5">
        <w:t>The ACMA will not release th</w:t>
      </w:r>
      <w:r>
        <w:t>e</w:t>
      </w:r>
      <w:r w:rsidRPr="005808C5">
        <w:t xml:space="preserve"> </w:t>
      </w:r>
      <w:r>
        <w:t xml:space="preserve">personal </w:t>
      </w:r>
      <w:r w:rsidRPr="005808C5">
        <w:t xml:space="preserve">information unless authorised or required by law to do so. </w:t>
      </w:r>
    </w:p>
    <w:p w14:paraId="130B9BAE" w14:textId="77777777" w:rsidR="004D0DEA" w:rsidRPr="00F97DD3" w:rsidRDefault="004D0DEA" w:rsidP="004D0DEA">
      <w:r>
        <w:t>I</w:t>
      </w:r>
      <w:r w:rsidRPr="005808C5">
        <w:t xml:space="preserve">f a submitter wishes to make a submission anonymously or use a pseudonym, they </w:t>
      </w:r>
      <w:r>
        <w:t>are asked</w:t>
      </w:r>
      <w:r w:rsidRPr="005808C5">
        <w:t xml:space="preserve"> to contact the ACMA to see whether it is practicable to do so in light of the subject matter of the </w:t>
      </w:r>
      <w:r w:rsidRPr="001A44EC">
        <w:t>consultation</w:t>
      </w:r>
      <w:r>
        <w:t>. If it is practicable, the ACMA will notify the submitter of any procedures that need to be followed and whether there are any other consequences of making a submission in that way</w:t>
      </w:r>
      <w:r w:rsidRPr="005808C5">
        <w:t>.</w:t>
      </w:r>
      <w:r w:rsidRPr="00537604">
        <w:t xml:space="preserve"> </w:t>
      </w:r>
    </w:p>
    <w:p w14:paraId="3F602E90" w14:textId="69470B5D" w:rsidR="004D0DEA" w:rsidRDefault="004D0DEA" w:rsidP="004D0DEA">
      <w:r w:rsidRPr="005F7354">
        <w:t xml:space="preserve">Further information on the Privacy Act and the ACMA’s privacy policy is available at </w:t>
      </w:r>
      <w:hyperlink r:id="rId117" w:tooltip="ACMA Privacy Policy" w:history="1">
        <w:r>
          <w:rPr>
            <w:rStyle w:val="Hyperlink"/>
          </w:rPr>
          <w:t>www.acma.gov.au/privacypolicy</w:t>
        </w:r>
      </w:hyperlink>
      <w:r w:rsidRPr="005F7354">
        <w:t xml:space="preserve">. The privacy policy contains details about how an individual may access personal information about them that is held by the ACMA, and seek the correction of such information. It also </w:t>
      </w:r>
      <w:r w:rsidRPr="001A44EC">
        <w:t>explains</w:t>
      </w:r>
      <w:r w:rsidRPr="005F7354">
        <w:t xml:space="preserve"> how an individual may complain about a breach of the Privacy Act and how the ACMA will deal with such a complaint.</w:t>
      </w:r>
      <w:r>
        <w:t xml:space="preserve"> </w:t>
      </w:r>
    </w:p>
    <w:p w14:paraId="159AD3E3" w14:textId="77777777" w:rsidR="009427D4" w:rsidRDefault="009427D4" w:rsidP="009427D4">
      <w:pPr>
        <w:pStyle w:val="Heading1"/>
      </w:pPr>
      <w:bookmarkStart w:id="517" w:name="_Toc421196940"/>
      <w:bookmarkStart w:id="518" w:name="_Toc421626806"/>
      <w:bookmarkStart w:id="519" w:name="_Toc422405922"/>
      <w:bookmarkStart w:id="520" w:name="_Toc425954329"/>
      <w:bookmarkStart w:id="521" w:name="_Toc429567533"/>
      <w:bookmarkStart w:id="522" w:name="_Toc463351359"/>
      <w:r>
        <w:t>Appendix A—Acronyms and abbreviations</w:t>
      </w:r>
      <w:bookmarkEnd w:id="517"/>
      <w:bookmarkEnd w:id="518"/>
      <w:bookmarkEnd w:id="519"/>
      <w:bookmarkEnd w:id="520"/>
      <w:bookmarkEnd w:id="521"/>
      <w:bookmarkEnd w:id="522"/>
    </w:p>
    <w:tbl>
      <w:tblPr>
        <w:tblStyle w:val="TableGrid"/>
        <w:tblW w:w="9067" w:type="dxa"/>
        <w:tblCellMar>
          <w:top w:w="113" w:type="dxa"/>
          <w:bottom w:w="113" w:type="dxa"/>
        </w:tblCellMar>
        <w:tblLook w:val="04A0" w:firstRow="1" w:lastRow="0" w:firstColumn="1" w:lastColumn="0" w:noHBand="0" w:noVBand="1"/>
        <w:tblCaption w:val="Acronyms and names in full"/>
      </w:tblPr>
      <w:tblGrid>
        <w:gridCol w:w="2163"/>
        <w:gridCol w:w="6904"/>
      </w:tblGrid>
      <w:tr w:rsidR="009427D4" w:rsidRPr="00327849" w14:paraId="15F8A6E2" w14:textId="77777777" w:rsidTr="00D8610E">
        <w:trPr>
          <w:tblHeader/>
        </w:trPr>
        <w:tc>
          <w:tcPr>
            <w:tcW w:w="2163" w:type="dxa"/>
            <w:shd w:val="clear" w:color="auto" w:fill="404040" w:themeFill="text1" w:themeFillTint="BF"/>
          </w:tcPr>
          <w:p w14:paraId="6FBF6A1A" w14:textId="77777777" w:rsidR="009427D4" w:rsidRPr="00303C9D" w:rsidRDefault="009427D4" w:rsidP="00C62277">
            <w:pPr>
              <w:pStyle w:val="TableHeading"/>
              <w:rPr>
                <w:color w:val="FFFFFF" w:themeColor="background1"/>
              </w:rPr>
            </w:pPr>
            <w:r w:rsidRPr="00303C9D">
              <w:rPr>
                <w:color w:val="FFFFFF" w:themeColor="background1"/>
              </w:rPr>
              <w:t>Acronym</w:t>
            </w:r>
          </w:p>
        </w:tc>
        <w:tc>
          <w:tcPr>
            <w:tcW w:w="6904" w:type="dxa"/>
            <w:shd w:val="clear" w:color="auto" w:fill="404040" w:themeFill="text1" w:themeFillTint="BF"/>
          </w:tcPr>
          <w:p w14:paraId="1D5661F5" w14:textId="77777777" w:rsidR="009427D4" w:rsidRPr="00303C9D" w:rsidRDefault="009427D4" w:rsidP="00C62277">
            <w:pPr>
              <w:pStyle w:val="TableHeading"/>
              <w:rPr>
                <w:color w:val="FFFFFF" w:themeColor="background1"/>
              </w:rPr>
            </w:pPr>
            <w:r w:rsidRPr="00303C9D">
              <w:rPr>
                <w:color w:val="FFFFFF" w:themeColor="background1"/>
              </w:rPr>
              <w:t>Definition</w:t>
            </w:r>
          </w:p>
        </w:tc>
      </w:tr>
      <w:tr w:rsidR="009427D4" w:rsidRPr="00327849" w14:paraId="3ADF1775" w14:textId="77777777" w:rsidTr="00D8610E">
        <w:tc>
          <w:tcPr>
            <w:tcW w:w="2163" w:type="dxa"/>
          </w:tcPr>
          <w:p w14:paraId="7F26EC63" w14:textId="77777777" w:rsidR="009427D4" w:rsidRPr="00327849" w:rsidRDefault="009427D4" w:rsidP="00C62277">
            <w:pPr>
              <w:shd w:val="clear" w:color="auto" w:fill="FFFFFF" w:themeFill="background1"/>
              <w:spacing w:after="0"/>
              <w:rPr>
                <w:rFonts w:cs="Arial"/>
                <w:szCs w:val="20"/>
              </w:rPr>
            </w:pPr>
            <w:r>
              <w:rPr>
                <w:rFonts w:cs="Arial"/>
                <w:szCs w:val="20"/>
              </w:rPr>
              <w:t>3GPP</w:t>
            </w:r>
          </w:p>
        </w:tc>
        <w:tc>
          <w:tcPr>
            <w:tcW w:w="6904" w:type="dxa"/>
          </w:tcPr>
          <w:p w14:paraId="13478C53" w14:textId="77777777" w:rsidR="009427D4" w:rsidRPr="00327849" w:rsidRDefault="009427D4" w:rsidP="00C62277">
            <w:pPr>
              <w:shd w:val="clear" w:color="auto" w:fill="FFFFFF" w:themeFill="background1"/>
              <w:spacing w:after="0"/>
              <w:rPr>
                <w:rFonts w:cs="Arial"/>
                <w:szCs w:val="20"/>
              </w:rPr>
            </w:pPr>
            <w:r>
              <w:rPr>
                <w:rFonts w:cs="Arial"/>
                <w:szCs w:val="20"/>
              </w:rPr>
              <w:t>3</w:t>
            </w:r>
            <w:r w:rsidRPr="007363DE">
              <w:rPr>
                <w:rFonts w:cs="Arial"/>
                <w:szCs w:val="20"/>
                <w:vertAlign w:val="superscript"/>
              </w:rPr>
              <w:t>rd</w:t>
            </w:r>
            <w:r>
              <w:rPr>
                <w:rFonts w:cs="Arial"/>
                <w:szCs w:val="20"/>
              </w:rPr>
              <w:t xml:space="preserve"> Generation Partnership Project</w:t>
            </w:r>
          </w:p>
        </w:tc>
      </w:tr>
      <w:tr w:rsidR="009427D4" w:rsidRPr="00327849" w14:paraId="0ABCA23A" w14:textId="77777777" w:rsidTr="00D8610E">
        <w:tc>
          <w:tcPr>
            <w:tcW w:w="2163" w:type="dxa"/>
          </w:tcPr>
          <w:p w14:paraId="1B93AC09" w14:textId="77777777" w:rsidR="009427D4" w:rsidRDefault="009427D4" w:rsidP="00C62277">
            <w:pPr>
              <w:shd w:val="clear" w:color="auto" w:fill="FFFFFF" w:themeFill="background1"/>
              <w:spacing w:after="0"/>
              <w:rPr>
                <w:rFonts w:cs="Arial"/>
                <w:szCs w:val="20"/>
              </w:rPr>
            </w:pPr>
            <w:r>
              <w:rPr>
                <w:rFonts w:cs="Arial"/>
                <w:szCs w:val="20"/>
              </w:rPr>
              <w:t>5G</w:t>
            </w:r>
          </w:p>
        </w:tc>
        <w:tc>
          <w:tcPr>
            <w:tcW w:w="6904" w:type="dxa"/>
          </w:tcPr>
          <w:p w14:paraId="0B3BA885" w14:textId="77777777" w:rsidR="009427D4" w:rsidRDefault="009427D4" w:rsidP="00C62277">
            <w:pPr>
              <w:shd w:val="clear" w:color="auto" w:fill="FFFFFF" w:themeFill="background1"/>
              <w:spacing w:after="0"/>
              <w:rPr>
                <w:rFonts w:cs="Arial"/>
                <w:szCs w:val="20"/>
              </w:rPr>
            </w:pPr>
            <w:r>
              <w:rPr>
                <w:rFonts w:cs="Arial"/>
                <w:szCs w:val="20"/>
              </w:rPr>
              <w:t>Fifth generation wireless technology</w:t>
            </w:r>
          </w:p>
        </w:tc>
      </w:tr>
      <w:tr w:rsidR="009427D4" w:rsidRPr="00327849" w14:paraId="19B88017" w14:textId="77777777" w:rsidTr="00D8610E">
        <w:tc>
          <w:tcPr>
            <w:tcW w:w="2163" w:type="dxa"/>
          </w:tcPr>
          <w:p w14:paraId="01A84F7C" w14:textId="77777777" w:rsidR="009427D4" w:rsidRDefault="009427D4" w:rsidP="00C62277">
            <w:pPr>
              <w:shd w:val="clear" w:color="auto" w:fill="FFFFFF" w:themeFill="background1"/>
              <w:spacing w:after="0"/>
              <w:rPr>
                <w:rFonts w:cs="Arial"/>
                <w:szCs w:val="20"/>
              </w:rPr>
            </w:pPr>
            <w:r>
              <w:rPr>
                <w:rFonts w:cs="Arial"/>
                <w:szCs w:val="20"/>
              </w:rPr>
              <w:t>AM</w:t>
            </w:r>
          </w:p>
        </w:tc>
        <w:tc>
          <w:tcPr>
            <w:tcW w:w="6904" w:type="dxa"/>
          </w:tcPr>
          <w:p w14:paraId="30FDF54E" w14:textId="77777777" w:rsidR="009427D4" w:rsidRDefault="009427D4" w:rsidP="00C62277">
            <w:pPr>
              <w:shd w:val="clear" w:color="auto" w:fill="FFFFFF" w:themeFill="background1"/>
              <w:spacing w:after="0"/>
              <w:rPr>
                <w:rFonts w:cs="Arial"/>
                <w:szCs w:val="20"/>
              </w:rPr>
            </w:pPr>
            <w:r>
              <w:rPr>
                <w:rFonts w:cs="Arial"/>
                <w:szCs w:val="20"/>
              </w:rPr>
              <w:t>Amplitude modulation</w:t>
            </w:r>
          </w:p>
        </w:tc>
      </w:tr>
      <w:tr w:rsidR="009427D4" w:rsidRPr="00327849" w14:paraId="0CB43BBA" w14:textId="77777777" w:rsidTr="00D8610E">
        <w:tc>
          <w:tcPr>
            <w:tcW w:w="2163" w:type="dxa"/>
            <w:shd w:val="clear" w:color="auto" w:fill="FFFFFF" w:themeFill="background1"/>
          </w:tcPr>
          <w:p w14:paraId="5616ADA9" w14:textId="77777777" w:rsidR="009427D4" w:rsidRPr="00327849" w:rsidRDefault="009427D4" w:rsidP="00C62277">
            <w:pPr>
              <w:shd w:val="clear" w:color="auto" w:fill="FFFFFF" w:themeFill="background1"/>
              <w:spacing w:after="0"/>
              <w:rPr>
                <w:rFonts w:cs="Arial"/>
                <w:szCs w:val="20"/>
              </w:rPr>
            </w:pPr>
            <w:r>
              <w:rPr>
                <w:rFonts w:cs="Arial"/>
                <w:szCs w:val="20"/>
              </w:rPr>
              <w:t>APT</w:t>
            </w:r>
          </w:p>
        </w:tc>
        <w:tc>
          <w:tcPr>
            <w:tcW w:w="6904" w:type="dxa"/>
            <w:shd w:val="clear" w:color="auto" w:fill="FFFFFF" w:themeFill="background1"/>
          </w:tcPr>
          <w:p w14:paraId="3F111089" w14:textId="77777777" w:rsidR="009427D4" w:rsidRPr="00327849" w:rsidRDefault="009427D4" w:rsidP="00C62277">
            <w:pPr>
              <w:shd w:val="clear" w:color="auto" w:fill="FFFFFF" w:themeFill="background1"/>
              <w:spacing w:after="0"/>
              <w:rPr>
                <w:rFonts w:cs="Arial"/>
                <w:szCs w:val="20"/>
              </w:rPr>
            </w:pPr>
            <w:r>
              <w:rPr>
                <w:rFonts w:cs="Arial"/>
                <w:szCs w:val="20"/>
              </w:rPr>
              <w:t>Asia–Pacific Telecommunity</w:t>
            </w:r>
          </w:p>
        </w:tc>
      </w:tr>
      <w:tr w:rsidR="009427D4" w14:paraId="4D465F05" w14:textId="77777777" w:rsidTr="00D8610E">
        <w:tc>
          <w:tcPr>
            <w:tcW w:w="2163" w:type="dxa"/>
            <w:shd w:val="clear" w:color="auto" w:fill="FFFFFF" w:themeFill="background1"/>
          </w:tcPr>
          <w:p w14:paraId="79640DE2" w14:textId="77777777" w:rsidR="009427D4" w:rsidRDefault="009427D4" w:rsidP="00C62277">
            <w:pPr>
              <w:shd w:val="clear" w:color="auto" w:fill="FFFFFF" w:themeFill="background1"/>
              <w:spacing w:after="0"/>
              <w:rPr>
                <w:rFonts w:cs="Arial"/>
                <w:szCs w:val="20"/>
              </w:rPr>
            </w:pPr>
            <w:r>
              <w:rPr>
                <w:rFonts w:cs="Arial"/>
                <w:szCs w:val="20"/>
              </w:rPr>
              <w:t>ARSG</w:t>
            </w:r>
          </w:p>
        </w:tc>
        <w:tc>
          <w:tcPr>
            <w:tcW w:w="6904" w:type="dxa"/>
            <w:shd w:val="clear" w:color="auto" w:fill="FFFFFF" w:themeFill="background1"/>
          </w:tcPr>
          <w:p w14:paraId="0E75839A" w14:textId="77777777" w:rsidR="009427D4" w:rsidRDefault="009427D4" w:rsidP="00C62277">
            <w:pPr>
              <w:shd w:val="clear" w:color="auto" w:fill="FFFFFF" w:themeFill="background1"/>
              <w:spacing w:after="0"/>
              <w:rPr>
                <w:rFonts w:cs="Arial"/>
                <w:szCs w:val="20"/>
              </w:rPr>
            </w:pPr>
            <w:r>
              <w:rPr>
                <w:rFonts w:cs="Arial"/>
                <w:szCs w:val="20"/>
              </w:rPr>
              <w:t>Australian Radiocommunications Study Group</w:t>
            </w:r>
          </w:p>
        </w:tc>
      </w:tr>
      <w:tr w:rsidR="009427D4" w:rsidRPr="00327849" w14:paraId="4FB7F555" w14:textId="77777777" w:rsidTr="00D8610E">
        <w:tc>
          <w:tcPr>
            <w:tcW w:w="2163" w:type="dxa"/>
            <w:shd w:val="clear" w:color="auto" w:fill="FFFFFF" w:themeFill="background1"/>
          </w:tcPr>
          <w:p w14:paraId="1FB825E0" w14:textId="77777777" w:rsidR="009427D4" w:rsidRDefault="009427D4" w:rsidP="00C62277">
            <w:pPr>
              <w:shd w:val="clear" w:color="auto" w:fill="FFFFFF" w:themeFill="background1"/>
              <w:spacing w:after="0"/>
              <w:rPr>
                <w:rFonts w:cs="Arial"/>
                <w:szCs w:val="20"/>
              </w:rPr>
            </w:pPr>
            <w:r>
              <w:rPr>
                <w:rFonts w:cs="Arial"/>
                <w:szCs w:val="20"/>
              </w:rPr>
              <w:t>ARSMG</w:t>
            </w:r>
          </w:p>
        </w:tc>
        <w:tc>
          <w:tcPr>
            <w:tcW w:w="6904" w:type="dxa"/>
            <w:shd w:val="clear" w:color="auto" w:fill="FFFFFF" w:themeFill="background1"/>
          </w:tcPr>
          <w:p w14:paraId="7691BACB" w14:textId="77777777" w:rsidR="009427D4" w:rsidRDefault="009427D4" w:rsidP="00C62277">
            <w:pPr>
              <w:shd w:val="clear" w:color="auto" w:fill="FFFFFF" w:themeFill="background1"/>
              <w:spacing w:after="0"/>
              <w:rPr>
                <w:rFonts w:cs="Arial"/>
                <w:szCs w:val="20"/>
              </w:rPr>
            </w:pPr>
            <w:r w:rsidRPr="002C0FD6">
              <w:t>Arab Spectrum Management Group</w:t>
            </w:r>
          </w:p>
        </w:tc>
      </w:tr>
      <w:tr w:rsidR="009427D4" w:rsidRPr="00327849" w14:paraId="5B2C0207" w14:textId="77777777" w:rsidTr="00D8610E">
        <w:tc>
          <w:tcPr>
            <w:tcW w:w="2163" w:type="dxa"/>
            <w:shd w:val="clear" w:color="auto" w:fill="FFFFFF" w:themeFill="background1"/>
          </w:tcPr>
          <w:p w14:paraId="5F4B93D2" w14:textId="77777777" w:rsidR="009427D4" w:rsidRPr="00327849" w:rsidRDefault="009427D4" w:rsidP="00C62277">
            <w:pPr>
              <w:shd w:val="clear" w:color="auto" w:fill="FFFFFF" w:themeFill="background1"/>
              <w:spacing w:after="0"/>
              <w:rPr>
                <w:rFonts w:cs="Arial"/>
                <w:szCs w:val="20"/>
              </w:rPr>
            </w:pPr>
            <w:r>
              <w:rPr>
                <w:rFonts w:cs="Arial"/>
                <w:szCs w:val="20"/>
              </w:rPr>
              <w:t>ATU</w:t>
            </w:r>
          </w:p>
        </w:tc>
        <w:tc>
          <w:tcPr>
            <w:tcW w:w="6904" w:type="dxa"/>
            <w:shd w:val="clear" w:color="auto" w:fill="FFFFFF" w:themeFill="background1"/>
          </w:tcPr>
          <w:p w14:paraId="7172C63D" w14:textId="77777777" w:rsidR="009427D4" w:rsidRPr="00327849" w:rsidRDefault="009427D4" w:rsidP="00C62277">
            <w:pPr>
              <w:shd w:val="clear" w:color="auto" w:fill="FFFFFF" w:themeFill="background1"/>
              <w:spacing w:after="0"/>
              <w:rPr>
                <w:rFonts w:cs="Arial"/>
                <w:szCs w:val="20"/>
              </w:rPr>
            </w:pPr>
            <w:r>
              <w:rPr>
                <w:rFonts w:cs="Arial"/>
                <w:szCs w:val="20"/>
              </w:rPr>
              <w:t>African Telecommunications Union</w:t>
            </w:r>
          </w:p>
        </w:tc>
      </w:tr>
      <w:tr w:rsidR="009427D4" w14:paraId="2A535D1B" w14:textId="77777777" w:rsidTr="00D8610E">
        <w:tc>
          <w:tcPr>
            <w:tcW w:w="2163" w:type="dxa"/>
            <w:shd w:val="clear" w:color="auto" w:fill="FFFFFF" w:themeFill="background1"/>
          </w:tcPr>
          <w:p w14:paraId="4256A7BA" w14:textId="77777777" w:rsidR="009427D4" w:rsidRDefault="009427D4" w:rsidP="00C62277">
            <w:pPr>
              <w:shd w:val="clear" w:color="auto" w:fill="FFFFFF" w:themeFill="background1"/>
              <w:spacing w:after="0"/>
              <w:rPr>
                <w:rFonts w:cs="Arial"/>
                <w:szCs w:val="20"/>
              </w:rPr>
            </w:pPr>
            <w:r>
              <w:rPr>
                <w:rFonts w:cs="Arial"/>
                <w:szCs w:val="20"/>
              </w:rPr>
              <w:t>BSA</w:t>
            </w:r>
          </w:p>
        </w:tc>
        <w:tc>
          <w:tcPr>
            <w:tcW w:w="6904" w:type="dxa"/>
            <w:shd w:val="clear" w:color="auto" w:fill="FFFFFF" w:themeFill="background1"/>
          </w:tcPr>
          <w:p w14:paraId="116D549A" w14:textId="77777777" w:rsidR="009427D4" w:rsidRPr="00111E7A" w:rsidRDefault="009427D4" w:rsidP="00C62277">
            <w:pPr>
              <w:shd w:val="clear" w:color="auto" w:fill="FFFFFF" w:themeFill="background1"/>
              <w:spacing w:after="0"/>
              <w:rPr>
                <w:rFonts w:cs="Arial"/>
                <w:i/>
                <w:szCs w:val="20"/>
              </w:rPr>
            </w:pPr>
            <w:r w:rsidRPr="00111E7A">
              <w:rPr>
                <w:rFonts w:cs="Arial"/>
                <w:i/>
                <w:szCs w:val="20"/>
              </w:rPr>
              <w:t>Broadcasting Services Act 1992</w:t>
            </w:r>
          </w:p>
        </w:tc>
      </w:tr>
      <w:tr w:rsidR="009427D4" w:rsidRPr="00327849" w14:paraId="01180491" w14:textId="77777777" w:rsidTr="00D8610E">
        <w:tc>
          <w:tcPr>
            <w:tcW w:w="2163" w:type="dxa"/>
            <w:shd w:val="clear" w:color="auto" w:fill="FFFFFF" w:themeFill="background1"/>
          </w:tcPr>
          <w:p w14:paraId="5B27A162" w14:textId="77777777" w:rsidR="009427D4" w:rsidRDefault="009427D4" w:rsidP="00C62277">
            <w:pPr>
              <w:shd w:val="clear" w:color="auto" w:fill="FFFFFF" w:themeFill="background1"/>
              <w:spacing w:after="0"/>
              <w:rPr>
                <w:rFonts w:cs="Arial"/>
                <w:szCs w:val="20"/>
              </w:rPr>
            </w:pPr>
            <w:r>
              <w:rPr>
                <w:rFonts w:cs="Arial"/>
                <w:szCs w:val="20"/>
              </w:rPr>
              <w:t>BSB</w:t>
            </w:r>
          </w:p>
        </w:tc>
        <w:tc>
          <w:tcPr>
            <w:tcW w:w="6904" w:type="dxa"/>
            <w:shd w:val="clear" w:color="auto" w:fill="FFFFFF" w:themeFill="background1"/>
          </w:tcPr>
          <w:p w14:paraId="1A671EDF" w14:textId="77777777" w:rsidR="009427D4" w:rsidRDefault="009427D4" w:rsidP="00C62277">
            <w:pPr>
              <w:shd w:val="clear" w:color="auto" w:fill="FFFFFF" w:themeFill="background1"/>
              <w:spacing w:after="0"/>
              <w:rPr>
                <w:rFonts w:cs="Arial"/>
                <w:szCs w:val="20"/>
              </w:rPr>
            </w:pPr>
            <w:r>
              <w:rPr>
                <w:rFonts w:cs="Arial"/>
                <w:szCs w:val="20"/>
              </w:rPr>
              <w:t>Broadcasting services bands</w:t>
            </w:r>
          </w:p>
        </w:tc>
      </w:tr>
      <w:tr w:rsidR="009427D4" w:rsidRPr="00327849" w14:paraId="317A55BF" w14:textId="77777777" w:rsidTr="00D8610E">
        <w:tc>
          <w:tcPr>
            <w:tcW w:w="2163" w:type="dxa"/>
            <w:shd w:val="clear" w:color="auto" w:fill="FFFFFF" w:themeFill="background1"/>
          </w:tcPr>
          <w:p w14:paraId="1173E0F5" w14:textId="77777777" w:rsidR="009427D4" w:rsidRDefault="009427D4" w:rsidP="00C62277">
            <w:pPr>
              <w:shd w:val="clear" w:color="auto" w:fill="FFFFFF" w:themeFill="background1"/>
              <w:spacing w:after="0"/>
              <w:rPr>
                <w:rFonts w:cs="Arial"/>
                <w:szCs w:val="20"/>
              </w:rPr>
            </w:pPr>
            <w:r>
              <w:rPr>
                <w:rFonts w:cs="Arial"/>
                <w:szCs w:val="20"/>
              </w:rPr>
              <w:t>BSS</w:t>
            </w:r>
          </w:p>
        </w:tc>
        <w:tc>
          <w:tcPr>
            <w:tcW w:w="6904" w:type="dxa"/>
            <w:shd w:val="clear" w:color="auto" w:fill="FFFFFF" w:themeFill="background1"/>
          </w:tcPr>
          <w:p w14:paraId="2589C5EA" w14:textId="77777777" w:rsidR="009427D4" w:rsidRDefault="009427D4" w:rsidP="00C62277">
            <w:pPr>
              <w:shd w:val="clear" w:color="auto" w:fill="FFFFFF" w:themeFill="background1"/>
              <w:spacing w:after="0"/>
              <w:rPr>
                <w:rFonts w:cs="Arial"/>
                <w:szCs w:val="20"/>
              </w:rPr>
            </w:pPr>
            <w:r>
              <w:rPr>
                <w:rFonts w:cs="Arial"/>
                <w:szCs w:val="20"/>
              </w:rPr>
              <w:t>Broadcasting-satellite service</w:t>
            </w:r>
          </w:p>
        </w:tc>
      </w:tr>
      <w:tr w:rsidR="009427D4" w:rsidRPr="00327849" w14:paraId="7118DFC4" w14:textId="77777777" w:rsidTr="00D8610E">
        <w:tc>
          <w:tcPr>
            <w:tcW w:w="2163" w:type="dxa"/>
            <w:shd w:val="clear" w:color="auto" w:fill="FFFFFF" w:themeFill="background1"/>
          </w:tcPr>
          <w:p w14:paraId="3D385744" w14:textId="77777777" w:rsidR="009427D4" w:rsidRPr="00327849" w:rsidRDefault="009427D4" w:rsidP="00C62277">
            <w:pPr>
              <w:shd w:val="clear" w:color="auto" w:fill="FFFFFF" w:themeFill="background1"/>
              <w:spacing w:after="0"/>
              <w:rPr>
                <w:rFonts w:cs="Arial"/>
                <w:szCs w:val="20"/>
              </w:rPr>
            </w:pPr>
            <w:r>
              <w:rPr>
                <w:rFonts w:cs="Arial"/>
                <w:szCs w:val="20"/>
              </w:rPr>
              <w:t>CEPT</w:t>
            </w:r>
          </w:p>
        </w:tc>
        <w:tc>
          <w:tcPr>
            <w:tcW w:w="6904" w:type="dxa"/>
            <w:shd w:val="clear" w:color="auto" w:fill="FFFFFF" w:themeFill="background1"/>
          </w:tcPr>
          <w:p w14:paraId="3578A9DA" w14:textId="77777777" w:rsidR="009427D4" w:rsidRPr="00327849" w:rsidRDefault="009427D4" w:rsidP="00C62277">
            <w:pPr>
              <w:shd w:val="clear" w:color="auto" w:fill="FFFFFF" w:themeFill="background1"/>
              <w:spacing w:after="0"/>
              <w:rPr>
                <w:rFonts w:cs="Arial"/>
                <w:szCs w:val="20"/>
              </w:rPr>
            </w:pPr>
            <w:r>
              <w:rPr>
                <w:rFonts w:cs="Arial"/>
                <w:szCs w:val="20"/>
              </w:rPr>
              <w:t>European Conference of Postal and Telecommunications Administrations</w:t>
            </w:r>
          </w:p>
        </w:tc>
      </w:tr>
      <w:tr w:rsidR="009427D4" w:rsidRPr="00327849" w14:paraId="1017C9DF" w14:textId="77777777" w:rsidTr="00D8610E">
        <w:tc>
          <w:tcPr>
            <w:tcW w:w="2163" w:type="dxa"/>
            <w:shd w:val="clear" w:color="auto" w:fill="FFFFFF" w:themeFill="background1"/>
          </w:tcPr>
          <w:p w14:paraId="624D5EA8" w14:textId="77777777" w:rsidR="009427D4" w:rsidRPr="00327849" w:rsidRDefault="009427D4" w:rsidP="00C62277">
            <w:pPr>
              <w:shd w:val="clear" w:color="auto" w:fill="FFFFFF" w:themeFill="background1"/>
              <w:spacing w:after="0"/>
              <w:rPr>
                <w:rFonts w:cs="Arial"/>
                <w:szCs w:val="20"/>
              </w:rPr>
            </w:pPr>
            <w:r>
              <w:rPr>
                <w:rFonts w:cs="Arial"/>
                <w:szCs w:val="20"/>
              </w:rPr>
              <w:t>CITEL</w:t>
            </w:r>
          </w:p>
        </w:tc>
        <w:tc>
          <w:tcPr>
            <w:tcW w:w="6904" w:type="dxa"/>
            <w:shd w:val="clear" w:color="auto" w:fill="FFFFFF" w:themeFill="background1"/>
          </w:tcPr>
          <w:p w14:paraId="4D3547FE" w14:textId="77777777" w:rsidR="009427D4" w:rsidRPr="00327849" w:rsidRDefault="009427D4" w:rsidP="00C62277">
            <w:pPr>
              <w:shd w:val="clear" w:color="auto" w:fill="FFFFFF" w:themeFill="background1"/>
              <w:spacing w:after="0"/>
              <w:rPr>
                <w:rFonts w:cs="Arial"/>
                <w:szCs w:val="20"/>
              </w:rPr>
            </w:pPr>
            <w:r>
              <w:rPr>
                <w:rFonts w:cs="Arial"/>
                <w:szCs w:val="20"/>
              </w:rPr>
              <w:t>Inter-American Telecommunication Commission</w:t>
            </w:r>
          </w:p>
        </w:tc>
      </w:tr>
      <w:tr w:rsidR="009427D4" w14:paraId="609C357B" w14:textId="77777777" w:rsidTr="00D8610E">
        <w:tc>
          <w:tcPr>
            <w:tcW w:w="2163" w:type="dxa"/>
            <w:shd w:val="clear" w:color="auto" w:fill="FFFFFF" w:themeFill="background1"/>
          </w:tcPr>
          <w:p w14:paraId="7BA82761" w14:textId="77777777" w:rsidR="009427D4" w:rsidRDefault="009427D4" w:rsidP="00C62277">
            <w:pPr>
              <w:shd w:val="clear" w:color="auto" w:fill="FFFFFF" w:themeFill="background1"/>
              <w:spacing w:after="0"/>
              <w:rPr>
                <w:rFonts w:cs="Arial"/>
                <w:szCs w:val="20"/>
              </w:rPr>
            </w:pPr>
            <w:r>
              <w:rPr>
                <w:rFonts w:cs="Arial"/>
                <w:szCs w:val="20"/>
              </w:rPr>
              <w:t>C-ITS</w:t>
            </w:r>
          </w:p>
        </w:tc>
        <w:tc>
          <w:tcPr>
            <w:tcW w:w="6904" w:type="dxa"/>
            <w:shd w:val="clear" w:color="auto" w:fill="FFFFFF" w:themeFill="background1"/>
          </w:tcPr>
          <w:p w14:paraId="7CFBBD5B" w14:textId="77777777" w:rsidR="009427D4" w:rsidRDefault="009427D4" w:rsidP="00C62277">
            <w:pPr>
              <w:shd w:val="clear" w:color="auto" w:fill="FFFFFF" w:themeFill="background1"/>
              <w:spacing w:after="0"/>
              <w:rPr>
                <w:rFonts w:cs="Arial"/>
                <w:szCs w:val="20"/>
              </w:rPr>
            </w:pPr>
            <w:r>
              <w:rPr>
                <w:lang w:val="de-DE"/>
              </w:rPr>
              <w:t xml:space="preserve">Cooperative – </w:t>
            </w:r>
            <w:r w:rsidRPr="00B93333">
              <w:rPr>
                <w:lang w:val="de-DE"/>
              </w:rPr>
              <w:t xml:space="preserve">Intelligent Transport Systems </w:t>
            </w:r>
          </w:p>
        </w:tc>
      </w:tr>
      <w:tr w:rsidR="009427D4" w14:paraId="57AF3D28" w14:textId="77777777" w:rsidTr="00D8610E">
        <w:tc>
          <w:tcPr>
            <w:tcW w:w="2163" w:type="dxa"/>
            <w:shd w:val="clear" w:color="auto" w:fill="FFFFFF" w:themeFill="background1"/>
          </w:tcPr>
          <w:p w14:paraId="63BC9F66" w14:textId="77777777" w:rsidR="009427D4" w:rsidRDefault="009427D4" w:rsidP="00C62277">
            <w:pPr>
              <w:shd w:val="clear" w:color="auto" w:fill="FFFFFF" w:themeFill="background1"/>
              <w:spacing w:after="0"/>
              <w:rPr>
                <w:rFonts w:cs="Arial"/>
                <w:szCs w:val="20"/>
              </w:rPr>
            </w:pPr>
            <w:r>
              <w:rPr>
                <w:rFonts w:cs="Arial"/>
                <w:szCs w:val="20"/>
              </w:rPr>
              <w:t>CRA</w:t>
            </w:r>
          </w:p>
        </w:tc>
        <w:tc>
          <w:tcPr>
            <w:tcW w:w="6904" w:type="dxa"/>
            <w:shd w:val="clear" w:color="auto" w:fill="FFFFFF" w:themeFill="background1"/>
          </w:tcPr>
          <w:p w14:paraId="563C0596" w14:textId="77777777" w:rsidR="009427D4" w:rsidRDefault="009427D4" w:rsidP="00C62277">
            <w:pPr>
              <w:shd w:val="clear" w:color="auto" w:fill="FFFFFF" w:themeFill="background1"/>
              <w:spacing w:after="0"/>
              <w:rPr>
                <w:rFonts w:cs="Arial"/>
                <w:szCs w:val="20"/>
              </w:rPr>
            </w:pPr>
            <w:r>
              <w:rPr>
                <w:rFonts w:cs="Arial"/>
                <w:szCs w:val="20"/>
              </w:rPr>
              <w:t>Commercial Radio Australia</w:t>
            </w:r>
          </w:p>
        </w:tc>
      </w:tr>
      <w:tr w:rsidR="009427D4" w14:paraId="3B9DFED1" w14:textId="77777777" w:rsidTr="00D8610E">
        <w:tc>
          <w:tcPr>
            <w:tcW w:w="2163" w:type="dxa"/>
            <w:shd w:val="clear" w:color="auto" w:fill="FFFFFF" w:themeFill="background1"/>
          </w:tcPr>
          <w:p w14:paraId="78CA166C" w14:textId="77777777" w:rsidR="009427D4" w:rsidRDefault="009427D4" w:rsidP="00C62277">
            <w:pPr>
              <w:shd w:val="clear" w:color="auto" w:fill="FFFFFF" w:themeFill="background1"/>
              <w:spacing w:after="0"/>
              <w:rPr>
                <w:rFonts w:cs="Arial"/>
                <w:szCs w:val="20"/>
              </w:rPr>
            </w:pPr>
            <w:r>
              <w:rPr>
                <w:rFonts w:cs="Arial"/>
                <w:szCs w:val="20"/>
              </w:rPr>
              <w:t>DAB</w:t>
            </w:r>
          </w:p>
        </w:tc>
        <w:tc>
          <w:tcPr>
            <w:tcW w:w="6904" w:type="dxa"/>
            <w:shd w:val="clear" w:color="auto" w:fill="FFFFFF" w:themeFill="background1"/>
          </w:tcPr>
          <w:p w14:paraId="7BCB26D7" w14:textId="77777777" w:rsidR="009427D4" w:rsidRDefault="009427D4" w:rsidP="00C62277">
            <w:pPr>
              <w:shd w:val="clear" w:color="auto" w:fill="FFFFFF" w:themeFill="background1"/>
              <w:spacing w:after="0"/>
              <w:rPr>
                <w:rFonts w:cs="Arial"/>
                <w:szCs w:val="20"/>
              </w:rPr>
            </w:pPr>
            <w:r>
              <w:rPr>
                <w:rFonts w:cs="Arial"/>
                <w:szCs w:val="20"/>
              </w:rPr>
              <w:t>Digital audio broadcasting</w:t>
            </w:r>
          </w:p>
        </w:tc>
      </w:tr>
      <w:tr w:rsidR="009427D4" w14:paraId="00C528C3" w14:textId="77777777" w:rsidTr="00D8610E">
        <w:tc>
          <w:tcPr>
            <w:tcW w:w="2163" w:type="dxa"/>
            <w:shd w:val="clear" w:color="auto" w:fill="FFFFFF" w:themeFill="background1"/>
          </w:tcPr>
          <w:p w14:paraId="37456361" w14:textId="77777777" w:rsidR="009427D4" w:rsidRDefault="009427D4" w:rsidP="00C62277">
            <w:pPr>
              <w:shd w:val="clear" w:color="auto" w:fill="FFFFFF" w:themeFill="background1"/>
              <w:spacing w:after="0"/>
              <w:rPr>
                <w:rFonts w:cs="Arial"/>
                <w:szCs w:val="20"/>
              </w:rPr>
            </w:pPr>
            <w:r>
              <w:rPr>
                <w:rFonts w:cs="Arial"/>
                <w:szCs w:val="20"/>
              </w:rPr>
              <w:t>DoCA</w:t>
            </w:r>
          </w:p>
        </w:tc>
        <w:tc>
          <w:tcPr>
            <w:tcW w:w="6904" w:type="dxa"/>
            <w:shd w:val="clear" w:color="auto" w:fill="FFFFFF" w:themeFill="background1"/>
          </w:tcPr>
          <w:p w14:paraId="7C0256B4" w14:textId="77777777" w:rsidR="009427D4" w:rsidRDefault="009427D4" w:rsidP="00C62277">
            <w:pPr>
              <w:shd w:val="clear" w:color="auto" w:fill="FFFFFF" w:themeFill="background1"/>
              <w:spacing w:after="0"/>
              <w:rPr>
                <w:rFonts w:cs="Arial"/>
                <w:szCs w:val="20"/>
              </w:rPr>
            </w:pPr>
            <w:r>
              <w:rPr>
                <w:rFonts w:cs="Arial"/>
                <w:szCs w:val="20"/>
              </w:rPr>
              <w:t>Department of Communications and the Arts</w:t>
            </w:r>
          </w:p>
        </w:tc>
      </w:tr>
      <w:tr w:rsidR="009427D4" w14:paraId="40FE7ED0" w14:textId="77777777" w:rsidTr="00D8610E">
        <w:tc>
          <w:tcPr>
            <w:tcW w:w="2163" w:type="dxa"/>
            <w:shd w:val="clear" w:color="auto" w:fill="FFFFFF" w:themeFill="background1"/>
          </w:tcPr>
          <w:p w14:paraId="26B96D93" w14:textId="77777777" w:rsidR="009427D4" w:rsidRDefault="009427D4" w:rsidP="00C62277">
            <w:pPr>
              <w:shd w:val="clear" w:color="auto" w:fill="FFFFFF" w:themeFill="background1"/>
              <w:spacing w:after="0"/>
              <w:rPr>
                <w:rFonts w:cs="Arial"/>
                <w:szCs w:val="20"/>
              </w:rPr>
            </w:pPr>
            <w:r>
              <w:rPr>
                <w:rFonts w:cs="Arial"/>
                <w:szCs w:val="20"/>
              </w:rPr>
              <w:t>DRCP</w:t>
            </w:r>
          </w:p>
        </w:tc>
        <w:tc>
          <w:tcPr>
            <w:tcW w:w="6904" w:type="dxa"/>
            <w:shd w:val="clear" w:color="auto" w:fill="FFFFFF" w:themeFill="background1"/>
          </w:tcPr>
          <w:p w14:paraId="32AD64BD" w14:textId="77777777" w:rsidR="009427D4" w:rsidRDefault="009427D4" w:rsidP="00C62277">
            <w:pPr>
              <w:shd w:val="clear" w:color="auto" w:fill="FFFFFF" w:themeFill="background1"/>
              <w:spacing w:after="0"/>
              <w:rPr>
                <w:rFonts w:cs="Arial"/>
                <w:szCs w:val="20"/>
              </w:rPr>
            </w:pPr>
            <w:r>
              <w:rPr>
                <w:rFonts w:cs="Arial"/>
                <w:szCs w:val="20"/>
              </w:rPr>
              <w:t>Digital Radio Channel Plan</w:t>
            </w:r>
          </w:p>
        </w:tc>
      </w:tr>
      <w:tr w:rsidR="009427D4" w:rsidRPr="00C9425E" w14:paraId="4ED341C0" w14:textId="77777777" w:rsidTr="00D8610E">
        <w:tc>
          <w:tcPr>
            <w:tcW w:w="2163" w:type="dxa"/>
            <w:shd w:val="clear" w:color="auto" w:fill="FFFFFF" w:themeFill="background1"/>
          </w:tcPr>
          <w:p w14:paraId="7E53D314" w14:textId="77777777" w:rsidR="009427D4" w:rsidRDefault="009427D4" w:rsidP="00C62277">
            <w:pPr>
              <w:shd w:val="clear" w:color="auto" w:fill="FFFFFF" w:themeFill="background1"/>
              <w:spacing w:after="0"/>
              <w:rPr>
                <w:rFonts w:cs="Arial"/>
                <w:szCs w:val="20"/>
              </w:rPr>
            </w:pPr>
            <w:r>
              <w:rPr>
                <w:rFonts w:cs="Arial"/>
                <w:szCs w:val="20"/>
              </w:rPr>
              <w:t>DRCS</w:t>
            </w:r>
          </w:p>
        </w:tc>
        <w:tc>
          <w:tcPr>
            <w:tcW w:w="6904" w:type="dxa"/>
            <w:shd w:val="clear" w:color="auto" w:fill="FFFFFF" w:themeFill="background1"/>
          </w:tcPr>
          <w:p w14:paraId="70D5A2CB" w14:textId="77777777" w:rsidR="009427D4" w:rsidRDefault="009427D4" w:rsidP="00C62277">
            <w:pPr>
              <w:shd w:val="clear" w:color="auto" w:fill="FFFFFF" w:themeFill="background1"/>
              <w:spacing w:after="0"/>
              <w:rPr>
                <w:rFonts w:cs="Arial"/>
                <w:szCs w:val="20"/>
              </w:rPr>
            </w:pPr>
            <w:r>
              <w:rPr>
                <w:rFonts w:cs="Arial"/>
                <w:szCs w:val="20"/>
              </w:rPr>
              <w:t>Digital Radio Concentrator System</w:t>
            </w:r>
          </w:p>
        </w:tc>
      </w:tr>
      <w:tr w:rsidR="009427D4" w:rsidRPr="00C9425E" w14:paraId="2FD14FE2" w14:textId="77777777" w:rsidTr="00D8610E">
        <w:tc>
          <w:tcPr>
            <w:tcW w:w="2163" w:type="dxa"/>
            <w:shd w:val="clear" w:color="auto" w:fill="FFFFFF" w:themeFill="background1"/>
          </w:tcPr>
          <w:p w14:paraId="198E5445" w14:textId="77777777" w:rsidR="009427D4" w:rsidRDefault="009427D4" w:rsidP="00C62277">
            <w:pPr>
              <w:shd w:val="clear" w:color="auto" w:fill="FFFFFF" w:themeFill="background1"/>
              <w:spacing w:after="0"/>
              <w:rPr>
                <w:rFonts w:cs="Arial"/>
                <w:szCs w:val="20"/>
              </w:rPr>
            </w:pPr>
            <w:r>
              <w:rPr>
                <w:rFonts w:cs="Arial"/>
                <w:szCs w:val="20"/>
              </w:rPr>
              <w:t>DSA</w:t>
            </w:r>
          </w:p>
        </w:tc>
        <w:tc>
          <w:tcPr>
            <w:tcW w:w="6904" w:type="dxa"/>
            <w:shd w:val="clear" w:color="auto" w:fill="FFFFFF" w:themeFill="background1"/>
          </w:tcPr>
          <w:p w14:paraId="044395AA" w14:textId="77777777" w:rsidR="009427D4" w:rsidRDefault="009427D4" w:rsidP="00C62277">
            <w:pPr>
              <w:shd w:val="clear" w:color="auto" w:fill="FFFFFF" w:themeFill="background1"/>
              <w:spacing w:after="0"/>
              <w:rPr>
                <w:rFonts w:cs="Arial"/>
                <w:szCs w:val="20"/>
              </w:rPr>
            </w:pPr>
            <w:r>
              <w:rPr>
                <w:rFonts w:cs="Arial"/>
                <w:szCs w:val="20"/>
              </w:rPr>
              <w:t>Dynamic spectrum access</w:t>
            </w:r>
          </w:p>
        </w:tc>
      </w:tr>
      <w:tr w:rsidR="009427D4" w:rsidRPr="00C9425E" w14:paraId="5E65873B" w14:textId="77777777" w:rsidTr="00D8610E">
        <w:tc>
          <w:tcPr>
            <w:tcW w:w="2163" w:type="dxa"/>
            <w:shd w:val="clear" w:color="auto" w:fill="FFFFFF" w:themeFill="background1"/>
          </w:tcPr>
          <w:p w14:paraId="0BF262A1" w14:textId="77777777" w:rsidR="009427D4" w:rsidRDefault="009427D4" w:rsidP="00C62277">
            <w:pPr>
              <w:shd w:val="clear" w:color="auto" w:fill="FFFFFF" w:themeFill="background1"/>
              <w:spacing w:after="0"/>
              <w:rPr>
                <w:rFonts w:cs="Arial"/>
                <w:szCs w:val="20"/>
              </w:rPr>
            </w:pPr>
            <w:r>
              <w:rPr>
                <w:rFonts w:cs="Arial"/>
                <w:szCs w:val="20"/>
              </w:rPr>
              <w:t>ESA</w:t>
            </w:r>
          </w:p>
        </w:tc>
        <w:tc>
          <w:tcPr>
            <w:tcW w:w="6904" w:type="dxa"/>
            <w:shd w:val="clear" w:color="auto" w:fill="FFFFFF" w:themeFill="background1"/>
          </w:tcPr>
          <w:p w14:paraId="6CBE5F93" w14:textId="77777777" w:rsidR="009427D4" w:rsidRDefault="009427D4" w:rsidP="00C62277">
            <w:pPr>
              <w:shd w:val="clear" w:color="auto" w:fill="FFFFFF" w:themeFill="background1"/>
              <w:spacing w:after="0"/>
              <w:rPr>
                <w:rFonts w:cs="Arial"/>
                <w:szCs w:val="20"/>
              </w:rPr>
            </w:pPr>
            <w:r>
              <w:rPr>
                <w:rFonts w:cs="Arial"/>
                <w:szCs w:val="20"/>
              </w:rPr>
              <w:t>European Space Agency</w:t>
            </w:r>
          </w:p>
        </w:tc>
      </w:tr>
      <w:tr w:rsidR="009427D4" w:rsidRPr="00C9425E" w14:paraId="4C55C36F" w14:textId="77777777" w:rsidTr="00D8610E">
        <w:tc>
          <w:tcPr>
            <w:tcW w:w="2163" w:type="dxa"/>
            <w:shd w:val="clear" w:color="auto" w:fill="FFFFFF" w:themeFill="background1"/>
          </w:tcPr>
          <w:p w14:paraId="7801D3F2" w14:textId="77777777" w:rsidR="009427D4" w:rsidRDefault="009427D4" w:rsidP="00C62277">
            <w:pPr>
              <w:shd w:val="clear" w:color="auto" w:fill="FFFFFF" w:themeFill="background1"/>
              <w:spacing w:after="0"/>
              <w:rPr>
                <w:rFonts w:cs="Arial"/>
                <w:szCs w:val="20"/>
              </w:rPr>
            </w:pPr>
            <w:r>
              <w:rPr>
                <w:rFonts w:cs="Arial"/>
                <w:szCs w:val="20"/>
              </w:rPr>
              <w:t>ESIM</w:t>
            </w:r>
          </w:p>
        </w:tc>
        <w:tc>
          <w:tcPr>
            <w:tcW w:w="6904" w:type="dxa"/>
            <w:shd w:val="clear" w:color="auto" w:fill="FFFFFF" w:themeFill="background1"/>
          </w:tcPr>
          <w:p w14:paraId="792CF23B" w14:textId="77777777" w:rsidR="009427D4" w:rsidRDefault="009427D4" w:rsidP="00C62277">
            <w:pPr>
              <w:shd w:val="clear" w:color="auto" w:fill="FFFFFF" w:themeFill="background1"/>
              <w:spacing w:after="0"/>
              <w:rPr>
                <w:rFonts w:cs="Arial"/>
                <w:szCs w:val="20"/>
              </w:rPr>
            </w:pPr>
            <w:r>
              <w:rPr>
                <w:rFonts w:cs="Arial"/>
                <w:szCs w:val="20"/>
              </w:rPr>
              <w:t>Earth station in motion</w:t>
            </w:r>
          </w:p>
        </w:tc>
      </w:tr>
      <w:tr w:rsidR="009427D4" w:rsidRPr="00C9425E" w14:paraId="4DE84A8A" w14:textId="77777777" w:rsidTr="00D8610E">
        <w:tc>
          <w:tcPr>
            <w:tcW w:w="2163" w:type="dxa"/>
            <w:shd w:val="clear" w:color="auto" w:fill="FFFFFF" w:themeFill="background1"/>
          </w:tcPr>
          <w:p w14:paraId="113758DC" w14:textId="77777777" w:rsidR="009427D4" w:rsidRDefault="009427D4" w:rsidP="00C62277">
            <w:pPr>
              <w:shd w:val="clear" w:color="auto" w:fill="FFFFFF" w:themeFill="background1"/>
              <w:spacing w:after="0"/>
              <w:rPr>
                <w:rFonts w:cs="Arial"/>
                <w:szCs w:val="20"/>
              </w:rPr>
            </w:pPr>
            <w:r>
              <w:rPr>
                <w:rFonts w:cs="Arial"/>
                <w:szCs w:val="20"/>
              </w:rPr>
              <w:t>FSS</w:t>
            </w:r>
          </w:p>
        </w:tc>
        <w:tc>
          <w:tcPr>
            <w:tcW w:w="6904" w:type="dxa"/>
            <w:shd w:val="clear" w:color="auto" w:fill="FFFFFF" w:themeFill="background1"/>
          </w:tcPr>
          <w:p w14:paraId="1358BA1B" w14:textId="77777777" w:rsidR="009427D4" w:rsidRPr="00C9425E" w:rsidRDefault="009427D4" w:rsidP="00C62277">
            <w:pPr>
              <w:shd w:val="clear" w:color="auto" w:fill="FFFFFF" w:themeFill="background1"/>
              <w:spacing w:after="0"/>
              <w:rPr>
                <w:rFonts w:cs="Arial"/>
                <w:szCs w:val="20"/>
              </w:rPr>
            </w:pPr>
            <w:r>
              <w:rPr>
                <w:rFonts w:cs="Arial"/>
                <w:szCs w:val="20"/>
              </w:rPr>
              <w:t>Fixed satellite service</w:t>
            </w:r>
          </w:p>
        </w:tc>
      </w:tr>
      <w:tr w:rsidR="009427D4" w14:paraId="1D8EA7C8" w14:textId="77777777" w:rsidTr="00D8610E">
        <w:tc>
          <w:tcPr>
            <w:tcW w:w="2163" w:type="dxa"/>
            <w:shd w:val="clear" w:color="auto" w:fill="FFFFFF" w:themeFill="background1"/>
          </w:tcPr>
          <w:p w14:paraId="63807AD4" w14:textId="77777777" w:rsidR="009427D4" w:rsidRDefault="009427D4" w:rsidP="00C62277">
            <w:pPr>
              <w:shd w:val="clear" w:color="auto" w:fill="FFFFFF" w:themeFill="background1"/>
              <w:spacing w:after="0"/>
              <w:rPr>
                <w:rFonts w:cs="Arial"/>
                <w:szCs w:val="20"/>
              </w:rPr>
            </w:pPr>
            <w:r>
              <w:rPr>
                <w:rFonts w:cs="Arial"/>
                <w:szCs w:val="20"/>
              </w:rPr>
              <w:t>Gbps</w:t>
            </w:r>
          </w:p>
        </w:tc>
        <w:tc>
          <w:tcPr>
            <w:tcW w:w="6904" w:type="dxa"/>
            <w:shd w:val="clear" w:color="auto" w:fill="FFFFFF" w:themeFill="background1"/>
          </w:tcPr>
          <w:p w14:paraId="52F50A08" w14:textId="77777777" w:rsidR="009427D4" w:rsidRPr="007363DE" w:rsidRDefault="009427D4" w:rsidP="00C62277">
            <w:pPr>
              <w:shd w:val="clear" w:color="auto" w:fill="FFFFFF" w:themeFill="background1"/>
              <w:spacing w:after="0"/>
              <w:rPr>
                <w:rFonts w:cs="Arial"/>
                <w:szCs w:val="20"/>
              </w:rPr>
            </w:pPr>
            <w:r>
              <w:rPr>
                <w:rFonts w:cs="Arial"/>
                <w:szCs w:val="20"/>
              </w:rPr>
              <w:t>Billions of bits per second</w:t>
            </w:r>
          </w:p>
        </w:tc>
      </w:tr>
      <w:tr w:rsidR="009427D4" w14:paraId="2B2FBA7A" w14:textId="77777777" w:rsidTr="00D8610E">
        <w:tc>
          <w:tcPr>
            <w:tcW w:w="2163" w:type="dxa"/>
            <w:shd w:val="clear" w:color="auto" w:fill="FFFFFF" w:themeFill="background1"/>
          </w:tcPr>
          <w:p w14:paraId="04C75317" w14:textId="77777777" w:rsidR="009427D4" w:rsidRDefault="009427D4" w:rsidP="00C62277">
            <w:pPr>
              <w:shd w:val="clear" w:color="auto" w:fill="FFFFFF" w:themeFill="background1"/>
              <w:spacing w:after="0"/>
              <w:rPr>
                <w:rFonts w:cs="Arial"/>
                <w:szCs w:val="20"/>
              </w:rPr>
            </w:pPr>
            <w:r>
              <w:rPr>
                <w:rFonts w:cs="Arial"/>
                <w:szCs w:val="20"/>
              </w:rPr>
              <w:t>GSM</w:t>
            </w:r>
          </w:p>
        </w:tc>
        <w:tc>
          <w:tcPr>
            <w:tcW w:w="6904" w:type="dxa"/>
            <w:shd w:val="clear" w:color="auto" w:fill="FFFFFF" w:themeFill="background1"/>
          </w:tcPr>
          <w:p w14:paraId="6DCB4C01" w14:textId="77777777" w:rsidR="009427D4" w:rsidRDefault="009427D4" w:rsidP="00C62277">
            <w:pPr>
              <w:shd w:val="clear" w:color="auto" w:fill="FFFFFF" w:themeFill="background1"/>
              <w:spacing w:after="0"/>
              <w:rPr>
                <w:rFonts w:cs="Arial"/>
                <w:szCs w:val="20"/>
              </w:rPr>
            </w:pPr>
            <w:r w:rsidRPr="007363DE">
              <w:rPr>
                <w:rFonts w:cs="Arial"/>
                <w:szCs w:val="20"/>
              </w:rPr>
              <w:t>Global System for Mobile</w:t>
            </w:r>
            <w:r>
              <w:rPr>
                <w:rFonts w:cs="Arial"/>
                <w:szCs w:val="20"/>
              </w:rPr>
              <w:t xml:space="preserve"> communications</w:t>
            </w:r>
          </w:p>
        </w:tc>
      </w:tr>
      <w:tr w:rsidR="009427D4" w14:paraId="31B4E46D" w14:textId="77777777" w:rsidTr="00D8610E">
        <w:tc>
          <w:tcPr>
            <w:tcW w:w="2163" w:type="dxa"/>
            <w:shd w:val="clear" w:color="auto" w:fill="FFFFFF" w:themeFill="background1"/>
          </w:tcPr>
          <w:p w14:paraId="61119463" w14:textId="77777777" w:rsidR="009427D4" w:rsidRDefault="009427D4" w:rsidP="00C62277">
            <w:pPr>
              <w:shd w:val="clear" w:color="auto" w:fill="FFFFFF" w:themeFill="background1"/>
              <w:spacing w:after="0"/>
              <w:rPr>
                <w:rFonts w:cs="Arial"/>
                <w:szCs w:val="20"/>
              </w:rPr>
            </w:pPr>
            <w:r>
              <w:rPr>
                <w:rFonts w:cs="Arial"/>
                <w:szCs w:val="20"/>
              </w:rPr>
              <w:t>FCC</w:t>
            </w:r>
          </w:p>
        </w:tc>
        <w:tc>
          <w:tcPr>
            <w:tcW w:w="6904" w:type="dxa"/>
            <w:shd w:val="clear" w:color="auto" w:fill="FFFFFF" w:themeFill="background1"/>
          </w:tcPr>
          <w:p w14:paraId="7A769166" w14:textId="77777777" w:rsidR="009427D4" w:rsidRDefault="009427D4" w:rsidP="00C62277">
            <w:pPr>
              <w:shd w:val="clear" w:color="auto" w:fill="FFFFFF" w:themeFill="background1"/>
              <w:spacing w:after="0"/>
              <w:rPr>
                <w:rFonts w:cs="Arial"/>
                <w:szCs w:val="20"/>
              </w:rPr>
            </w:pPr>
            <w:r>
              <w:rPr>
                <w:rFonts w:cs="Arial"/>
                <w:szCs w:val="20"/>
              </w:rPr>
              <w:t>Federal Communications Commission</w:t>
            </w:r>
          </w:p>
        </w:tc>
      </w:tr>
      <w:tr w:rsidR="009427D4" w14:paraId="1CD37486" w14:textId="77777777" w:rsidTr="00D8610E">
        <w:tc>
          <w:tcPr>
            <w:tcW w:w="2163" w:type="dxa"/>
          </w:tcPr>
          <w:p w14:paraId="03ABF282" w14:textId="77777777" w:rsidR="009427D4" w:rsidRDefault="009427D4" w:rsidP="00C62277">
            <w:pPr>
              <w:shd w:val="clear" w:color="auto" w:fill="FFFFFF" w:themeFill="background1"/>
              <w:spacing w:after="0"/>
              <w:rPr>
                <w:rFonts w:cs="Arial"/>
                <w:szCs w:val="20"/>
              </w:rPr>
            </w:pPr>
            <w:r>
              <w:rPr>
                <w:rFonts w:cs="Arial"/>
                <w:szCs w:val="20"/>
              </w:rPr>
              <w:t>FDD</w:t>
            </w:r>
          </w:p>
        </w:tc>
        <w:tc>
          <w:tcPr>
            <w:tcW w:w="6904" w:type="dxa"/>
          </w:tcPr>
          <w:p w14:paraId="76830E95" w14:textId="77777777" w:rsidR="009427D4" w:rsidRDefault="009427D4" w:rsidP="00C62277">
            <w:pPr>
              <w:shd w:val="clear" w:color="auto" w:fill="FFFFFF" w:themeFill="background1"/>
              <w:spacing w:after="0"/>
              <w:rPr>
                <w:rFonts w:cs="Arial"/>
                <w:szCs w:val="20"/>
              </w:rPr>
            </w:pPr>
            <w:r>
              <w:rPr>
                <w:rFonts w:cs="Arial"/>
                <w:szCs w:val="20"/>
              </w:rPr>
              <w:t>Frequency division duplex</w:t>
            </w:r>
          </w:p>
        </w:tc>
      </w:tr>
      <w:tr w:rsidR="009427D4" w14:paraId="6040BCE0" w14:textId="77777777" w:rsidTr="00D8610E">
        <w:tc>
          <w:tcPr>
            <w:tcW w:w="2163" w:type="dxa"/>
          </w:tcPr>
          <w:p w14:paraId="7729FF09" w14:textId="77777777" w:rsidR="009427D4" w:rsidRDefault="009427D4" w:rsidP="00C62277">
            <w:pPr>
              <w:shd w:val="clear" w:color="auto" w:fill="FFFFFF" w:themeFill="background1"/>
              <w:spacing w:after="0"/>
              <w:rPr>
                <w:rFonts w:cs="Arial"/>
                <w:szCs w:val="20"/>
              </w:rPr>
            </w:pPr>
            <w:r>
              <w:rPr>
                <w:rFonts w:cs="Arial"/>
                <w:szCs w:val="20"/>
              </w:rPr>
              <w:t>FM</w:t>
            </w:r>
          </w:p>
        </w:tc>
        <w:tc>
          <w:tcPr>
            <w:tcW w:w="6904" w:type="dxa"/>
          </w:tcPr>
          <w:p w14:paraId="2129EB9D" w14:textId="77777777" w:rsidR="009427D4" w:rsidRDefault="009427D4" w:rsidP="00C62277">
            <w:pPr>
              <w:shd w:val="clear" w:color="auto" w:fill="FFFFFF" w:themeFill="background1"/>
              <w:spacing w:after="0"/>
              <w:rPr>
                <w:rFonts w:cs="Arial"/>
                <w:szCs w:val="20"/>
              </w:rPr>
            </w:pPr>
            <w:r>
              <w:rPr>
                <w:rFonts w:cs="Arial"/>
                <w:szCs w:val="20"/>
              </w:rPr>
              <w:t>Frequency modulation</w:t>
            </w:r>
          </w:p>
        </w:tc>
      </w:tr>
      <w:tr w:rsidR="009427D4" w14:paraId="6F0B72DD" w14:textId="77777777" w:rsidTr="00D8610E">
        <w:tc>
          <w:tcPr>
            <w:tcW w:w="2163" w:type="dxa"/>
          </w:tcPr>
          <w:p w14:paraId="2E9ACB39" w14:textId="77777777" w:rsidR="009427D4" w:rsidRDefault="009427D4" w:rsidP="00C62277">
            <w:pPr>
              <w:shd w:val="clear" w:color="auto" w:fill="FFFFFF" w:themeFill="background1"/>
              <w:spacing w:after="0"/>
              <w:rPr>
                <w:rFonts w:cs="Arial"/>
                <w:szCs w:val="20"/>
              </w:rPr>
            </w:pPr>
            <w:r>
              <w:rPr>
                <w:rFonts w:cs="Arial"/>
                <w:szCs w:val="20"/>
              </w:rPr>
              <w:t>GHz</w:t>
            </w:r>
          </w:p>
        </w:tc>
        <w:tc>
          <w:tcPr>
            <w:tcW w:w="6904" w:type="dxa"/>
          </w:tcPr>
          <w:p w14:paraId="03730820" w14:textId="77777777" w:rsidR="009427D4" w:rsidRDefault="009427D4" w:rsidP="00C62277">
            <w:pPr>
              <w:shd w:val="clear" w:color="auto" w:fill="FFFFFF" w:themeFill="background1"/>
              <w:spacing w:after="0"/>
              <w:rPr>
                <w:rFonts w:cs="Arial"/>
                <w:szCs w:val="20"/>
              </w:rPr>
            </w:pPr>
            <w:r>
              <w:rPr>
                <w:rFonts w:cs="Arial"/>
                <w:szCs w:val="20"/>
              </w:rPr>
              <w:t>Gigahertz</w:t>
            </w:r>
          </w:p>
        </w:tc>
      </w:tr>
      <w:tr w:rsidR="009427D4" w14:paraId="22309ED1" w14:textId="77777777" w:rsidTr="00D8610E">
        <w:tc>
          <w:tcPr>
            <w:tcW w:w="2163" w:type="dxa"/>
            <w:shd w:val="clear" w:color="auto" w:fill="FFFFFF" w:themeFill="background1"/>
          </w:tcPr>
          <w:p w14:paraId="25426DD1" w14:textId="77777777" w:rsidR="009427D4" w:rsidRDefault="009427D4" w:rsidP="00C62277">
            <w:pPr>
              <w:shd w:val="clear" w:color="auto" w:fill="FFFFFF" w:themeFill="background1"/>
              <w:spacing w:after="0"/>
              <w:rPr>
                <w:rFonts w:cs="Arial"/>
                <w:szCs w:val="20"/>
              </w:rPr>
            </w:pPr>
            <w:r>
              <w:rPr>
                <w:rFonts w:cs="Arial"/>
                <w:szCs w:val="20"/>
              </w:rPr>
              <w:t>HDA</w:t>
            </w:r>
          </w:p>
        </w:tc>
        <w:tc>
          <w:tcPr>
            <w:tcW w:w="6904" w:type="dxa"/>
            <w:shd w:val="clear" w:color="auto" w:fill="FFFFFF" w:themeFill="background1"/>
          </w:tcPr>
          <w:p w14:paraId="007BA333" w14:textId="77777777" w:rsidR="009427D4" w:rsidRDefault="009427D4" w:rsidP="00C62277">
            <w:pPr>
              <w:shd w:val="clear" w:color="auto" w:fill="FFFFFF" w:themeFill="background1"/>
              <w:spacing w:after="0"/>
              <w:rPr>
                <w:rFonts w:cs="Arial"/>
                <w:szCs w:val="20"/>
              </w:rPr>
            </w:pPr>
            <w:r>
              <w:rPr>
                <w:rFonts w:cs="Arial"/>
                <w:szCs w:val="20"/>
              </w:rPr>
              <w:t>High density area</w:t>
            </w:r>
          </w:p>
        </w:tc>
      </w:tr>
      <w:tr w:rsidR="009427D4" w14:paraId="144B2584" w14:textId="77777777" w:rsidTr="00D8610E">
        <w:tc>
          <w:tcPr>
            <w:tcW w:w="2163" w:type="dxa"/>
            <w:shd w:val="clear" w:color="auto" w:fill="FFFFFF" w:themeFill="background1"/>
          </w:tcPr>
          <w:p w14:paraId="3E496FC0" w14:textId="77777777" w:rsidR="009427D4" w:rsidRDefault="009427D4" w:rsidP="00C62277">
            <w:pPr>
              <w:shd w:val="clear" w:color="auto" w:fill="FFFFFF" w:themeFill="background1"/>
              <w:spacing w:after="0"/>
              <w:rPr>
                <w:rFonts w:cs="Arial"/>
                <w:szCs w:val="20"/>
              </w:rPr>
            </w:pPr>
            <w:r>
              <w:rPr>
                <w:rFonts w:cs="Arial"/>
                <w:szCs w:val="20"/>
              </w:rPr>
              <w:t>HEVC</w:t>
            </w:r>
          </w:p>
        </w:tc>
        <w:tc>
          <w:tcPr>
            <w:tcW w:w="6904" w:type="dxa"/>
            <w:shd w:val="clear" w:color="auto" w:fill="FFFFFF" w:themeFill="background1"/>
          </w:tcPr>
          <w:p w14:paraId="2250E418" w14:textId="77777777" w:rsidR="009427D4" w:rsidRDefault="009427D4" w:rsidP="00C62277">
            <w:pPr>
              <w:shd w:val="clear" w:color="auto" w:fill="FFFFFF" w:themeFill="background1"/>
              <w:spacing w:after="0"/>
              <w:rPr>
                <w:rFonts w:cs="Arial"/>
                <w:szCs w:val="20"/>
              </w:rPr>
            </w:pPr>
            <w:r>
              <w:rPr>
                <w:rFonts w:cs="Arial"/>
                <w:szCs w:val="20"/>
              </w:rPr>
              <w:t>High Efficiency Video Coding</w:t>
            </w:r>
          </w:p>
        </w:tc>
      </w:tr>
      <w:tr w:rsidR="009427D4" w14:paraId="382C2AF9" w14:textId="77777777" w:rsidTr="00D8610E">
        <w:tc>
          <w:tcPr>
            <w:tcW w:w="2163" w:type="dxa"/>
            <w:shd w:val="clear" w:color="auto" w:fill="FFFFFF" w:themeFill="background1"/>
          </w:tcPr>
          <w:p w14:paraId="21EB06A8" w14:textId="77777777" w:rsidR="009427D4" w:rsidRDefault="009427D4" w:rsidP="00C62277">
            <w:pPr>
              <w:shd w:val="clear" w:color="auto" w:fill="FFFFFF" w:themeFill="background1"/>
              <w:spacing w:after="0"/>
              <w:rPr>
                <w:rFonts w:cs="Arial"/>
                <w:szCs w:val="20"/>
              </w:rPr>
            </w:pPr>
            <w:r>
              <w:rPr>
                <w:rFonts w:cs="Arial"/>
                <w:szCs w:val="20"/>
              </w:rPr>
              <w:t>IEEE</w:t>
            </w:r>
          </w:p>
        </w:tc>
        <w:tc>
          <w:tcPr>
            <w:tcW w:w="6904" w:type="dxa"/>
            <w:shd w:val="clear" w:color="auto" w:fill="FFFFFF" w:themeFill="background1"/>
          </w:tcPr>
          <w:p w14:paraId="506B1C5E" w14:textId="77777777" w:rsidR="009427D4" w:rsidRDefault="009427D4" w:rsidP="00C62277">
            <w:pPr>
              <w:shd w:val="clear" w:color="auto" w:fill="FFFFFF" w:themeFill="background1"/>
              <w:spacing w:after="0"/>
              <w:rPr>
                <w:rFonts w:cs="Arial"/>
                <w:szCs w:val="20"/>
              </w:rPr>
            </w:pPr>
            <w:r>
              <w:rPr>
                <w:rStyle w:val="tgc"/>
                <w:rFonts w:cs="Arial"/>
                <w:color w:val="222222"/>
              </w:rPr>
              <w:t>Institute of Electrical and Electronics Engineers</w:t>
            </w:r>
          </w:p>
        </w:tc>
      </w:tr>
      <w:tr w:rsidR="009427D4" w14:paraId="660D1818" w14:textId="77777777" w:rsidTr="00D8610E">
        <w:tc>
          <w:tcPr>
            <w:tcW w:w="2163" w:type="dxa"/>
            <w:shd w:val="clear" w:color="auto" w:fill="FFFFFF" w:themeFill="background1"/>
          </w:tcPr>
          <w:p w14:paraId="117970B8" w14:textId="77777777" w:rsidR="009427D4" w:rsidRDefault="009427D4" w:rsidP="00C62277">
            <w:pPr>
              <w:shd w:val="clear" w:color="auto" w:fill="FFFFFF" w:themeFill="background1"/>
              <w:spacing w:after="0"/>
              <w:rPr>
                <w:rFonts w:cs="Arial"/>
                <w:szCs w:val="20"/>
              </w:rPr>
            </w:pPr>
            <w:r>
              <w:rPr>
                <w:rFonts w:cs="Arial"/>
                <w:szCs w:val="20"/>
              </w:rPr>
              <w:t>ITS</w:t>
            </w:r>
          </w:p>
        </w:tc>
        <w:tc>
          <w:tcPr>
            <w:tcW w:w="6904" w:type="dxa"/>
            <w:shd w:val="clear" w:color="auto" w:fill="FFFFFF" w:themeFill="background1"/>
          </w:tcPr>
          <w:p w14:paraId="7AE609A6" w14:textId="77777777" w:rsidR="009427D4" w:rsidRDefault="009427D4" w:rsidP="00C62277">
            <w:pPr>
              <w:shd w:val="clear" w:color="auto" w:fill="FFFFFF" w:themeFill="background1"/>
              <w:spacing w:after="0"/>
              <w:rPr>
                <w:rFonts w:cs="Arial"/>
                <w:szCs w:val="20"/>
              </w:rPr>
            </w:pPr>
            <w:r>
              <w:rPr>
                <w:rFonts w:cs="Arial"/>
                <w:szCs w:val="20"/>
              </w:rPr>
              <w:t>Intelligent Transport Systems</w:t>
            </w:r>
          </w:p>
        </w:tc>
      </w:tr>
      <w:tr w:rsidR="009427D4" w14:paraId="4D8672D8" w14:textId="77777777" w:rsidTr="00D8610E">
        <w:tc>
          <w:tcPr>
            <w:tcW w:w="2163" w:type="dxa"/>
            <w:shd w:val="clear" w:color="auto" w:fill="FFFFFF" w:themeFill="background1"/>
          </w:tcPr>
          <w:p w14:paraId="1F62350D" w14:textId="77777777" w:rsidR="009427D4" w:rsidRDefault="009427D4" w:rsidP="00C62277">
            <w:pPr>
              <w:shd w:val="clear" w:color="auto" w:fill="FFFFFF" w:themeFill="background1"/>
              <w:spacing w:after="0"/>
              <w:rPr>
                <w:rFonts w:cs="Arial"/>
                <w:szCs w:val="20"/>
              </w:rPr>
            </w:pPr>
            <w:r>
              <w:rPr>
                <w:rFonts w:cs="Arial"/>
                <w:szCs w:val="20"/>
              </w:rPr>
              <w:t>ITU</w:t>
            </w:r>
          </w:p>
        </w:tc>
        <w:tc>
          <w:tcPr>
            <w:tcW w:w="6904" w:type="dxa"/>
            <w:shd w:val="clear" w:color="auto" w:fill="FFFFFF" w:themeFill="background1"/>
          </w:tcPr>
          <w:p w14:paraId="1599EF85" w14:textId="77777777" w:rsidR="009427D4" w:rsidRDefault="009427D4" w:rsidP="00C62277">
            <w:pPr>
              <w:shd w:val="clear" w:color="auto" w:fill="FFFFFF" w:themeFill="background1"/>
              <w:spacing w:after="0"/>
              <w:rPr>
                <w:rFonts w:cs="Arial"/>
                <w:szCs w:val="20"/>
              </w:rPr>
            </w:pPr>
            <w:r>
              <w:rPr>
                <w:rFonts w:cs="Arial"/>
                <w:szCs w:val="20"/>
              </w:rPr>
              <w:t>International Telecommunication Union</w:t>
            </w:r>
          </w:p>
        </w:tc>
      </w:tr>
      <w:tr w:rsidR="009427D4" w14:paraId="569CF64B" w14:textId="77777777" w:rsidTr="00D8610E">
        <w:tc>
          <w:tcPr>
            <w:tcW w:w="2163" w:type="dxa"/>
            <w:shd w:val="clear" w:color="auto" w:fill="FFFFFF" w:themeFill="background1"/>
          </w:tcPr>
          <w:p w14:paraId="39F0A4C8" w14:textId="77777777" w:rsidR="009427D4" w:rsidRDefault="009427D4" w:rsidP="00C62277">
            <w:pPr>
              <w:shd w:val="clear" w:color="auto" w:fill="FFFFFF" w:themeFill="background1"/>
              <w:spacing w:after="0"/>
              <w:rPr>
                <w:rFonts w:cs="Arial"/>
                <w:szCs w:val="20"/>
              </w:rPr>
            </w:pPr>
            <w:r>
              <w:rPr>
                <w:rFonts w:cs="Arial"/>
                <w:szCs w:val="20"/>
              </w:rPr>
              <w:t>ITU-R</w:t>
            </w:r>
          </w:p>
        </w:tc>
        <w:tc>
          <w:tcPr>
            <w:tcW w:w="6904" w:type="dxa"/>
            <w:shd w:val="clear" w:color="auto" w:fill="FFFFFF" w:themeFill="background1"/>
          </w:tcPr>
          <w:p w14:paraId="5FEE5E1A" w14:textId="77777777" w:rsidR="009427D4" w:rsidRDefault="009427D4" w:rsidP="00C62277">
            <w:pPr>
              <w:shd w:val="clear" w:color="auto" w:fill="FFFFFF" w:themeFill="background1"/>
              <w:spacing w:after="0"/>
              <w:rPr>
                <w:rFonts w:cs="Arial"/>
                <w:szCs w:val="20"/>
              </w:rPr>
            </w:pPr>
            <w:r>
              <w:rPr>
                <w:rFonts w:cs="Arial"/>
                <w:szCs w:val="20"/>
              </w:rPr>
              <w:t>ITU Radiocommunication Sector</w:t>
            </w:r>
          </w:p>
        </w:tc>
      </w:tr>
      <w:tr w:rsidR="009427D4" w14:paraId="6E34DC0D" w14:textId="77777777" w:rsidTr="00D8610E">
        <w:tc>
          <w:tcPr>
            <w:tcW w:w="2163" w:type="dxa"/>
            <w:shd w:val="clear" w:color="auto" w:fill="FFFFFF" w:themeFill="background1"/>
          </w:tcPr>
          <w:p w14:paraId="5EA175D5" w14:textId="77777777" w:rsidR="009427D4" w:rsidRDefault="009427D4" w:rsidP="00C62277">
            <w:pPr>
              <w:shd w:val="clear" w:color="auto" w:fill="FFFFFF" w:themeFill="background1"/>
              <w:spacing w:after="0"/>
              <w:rPr>
                <w:rFonts w:cs="Arial"/>
                <w:szCs w:val="20"/>
              </w:rPr>
            </w:pPr>
            <w:r>
              <w:rPr>
                <w:rFonts w:cs="Arial"/>
                <w:szCs w:val="20"/>
              </w:rPr>
              <w:t>IMT</w:t>
            </w:r>
          </w:p>
        </w:tc>
        <w:tc>
          <w:tcPr>
            <w:tcW w:w="6904" w:type="dxa"/>
            <w:shd w:val="clear" w:color="auto" w:fill="FFFFFF" w:themeFill="background1"/>
          </w:tcPr>
          <w:p w14:paraId="73325D5E" w14:textId="77777777" w:rsidR="009427D4" w:rsidRDefault="009427D4" w:rsidP="00C62277">
            <w:pPr>
              <w:shd w:val="clear" w:color="auto" w:fill="FFFFFF" w:themeFill="background1"/>
              <w:spacing w:after="0"/>
              <w:rPr>
                <w:rFonts w:cs="Arial"/>
                <w:szCs w:val="20"/>
              </w:rPr>
            </w:pPr>
            <w:r>
              <w:rPr>
                <w:rFonts w:cs="Arial"/>
                <w:szCs w:val="20"/>
              </w:rPr>
              <w:t>International Mobile Telecommunications</w:t>
            </w:r>
          </w:p>
        </w:tc>
      </w:tr>
      <w:tr w:rsidR="009427D4" w14:paraId="780D6945" w14:textId="77777777" w:rsidTr="00D8610E">
        <w:tc>
          <w:tcPr>
            <w:tcW w:w="2163" w:type="dxa"/>
            <w:shd w:val="clear" w:color="auto" w:fill="FFFFFF" w:themeFill="background1"/>
          </w:tcPr>
          <w:p w14:paraId="7CEAD721" w14:textId="77777777" w:rsidR="009427D4" w:rsidRDefault="009427D4" w:rsidP="00C62277">
            <w:pPr>
              <w:shd w:val="clear" w:color="auto" w:fill="FFFFFF" w:themeFill="background1"/>
              <w:spacing w:after="0"/>
              <w:rPr>
                <w:rFonts w:cs="Arial"/>
                <w:szCs w:val="20"/>
              </w:rPr>
            </w:pPr>
            <w:r>
              <w:rPr>
                <w:rFonts w:cs="Arial"/>
                <w:szCs w:val="20"/>
              </w:rPr>
              <w:t>IoT</w:t>
            </w:r>
          </w:p>
        </w:tc>
        <w:tc>
          <w:tcPr>
            <w:tcW w:w="6904" w:type="dxa"/>
            <w:shd w:val="clear" w:color="auto" w:fill="FFFFFF" w:themeFill="background1"/>
          </w:tcPr>
          <w:p w14:paraId="584C094B" w14:textId="77777777" w:rsidR="009427D4" w:rsidRDefault="009427D4" w:rsidP="00C62277">
            <w:pPr>
              <w:shd w:val="clear" w:color="auto" w:fill="FFFFFF" w:themeFill="background1"/>
              <w:spacing w:after="0"/>
              <w:rPr>
                <w:rFonts w:cs="Arial"/>
                <w:szCs w:val="20"/>
              </w:rPr>
            </w:pPr>
            <w:r>
              <w:rPr>
                <w:rFonts w:cs="Arial"/>
                <w:szCs w:val="20"/>
              </w:rPr>
              <w:t>Internet of things</w:t>
            </w:r>
          </w:p>
        </w:tc>
      </w:tr>
      <w:tr w:rsidR="009427D4" w14:paraId="51001B75" w14:textId="77777777" w:rsidTr="00D8610E">
        <w:tc>
          <w:tcPr>
            <w:tcW w:w="2163" w:type="dxa"/>
            <w:shd w:val="clear" w:color="auto" w:fill="FFFFFF" w:themeFill="background1"/>
          </w:tcPr>
          <w:p w14:paraId="358C72E7" w14:textId="77777777" w:rsidR="009427D4" w:rsidRDefault="009427D4" w:rsidP="00C62277">
            <w:pPr>
              <w:shd w:val="clear" w:color="auto" w:fill="FFFFFF" w:themeFill="background1"/>
              <w:spacing w:after="0"/>
              <w:rPr>
                <w:rFonts w:cs="Arial"/>
                <w:szCs w:val="20"/>
              </w:rPr>
            </w:pPr>
            <w:r>
              <w:rPr>
                <w:rFonts w:cs="Arial"/>
                <w:szCs w:val="20"/>
              </w:rPr>
              <w:t>IoTAA</w:t>
            </w:r>
          </w:p>
        </w:tc>
        <w:tc>
          <w:tcPr>
            <w:tcW w:w="6904" w:type="dxa"/>
            <w:shd w:val="clear" w:color="auto" w:fill="FFFFFF" w:themeFill="background1"/>
          </w:tcPr>
          <w:p w14:paraId="6820E50D" w14:textId="77777777" w:rsidR="009427D4" w:rsidRDefault="009427D4" w:rsidP="00C62277">
            <w:pPr>
              <w:shd w:val="clear" w:color="auto" w:fill="FFFFFF" w:themeFill="background1"/>
              <w:spacing w:after="0"/>
              <w:rPr>
                <w:rFonts w:cs="Arial"/>
                <w:szCs w:val="20"/>
              </w:rPr>
            </w:pPr>
            <w:r>
              <w:rPr>
                <w:rFonts w:cs="Arial"/>
                <w:szCs w:val="20"/>
              </w:rPr>
              <w:t>IoT Alliance Australia</w:t>
            </w:r>
          </w:p>
        </w:tc>
      </w:tr>
      <w:tr w:rsidR="009427D4" w14:paraId="4AE6B051" w14:textId="77777777" w:rsidTr="00D8610E">
        <w:tc>
          <w:tcPr>
            <w:tcW w:w="2163" w:type="dxa"/>
            <w:shd w:val="clear" w:color="auto" w:fill="FFFFFF" w:themeFill="background1"/>
          </w:tcPr>
          <w:p w14:paraId="0C2A3B63" w14:textId="77777777" w:rsidR="009427D4" w:rsidRDefault="009427D4" w:rsidP="00C62277">
            <w:pPr>
              <w:shd w:val="clear" w:color="auto" w:fill="FFFFFF" w:themeFill="background1"/>
              <w:spacing w:after="0"/>
              <w:rPr>
                <w:rFonts w:cs="Arial"/>
                <w:szCs w:val="20"/>
              </w:rPr>
            </w:pPr>
            <w:r>
              <w:rPr>
                <w:rFonts w:cs="Arial"/>
                <w:szCs w:val="20"/>
              </w:rPr>
              <w:t>ITS</w:t>
            </w:r>
          </w:p>
        </w:tc>
        <w:tc>
          <w:tcPr>
            <w:tcW w:w="6904" w:type="dxa"/>
            <w:shd w:val="clear" w:color="auto" w:fill="FFFFFF" w:themeFill="background1"/>
          </w:tcPr>
          <w:p w14:paraId="4B34FD50" w14:textId="77777777" w:rsidR="009427D4" w:rsidRDefault="009427D4" w:rsidP="00C62277">
            <w:pPr>
              <w:shd w:val="clear" w:color="auto" w:fill="FFFFFF" w:themeFill="background1"/>
              <w:spacing w:after="0"/>
              <w:rPr>
                <w:rFonts w:cs="Arial"/>
                <w:szCs w:val="20"/>
              </w:rPr>
            </w:pPr>
            <w:r>
              <w:rPr>
                <w:rFonts w:cs="Arial"/>
                <w:szCs w:val="20"/>
              </w:rPr>
              <w:t>Intelligent transport systems</w:t>
            </w:r>
          </w:p>
        </w:tc>
      </w:tr>
      <w:tr w:rsidR="009427D4" w14:paraId="63FF48EF" w14:textId="77777777" w:rsidTr="00D8610E">
        <w:tc>
          <w:tcPr>
            <w:tcW w:w="2163" w:type="dxa"/>
            <w:shd w:val="clear" w:color="auto" w:fill="FFFFFF" w:themeFill="background1"/>
          </w:tcPr>
          <w:p w14:paraId="0F06ED7E" w14:textId="77777777" w:rsidR="009427D4" w:rsidRDefault="009427D4" w:rsidP="00C62277">
            <w:pPr>
              <w:shd w:val="clear" w:color="auto" w:fill="FFFFFF" w:themeFill="background1"/>
              <w:spacing w:after="0"/>
              <w:rPr>
                <w:rFonts w:cs="Arial"/>
                <w:szCs w:val="20"/>
              </w:rPr>
            </w:pPr>
            <w:r>
              <w:rPr>
                <w:rFonts w:cs="Arial"/>
                <w:szCs w:val="20"/>
              </w:rPr>
              <w:t>LAP</w:t>
            </w:r>
          </w:p>
        </w:tc>
        <w:tc>
          <w:tcPr>
            <w:tcW w:w="6904" w:type="dxa"/>
            <w:shd w:val="clear" w:color="auto" w:fill="FFFFFF" w:themeFill="background1"/>
          </w:tcPr>
          <w:p w14:paraId="17D1BAFD" w14:textId="77777777" w:rsidR="009427D4" w:rsidRDefault="009427D4" w:rsidP="00C62277">
            <w:pPr>
              <w:shd w:val="clear" w:color="auto" w:fill="FFFFFF" w:themeFill="background1"/>
              <w:spacing w:after="0"/>
              <w:rPr>
                <w:rFonts w:cs="Arial"/>
                <w:szCs w:val="20"/>
              </w:rPr>
            </w:pPr>
            <w:r>
              <w:rPr>
                <w:rFonts w:cs="Arial"/>
                <w:szCs w:val="20"/>
              </w:rPr>
              <w:t>Licence area plan</w:t>
            </w:r>
          </w:p>
        </w:tc>
      </w:tr>
      <w:tr w:rsidR="009427D4" w14:paraId="3E6E55AD" w14:textId="77777777" w:rsidTr="00D8610E">
        <w:tc>
          <w:tcPr>
            <w:tcW w:w="2163" w:type="dxa"/>
            <w:shd w:val="clear" w:color="auto" w:fill="FFFFFF" w:themeFill="background1"/>
          </w:tcPr>
          <w:p w14:paraId="539DEE89" w14:textId="77777777" w:rsidR="009427D4" w:rsidRDefault="009427D4" w:rsidP="00C62277">
            <w:pPr>
              <w:shd w:val="clear" w:color="auto" w:fill="FFFFFF" w:themeFill="background1"/>
              <w:spacing w:after="0"/>
              <w:rPr>
                <w:rFonts w:cs="Arial"/>
                <w:szCs w:val="20"/>
              </w:rPr>
            </w:pPr>
            <w:r>
              <w:rPr>
                <w:rFonts w:cs="Arial"/>
                <w:szCs w:val="20"/>
              </w:rPr>
              <w:t>LDA</w:t>
            </w:r>
          </w:p>
        </w:tc>
        <w:tc>
          <w:tcPr>
            <w:tcW w:w="6904" w:type="dxa"/>
            <w:shd w:val="clear" w:color="auto" w:fill="FFFFFF" w:themeFill="background1"/>
          </w:tcPr>
          <w:p w14:paraId="6CD4E551" w14:textId="77777777" w:rsidR="009427D4" w:rsidRDefault="009427D4" w:rsidP="00C62277">
            <w:pPr>
              <w:shd w:val="clear" w:color="auto" w:fill="FFFFFF" w:themeFill="background1"/>
              <w:spacing w:after="0"/>
              <w:rPr>
                <w:rFonts w:cs="Arial"/>
                <w:szCs w:val="20"/>
              </w:rPr>
            </w:pPr>
            <w:r>
              <w:rPr>
                <w:rFonts w:cs="Arial"/>
                <w:szCs w:val="20"/>
              </w:rPr>
              <w:t>Low density area</w:t>
            </w:r>
          </w:p>
        </w:tc>
      </w:tr>
      <w:tr w:rsidR="009427D4" w14:paraId="2998777A" w14:textId="77777777" w:rsidTr="00D8610E">
        <w:tc>
          <w:tcPr>
            <w:tcW w:w="2163" w:type="dxa"/>
            <w:shd w:val="clear" w:color="auto" w:fill="FFFFFF" w:themeFill="background1"/>
          </w:tcPr>
          <w:p w14:paraId="29D9B46D" w14:textId="77777777" w:rsidR="009427D4" w:rsidRDefault="009427D4" w:rsidP="00C62277">
            <w:pPr>
              <w:shd w:val="clear" w:color="auto" w:fill="FFFFFF" w:themeFill="background1"/>
              <w:spacing w:after="0"/>
              <w:rPr>
                <w:rFonts w:cs="Arial"/>
                <w:szCs w:val="20"/>
              </w:rPr>
            </w:pPr>
            <w:r>
              <w:rPr>
                <w:rFonts w:cs="Arial"/>
                <w:szCs w:val="20"/>
              </w:rPr>
              <w:t>LED</w:t>
            </w:r>
          </w:p>
        </w:tc>
        <w:tc>
          <w:tcPr>
            <w:tcW w:w="6904" w:type="dxa"/>
            <w:shd w:val="clear" w:color="auto" w:fill="FFFFFF" w:themeFill="background1"/>
          </w:tcPr>
          <w:p w14:paraId="1FEB86A0" w14:textId="77777777" w:rsidR="009427D4" w:rsidRDefault="009427D4" w:rsidP="00C62277">
            <w:pPr>
              <w:shd w:val="clear" w:color="auto" w:fill="FFFFFF" w:themeFill="background1"/>
              <w:spacing w:after="0"/>
              <w:rPr>
                <w:rFonts w:cs="Arial"/>
                <w:szCs w:val="20"/>
              </w:rPr>
            </w:pPr>
            <w:r>
              <w:rPr>
                <w:rFonts w:cs="Arial"/>
                <w:szCs w:val="20"/>
              </w:rPr>
              <w:t xml:space="preserve">Light-emitting diode </w:t>
            </w:r>
          </w:p>
        </w:tc>
      </w:tr>
      <w:tr w:rsidR="009427D4" w:rsidRPr="005A475E" w14:paraId="3089E10A" w14:textId="77777777" w:rsidTr="00D8610E">
        <w:tc>
          <w:tcPr>
            <w:tcW w:w="2163" w:type="dxa"/>
            <w:shd w:val="clear" w:color="auto" w:fill="FFFFFF" w:themeFill="background1"/>
          </w:tcPr>
          <w:p w14:paraId="592C4482" w14:textId="77777777" w:rsidR="009427D4" w:rsidRDefault="009427D4" w:rsidP="00C62277">
            <w:pPr>
              <w:shd w:val="clear" w:color="auto" w:fill="FFFFFF" w:themeFill="background1"/>
              <w:spacing w:after="0"/>
              <w:rPr>
                <w:rFonts w:cs="Arial"/>
                <w:szCs w:val="20"/>
              </w:rPr>
            </w:pPr>
            <w:r>
              <w:rPr>
                <w:rFonts w:cs="Arial"/>
                <w:szCs w:val="20"/>
              </w:rPr>
              <w:t>LA</w:t>
            </w:r>
          </w:p>
        </w:tc>
        <w:tc>
          <w:tcPr>
            <w:tcW w:w="6904" w:type="dxa"/>
            <w:shd w:val="clear" w:color="auto" w:fill="FFFFFF" w:themeFill="background1"/>
          </w:tcPr>
          <w:p w14:paraId="124D0A1E" w14:textId="77777777" w:rsidR="009427D4" w:rsidRPr="005A475E" w:rsidRDefault="009427D4" w:rsidP="00C62277">
            <w:pPr>
              <w:shd w:val="clear" w:color="auto" w:fill="FFFFFF" w:themeFill="background1"/>
              <w:spacing w:after="0"/>
              <w:rPr>
                <w:rFonts w:cs="Arial"/>
                <w:i/>
                <w:szCs w:val="20"/>
              </w:rPr>
            </w:pPr>
            <w:r>
              <w:rPr>
                <w:rFonts w:cs="Arial"/>
                <w:i/>
                <w:szCs w:val="20"/>
              </w:rPr>
              <w:t xml:space="preserve">Legislation </w:t>
            </w:r>
            <w:r w:rsidRPr="005A475E">
              <w:rPr>
                <w:rFonts w:cs="Arial"/>
                <w:i/>
                <w:szCs w:val="20"/>
              </w:rPr>
              <w:t>Act 2003</w:t>
            </w:r>
          </w:p>
        </w:tc>
      </w:tr>
      <w:tr w:rsidR="009427D4" w:rsidRPr="005A475E" w14:paraId="2F4A53BE" w14:textId="77777777" w:rsidTr="00D8610E">
        <w:tc>
          <w:tcPr>
            <w:tcW w:w="2163" w:type="dxa"/>
            <w:shd w:val="clear" w:color="auto" w:fill="FFFFFF" w:themeFill="background1"/>
          </w:tcPr>
          <w:p w14:paraId="348B02B1" w14:textId="77777777" w:rsidR="009427D4" w:rsidRDefault="009427D4" w:rsidP="00C62277">
            <w:pPr>
              <w:shd w:val="clear" w:color="auto" w:fill="FFFFFF" w:themeFill="background1"/>
              <w:spacing w:after="0"/>
              <w:rPr>
                <w:rFonts w:cs="Arial"/>
                <w:szCs w:val="20"/>
              </w:rPr>
            </w:pPr>
            <w:r>
              <w:rPr>
                <w:rFonts w:cs="Arial"/>
                <w:szCs w:val="20"/>
              </w:rPr>
              <w:t>LIPD</w:t>
            </w:r>
          </w:p>
        </w:tc>
        <w:tc>
          <w:tcPr>
            <w:tcW w:w="6904" w:type="dxa"/>
            <w:shd w:val="clear" w:color="auto" w:fill="FFFFFF" w:themeFill="background1"/>
          </w:tcPr>
          <w:p w14:paraId="53F313C5" w14:textId="77777777" w:rsidR="009427D4" w:rsidRPr="005A475E" w:rsidRDefault="009427D4" w:rsidP="00C62277">
            <w:pPr>
              <w:shd w:val="clear" w:color="auto" w:fill="FFFFFF" w:themeFill="background1"/>
              <w:spacing w:after="0"/>
              <w:rPr>
                <w:rFonts w:cs="Arial"/>
                <w:szCs w:val="20"/>
              </w:rPr>
            </w:pPr>
            <w:r>
              <w:rPr>
                <w:rFonts w:cs="Arial"/>
                <w:szCs w:val="20"/>
              </w:rPr>
              <w:t>Low interference potential devices</w:t>
            </w:r>
          </w:p>
        </w:tc>
      </w:tr>
      <w:tr w:rsidR="009427D4" w14:paraId="7C699FB8" w14:textId="77777777" w:rsidTr="00D8610E">
        <w:tc>
          <w:tcPr>
            <w:tcW w:w="2163" w:type="dxa"/>
          </w:tcPr>
          <w:p w14:paraId="517B7E6F" w14:textId="77777777" w:rsidR="009427D4" w:rsidRDefault="009427D4" w:rsidP="00C62277">
            <w:pPr>
              <w:shd w:val="clear" w:color="auto" w:fill="FFFFFF" w:themeFill="background1"/>
              <w:spacing w:after="0"/>
              <w:rPr>
                <w:rFonts w:cs="Arial"/>
                <w:szCs w:val="20"/>
              </w:rPr>
            </w:pPr>
            <w:r>
              <w:rPr>
                <w:rFonts w:cs="Arial"/>
                <w:szCs w:val="20"/>
              </w:rPr>
              <w:t>M2M</w:t>
            </w:r>
          </w:p>
        </w:tc>
        <w:tc>
          <w:tcPr>
            <w:tcW w:w="6904" w:type="dxa"/>
          </w:tcPr>
          <w:p w14:paraId="09AE3D12" w14:textId="77777777" w:rsidR="009427D4" w:rsidRDefault="009427D4" w:rsidP="00C62277">
            <w:pPr>
              <w:shd w:val="clear" w:color="auto" w:fill="FFFFFF" w:themeFill="background1"/>
              <w:spacing w:after="0"/>
              <w:rPr>
                <w:rFonts w:cs="Arial"/>
                <w:szCs w:val="20"/>
              </w:rPr>
            </w:pPr>
            <w:r>
              <w:rPr>
                <w:rFonts w:cs="Arial"/>
                <w:szCs w:val="20"/>
              </w:rPr>
              <w:t>Machine-to-machine</w:t>
            </w:r>
          </w:p>
        </w:tc>
      </w:tr>
      <w:tr w:rsidR="009427D4" w14:paraId="2BC0E3D8" w14:textId="77777777" w:rsidTr="00D8610E">
        <w:tc>
          <w:tcPr>
            <w:tcW w:w="2163" w:type="dxa"/>
          </w:tcPr>
          <w:p w14:paraId="7B216148" w14:textId="77777777" w:rsidR="009427D4" w:rsidRDefault="009427D4" w:rsidP="00C62277">
            <w:pPr>
              <w:shd w:val="clear" w:color="auto" w:fill="FFFFFF" w:themeFill="background1"/>
              <w:spacing w:after="0"/>
              <w:rPr>
                <w:rFonts w:cs="Arial"/>
                <w:szCs w:val="20"/>
              </w:rPr>
            </w:pPr>
            <w:r>
              <w:rPr>
                <w:rFonts w:cs="Arial"/>
                <w:szCs w:val="20"/>
              </w:rPr>
              <w:t>MDA</w:t>
            </w:r>
          </w:p>
        </w:tc>
        <w:tc>
          <w:tcPr>
            <w:tcW w:w="6904" w:type="dxa"/>
          </w:tcPr>
          <w:p w14:paraId="4A9E08B5" w14:textId="77777777" w:rsidR="009427D4" w:rsidRDefault="009427D4" w:rsidP="00C62277">
            <w:pPr>
              <w:shd w:val="clear" w:color="auto" w:fill="FFFFFF" w:themeFill="background1"/>
              <w:spacing w:after="0"/>
              <w:rPr>
                <w:rFonts w:cs="Arial"/>
                <w:szCs w:val="20"/>
              </w:rPr>
            </w:pPr>
            <w:r>
              <w:rPr>
                <w:rFonts w:cs="Arial"/>
                <w:szCs w:val="20"/>
              </w:rPr>
              <w:t>Medium density area</w:t>
            </w:r>
          </w:p>
        </w:tc>
      </w:tr>
      <w:tr w:rsidR="009427D4" w14:paraId="5469C9A7" w14:textId="77777777" w:rsidTr="00D8610E">
        <w:tc>
          <w:tcPr>
            <w:tcW w:w="2163" w:type="dxa"/>
          </w:tcPr>
          <w:p w14:paraId="21F19203" w14:textId="77777777" w:rsidR="009427D4" w:rsidRDefault="009427D4" w:rsidP="00C62277">
            <w:pPr>
              <w:shd w:val="clear" w:color="auto" w:fill="FFFFFF" w:themeFill="background1"/>
              <w:spacing w:after="0"/>
              <w:rPr>
                <w:rFonts w:cs="Arial"/>
                <w:szCs w:val="20"/>
              </w:rPr>
            </w:pPr>
            <w:r>
              <w:rPr>
                <w:rFonts w:cs="Arial"/>
                <w:szCs w:val="20"/>
              </w:rPr>
              <w:t>MHz</w:t>
            </w:r>
          </w:p>
        </w:tc>
        <w:tc>
          <w:tcPr>
            <w:tcW w:w="6904" w:type="dxa"/>
          </w:tcPr>
          <w:p w14:paraId="4B7B4DF0" w14:textId="77777777" w:rsidR="009427D4" w:rsidRDefault="009427D4" w:rsidP="00C62277">
            <w:pPr>
              <w:shd w:val="clear" w:color="auto" w:fill="FFFFFF" w:themeFill="background1"/>
              <w:spacing w:after="0"/>
              <w:rPr>
                <w:rFonts w:cs="Arial"/>
                <w:szCs w:val="20"/>
              </w:rPr>
            </w:pPr>
            <w:r>
              <w:rPr>
                <w:rFonts w:cs="Arial"/>
                <w:szCs w:val="20"/>
              </w:rPr>
              <w:t>Megahertz</w:t>
            </w:r>
          </w:p>
        </w:tc>
      </w:tr>
      <w:tr w:rsidR="009427D4" w14:paraId="695B14B9" w14:textId="77777777" w:rsidTr="00D8610E">
        <w:tc>
          <w:tcPr>
            <w:tcW w:w="2163" w:type="dxa"/>
          </w:tcPr>
          <w:p w14:paraId="7969E0DC" w14:textId="77777777" w:rsidR="009427D4" w:rsidRDefault="009427D4" w:rsidP="00C62277">
            <w:pPr>
              <w:shd w:val="clear" w:color="auto" w:fill="FFFFFF" w:themeFill="background1"/>
              <w:spacing w:after="0"/>
              <w:rPr>
                <w:rFonts w:cs="Arial"/>
                <w:szCs w:val="20"/>
              </w:rPr>
            </w:pPr>
            <w:r>
              <w:rPr>
                <w:rFonts w:cs="Arial"/>
                <w:szCs w:val="20"/>
              </w:rPr>
              <w:t>mmW</w:t>
            </w:r>
          </w:p>
        </w:tc>
        <w:tc>
          <w:tcPr>
            <w:tcW w:w="6904" w:type="dxa"/>
          </w:tcPr>
          <w:p w14:paraId="6DE445EA" w14:textId="77777777" w:rsidR="009427D4" w:rsidRDefault="009427D4" w:rsidP="00C62277">
            <w:pPr>
              <w:shd w:val="clear" w:color="auto" w:fill="FFFFFF" w:themeFill="background1"/>
              <w:spacing w:after="0"/>
              <w:rPr>
                <w:rFonts w:cs="Arial"/>
                <w:szCs w:val="20"/>
              </w:rPr>
            </w:pPr>
            <w:r>
              <w:rPr>
                <w:rFonts w:cs="Arial"/>
                <w:szCs w:val="20"/>
              </w:rPr>
              <w:t>Millimetre wave</w:t>
            </w:r>
          </w:p>
        </w:tc>
      </w:tr>
      <w:tr w:rsidR="009427D4" w14:paraId="6ECF1C0C" w14:textId="77777777" w:rsidTr="00D8610E">
        <w:tc>
          <w:tcPr>
            <w:tcW w:w="2163" w:type="dxa"/>
          </w:tcPr>
          <w:p w14:paraId="6636DAA4" w14:textId="77777777" w:rsidR="009427D4" w:rsidRDefault="009427D4" w:rsidP="00C62277">
            <w:pPr>
              <w:shd w:val="clear" w:color="auto" w:fill="FFFFFF" w:themeFill="background1"/>
              <w:spacing w:after="0"/>
              <w:rPr>
                <w:rFonts w:cs="Arial"/>
                <w:szCs w:val="20"/>
              </w:rPr>
            </w:pPr>
            <w:r>
              <w:rPr>
                <w:rFonts w:cs="Arial"/>
                <w:szCs w:val="20"/>
              </w:rPr>
              <w:t>MSS</w:t>
            </w:r>
          </w:p>
        </w:tc>
        <w:tc>
          <w:tcPr>
            <w:tcW w:w="6904" w:type="dxa"/>
          </w:tcPr>
          <w:p w14:paraId="616EB2D2" w14:textId="77777777" w:rsidR="009427D4" w:rsidRDefault="009427D4" w:rsidP="00C62277">
            <w:pPr>
              <w:shd w:val="clear" w:color="auto" w:fill="FFFFFF" w:themeFill="background1"/>
              <w:spacing w:after="0"/>
              <w:rPr>
                <w:rFonts w:cs="Arial"/>
                <w:szCs w:val="20"/>
              </w:rPr>
            </w:pPr>
            <w:r>
              <w:rPr>
                <w:rFonts w:cs="Arial"/>
                <w:szCs w:val="20"/>
              </w:rPr>
              <w:t>Mobile satellite services</w:t>
            </w:r>
          </w:p>
        </w:tc>
      </w:tr>
      <w:tr w:rsidR="009427D4" w14:paraId="0D6266A0" w14:textId="77777777" w:rsidTr="00D8610E">
        <w:tc>
          <w:tcPr>
            <w:tcW w:w="2163" w:type="dxa"/>
          </w:tcPr>
          <w:p w14:paraId="1A73D892" w14:textId="77777777" w:rsidR="009427D4" w:rsidRDefault="009427D4" w:rsidP="00C62277">
            <w:pPr>
              <w:shd w:val="clear" w:color="auto" w:fill="FFFFFF" w:themeFill="background1"/>
              <w:spacing w:after="0"/>
              <w:rPr>
                <w:rFonts w:cs="Arial"/>
                <w:szCs w:val="20"/>
              </w:rPr>
            </w:pPr>
            <w:r>
              <w:rPr>
                <w:rFonts w:cs="Arial"/>
                <w:szCs w:val="20"/>
              </w:rPr>
              <w:t>OBPR</w:t>
            </w:r>
          </w:p>
        </w:tc>
        <w:tc>
          <w:tcPr>
            <w:tcW w:w="6904" w:type="dxa"/>
          </w:tcPr>
          <w:p w14:paraId="69481534" w14:textId="77777777" w:rsidR="009427D4" w:rsidRDefault="009427D4" w:rsidP="00C62277">
            <w:pPr>
              <w:shd w:val="clear" w:color="auto" w:fill="FFFFFF" w:themeFill="background1"/>
              <w:spacing w:after="0"/>
              <w:rPr>
                <w:rFonts w:cs="Arial"/>
                <w:szCs w:val="20"/>
              </w:rPr>
            </w:pPr>
            <w:r>
              <w:rPr>
                <w:rFonts w:cs="Arial"/>
                <w:szCs w:val="20"/>
              </w:rPr>
              <w:t>Office of Best Practice Regulation</w:t>
            </w:r>
          </w:p>
        </w:tc>
      </w:tr>
      <w:tr w:rsidR="009427D4" w14:paraId="44913944" w14:textId="77777777" w:rsidTr="00D8610E">
        <w:tc>
          <w:tcPr>
            <w:tcW w:w="2163" w:type="dxa"/>
            <w:shd w:val="clear" w:color="auto" w:fill="FFFFFF" w:themeFill="background1"/>
          </w:tcPr>
          <w:p w14:paraId="1307CFD6" w14:textId="77777777" w:rsidR="009427D4" w:rsidRDefault="009427D4" w:rsidP="00C62277">
            <w:pPr>
              <w:shd w:val="clear" w:color="auto" w:fill="FFFFFF" w:themeFill="background1"/>
              <w:spacing w:after="0"/>
              <w:rPr>
                <w:rFonts w:cs="Arial"/>
                <w:szCs w:val="20"/>
              </w:rPr>
            </w:pPr>
            <w:r>
              <w:rPr>
                <w:rFonts w:cs="Arial"/>
                <w:szCs w:val="20"/>
              </w:rPr>
              <w:t>PCA</w:t>
            </w:r>
          </w:p>
        </w:tc>
        <w:tc>
          <w:tcPr>
            <w:tcW w:w="6904" w:type="dxa"/>
            <w:shd w:val="clear" w:color="auto" w:fill="FFFFFF" w:themeFill="background1"/>
          </w:tcPr>
          <w:p w14:paraId="2DBCF1B3" w14:textId="77777777" w:rsidR="009427D4" w:rsidRDefault="009427D4" w:rsidP="00C62277">
            <w:pPr>
              <w:shd w:val="clear" w:color="auto" w:fill="FFFFFF" w:themeFill="background1"/>
              <w:spacing w:after="0"/>
              <w:rPr>
                <w:rFonts w:cs="Arial"/>
                <w:szCs w:val="20"/>
              </w:rPr>
            </w:pPr>
            <w:r>
              <w:rPr>
                <w:rFonts w:cs="Arial"/>
                <w:szCs w:val="20"/>
              </w:rPr>
              <w:t>Priority compliance area</w:t>
            </w:r>
          </w:p>
        </w:tc>
      </w:tr>
      <w:tr w:rsidR="009427D4" w14:paraId="21D04B51" w14:textId="77777777" w:rsidTr="00D8610E">
        <w:tc>
          <w:tcPr>
            <w:tcW w:w="2163" w:type="dxa"/>
            <w:shd w:val="clear" w:color="auto" w:fill="FFFFFF" w:themeFill="background1"/>
          </w:tcPr>
          <w:p w14:paraId="124ECC5C" w14:textId="77777777" w:rsidR="009427D4" w:rsidRDefault="009427D4" w:rsidP="00C62277">
            <w:pPr>
              <w:shd w:val="clear" w:color="auto" w:fill="FFFFFF" w:themeFill="background1"/>
              <w:spacing w:after="0"/>
              <w:rPr>
                <w:rFonts w:cs="Arial"/>
                <w:szCs w:val="20"/>
              </w:rPr>
            </w:pPr>
            <w:r>
              <w:rPr>
                <w:rFonts w:cs="Arial"/>
                <w:szCs w:val="20"/>
              </w:rPr>
              <w:t>RALI</w:t>
            </w:r>
          </w:p>
        </w:tc>
        <w:tc>
          <w:tcPr>
            <w:tcW w:w="6904" w:type="dxa"/>
            <w:shd w:val="clear" w:color="auto" w:fill="FFFFFF" w:themeFill="background1"/>
          </w:tcPr>
          <w:p w14:paraId="7402930D" w14:textId="77777777" w:rsidR="009427D4" w:rsidRDefault="009427D4" w:rsidP="00C62277">
            <w:pPr>
              <w:shd w:val="clear" w:color="auto" w:fill="FFFFFF" w:themeFill="background1"/>
              <w:spacing w:after="0"/>
              <w:rPr>
                <w:rFonts w:cs="Arial"/>
                <w:szCs w:val="20"/>
              </w:rPr>
            </w:pPr>
            <w:r>
              <w:rPr>
                <w:rFonts w:cs="Arial"/>
                <w:szCs w:val="20"/>
              </w:rPr>
              <w:t>Radiocommunications Assignment and Licensing Instruction</w:t>
            </w:r>
          </w:p>
        </w:tc>
      </w:tr>
      <w:tr w:rsidR="009427D4" w14:paraId="7CB60DB0" w14:textId="77777777" w:rsidTr="00D8610E">
        <w:tc>
          <w:tcPr>
            <w:tcW w:w="2163" w:type="dxa"/>
          </w:tcPr>
          <w:p w14:paraId="4EE623FD" w14:textId="77777777" w:rsidR="009427D4" w:rsidRDefault="009427D4" w:rsidP="00C62277">
            <w:pPr>
              <w:shd w:val="clear" w:color="auto" w:fill="FFFFFF" w:themeFill="background1"/>
              <w:spacing w:after="0"/>
              <w:rPr>
                <w:rFonts w:cs="Arial"/>
                <w:szCs w:val="20"/>
              </w:rPr>
            </w:pPr>
            <w:r>
              <w:rPr>
                <w:rFonts w:cs="Arial"/>
                <w:szCs w:val="20"/>
              </w:rPr>
              <w:t>RCC</w:t>
            </w:r>
          </w:p>
        </w:tc>
        <w:tc>
          <w:tcPr>
            <w:tcW w:w="6904" w:type="dxa"/>
          </w:tcPr>
          <w:p w14:paraId="6DFF7846" w14:textId="77777777" w:rsidR="009427D4" w:rsidRDefault="009427D4" w:rsidP="00C62277">
            <w:pPr>
              <w:shd w:val="clear" w:color="auto" w:fill="FFFFFF" w:themeFill="background1"/>
              <w:spacing w:after="0"/>
              <w:rPr>
                <w:rFonts w:cs="Arial"/>
                <w:szCs w:val="20"/>
              </w:rPr>
            </w:pPr>
            <w:r>
              <w:rPr>
                <w:rFonts w:cs="Arial"/>
                <w:szCs w:val="20"/>
              </w:rPr>
              <w:t>Regional Communications Council</w:t>
            </w:r>
          </w:p>
        </w:tc>
      </w:tr>
      <w:tr w:rsidR="009427D4" w14:paraId="03D84C1C" w14:textId="77777777" w:rsidTr="00D8610E">
        <w:tc>
          <w:tcPr>
            <w:tcW w:w="2163" w:type="dxa"/>
          </w:tcPr>
          <w:p w14:paraId="6F38074E" w14:textId="77777777" w:rsidR="009427D4" w:rsidRDefault="009427D4" w:rsidP="00C62277">
            <w:pPr>
              <w:shd w:val="clear" w:color="auto" w:fill="FFFFFF" w:themeFill="background1"/>
              <w:spacing w:after="0"/>
              <w:rPr>
                <w:rFonts w:cs="Arial"/>
                <w:szCs w:val="20"/>
              </w:rPr>
            </w:pPr>
            <w:r>
              <w:rPr>
                <w:rFonts w:cs="Arial"/>
                <w:szCs w:val="20"/>
              </w:rPr>
              <w:t>RDA</w:t>
            </w:r>
          </w:p>
        </w:tc>
        <w:tc>
          <w:tcPr>
            <w:tcW w:w="6904" w:type="dxa"/>
          </w:tcPr>
          <w:p w14:paraId="537D2A9B" w14:textId="77777777" w:rsidR="009427D4" w:rsidRDefault="009427D4" w:rsidP="00C62277">
            <w:pPr>
              <w:shd w:val="clear" w:color="auto" w:fill="FFFFFF" w:themeFill="background1"/>
              <w:spacing w:after="0"/>
              <w:rPr>
                <w:rFonts w:cs="Arial"/>
                <w:szCs w:val="20"/>
              </w:rPr>
            </w:pPr>
            <w:r>
              <w:rPr>
                <w:rFonts w:cs="Arial"/>
                <w:szCs w:val="20"/>
              </w:rPr>
              <w:t>Remote density area</w:t>
            </w:r>
          </w:p>
        </w:tc>
      </w:tr>
      <w:tr w:rsidR="009427D4" w14:paraId="7C149F2B" w14:textId="77777777" w:rsidTr="00D8610E">
        <w:tc>
          <w:tcPr>
            <w:tcW w:w="2163" w:type="dxa"/>
          </w:tcPr>
          <w:p w14:paraId="1BEC92CF" w14:textId="77777777" w:rsidR="009427D4" w:rsidRDefault="009427D4" w:rsidP="00C62277">
            <w:pPr>
              <w:shd w:val="clear" w:color="auto" w:fill="FFFFFF" w:themeFill="background1"/>
              <w:spacing w:after="0"/>
              <w:rPr>
                <w:rFonts w:cs="Arial"/>
                <w:szCs w:val="20"/>
              </w:rPr>
            </w:pPr>
            <w:r>
              <w:rPr>
                <w:rFonts w:cs="Arial"/>
                <w:szCs w:val="20"/>
              </w:rPr>
              <w:t>RLAN</w:t>
            </w:r>
          </w:p>
        </w:tc>
        <w:tc>
          <w:tcPr>
            <w:tcW w:w="6904" w:type="dxa"/>
          </w:tcPr>
          <w:p w14:paraId="5DC8D15C" w14:textId="77777777" w:rsidR="009427D4" w:rsidRDefault="009427D4" w:rsidP="00C62277">
            <w:pPr>
              <w:shd w:val="clear" w:color="auto" w:fill="FFFFFF" w:themeFill="background1"/>
              <w:spacing w:after="0"/>
              <w:rPr>
                <w:rFonts w:cs="Arial"/>
                <w:szCs w:val="20"/>
              </w:rPr>
            </w:pPr>
            <w:r>
              <w:rPr>
                <w:rFonts w:cs="Arial"/>
                <w:szCs w:val="20"/>
              </w:rPr>
              <w:t>Radio Local Area Network</w:t>
            </w:r>
          </w:p>
        </w:tc>
      </w:tr>
      <w:tr w:rsidR="009427D4" w14:paraId="6ED69D21" w14:textId="77777777" w:rsidTr="00D8610E">
        <w:tc>
          <w:tcPr>
            <w:tcW w:w="2163" w:type="dxa"/>
          </w:tcPr>
          <w:p w14:paraId="3E2B3247" w14:textId="77777777" w:rsidR="009427D4" w:rsidRDefault="009427D4" w:rsidP="00C62277">
            <w:pPr>
              <w:shd w:val="clear" w:color="auto" w:fill="FFFFFF" w:themeFill="background1"/>
              <w:spacing w:after="0"/>
              <w:rPr>
                <w:rFonts w:cs="Arial"/>
                <w:szCs w:val="20"/>
              </w:rPr>
            </w:pPr>
            <w:r>
              <w:rPr>
                <w:rFonts w:cs="Arial"/>
                <w:szCs w:val="20"/>
              </w:rPr>
              <w:t>RR</w:t>
            </w:r>
          </w:p>
        </w:tc>
        <w:tc>
          <w:tcPr>
            <w:tcW w:w="6904" w:type="dxa"/>
          </w:tcPr>
          <w:p w14:paraId="1A3498CC" w14:textId="77777777" w:rsidR="009427D4" w:rsidRDefault="009427D4" w:rsidP="00C62277">
            <w:pPr>
              <w:shd w:val="clear" w:color="auto" w:fill="FFFFFF" w:themeFill="background1"/>
              <w:spacing w:after="0"/>
              <w:rPr>
                <w:rFonts w:cs="Arial"/>
                <w:bCs/>
                <w:iCs/>
              </w:rPr>
            </w:pPr>
            <w:r>
              <w:rPr>
                <w:rFonts w:cs="Arial"/>
                <w:bCs/>
                <w:iCs/>
              </w:rPr>
              <w:t>ITU Radio Regulations</w:t>
            </w:r>
          </w:p>
        </w:tc>
      </w:tr>
      <w:tr w:rsidR="009427D4" w14:paraId="099FA4C5" w14:textId="77777777" w:rsidTr="00D8610E">
        <w:tc>
          <w:tcPr>
            <w:tcW w:w="2163" w:type="dxa"/>
            <w:shd w:val="clear" w:color="auto" w:fill="FFFFFF" w:themeFill="background1"/>
          </w:tcPr>
          <w:p w14:paraId="3A56DEB8" w14:textId="77777777" w:rsidR="009427D4" w:rsidRDefault="009427D4" w:rsidP="00C62277">
            <w:pPr>
              <w:shd w:val="clear" w:color="auto" w:fill="FFFFFF" w:themeFill="background1"/>
              <w:spacing w:after="0"/>
              <w:rPr>
                <w:rFonts w:cs="Arial"/>
                <w:szCs w:val="20"/>
              </w:rPr>
            </w:pPr>
            <w:r>
              <w:rPr>
                <w:rFonts w:cs="Arial"/>
                <w:szCs w:val="20"/>
              </w:rPr>
              <w:t>RSPG</w:t>
            </w:r>
          </w:p>
        </w:tc>
        <w:tc>
          <w:tcPr>
            <w:tcW w:w="6904" w:type="dxa"/>
            <w:shd w:val="clear" w:color="auto" w:fill="FFFFFF" w:themeFill="background1"/>
          </w:tcPr>
          <w:p w14:paraId="31AB09B1" w14:textId="77777777" w:rsidR="009427D4" w:rsidRDefault="009427D4" w:rsidP="00C62277">
            <w:pPr>
              <w:shd w:val="clear" w:color="auto" w:fill="FFFFFF" w:themeFill="background1"/>
              <w:spacing w:after="0"/>
              <w:rPr>
                <w:rFonts w:cs="Arial"/>
                <w:bCs/>
                <w:iCs/>
              </w:rPr>
            </w:pPr>
            <w:r>
              <w:rPr>
                <w:rFonts w:cs="Arial"/>
                <w:bCs/>
                <w:iCs/>
              </w:rPr>
              <w:t>Radio Spectrum Policy Group</w:t>
            </w:r>
          </w:p>
        </w:tc>
      </w:tr>
      <w:tr w:rsidR="009427D4" w14:paraId="7B7E0449" w14:textId="77777777" w:rsidTr="00D8610E">
        <w:tc>
          <w:tcPr>
            <w:tcW w:w="2163" w:type="dxa"/>
            <w:shd w:val="clear" w:color="auto" w:fill="FFFFFF" w:themeFill="background1"/>
          </w:tcPr>
          <w:p w14:paraId="4C80C865" w14:textId="77777777" w:rsidR="009427D4" w:rsidRDefault="009427D4" w:rsidP="00C62277">
            <w:pPr>
              <w:shd w:val="clear" w:color="auto" w:fill="FFFFFF" w:themeFill="background1"/>
              <w:spacing w:after="0"/>
              <w:rPr>
                <w:rFonts w:cs="Arial"/>
                <w:szCs w:val="20"/>
              </w:rPr>
            </w:pPr>
            <w:r>
              <w:rPr>
                <w:rFonts w:cs="Arial"/>
                <w:szCs w:val="20"/>
              </w:rPr>
              <w:t>SFFL</w:t>
            </w:r>
          </w:p>
        </w:tc>
        <w:tc>
          <w:tcPr>
            <w:tcW w:w="6904" w:type="dxa"/>
            <w:shd w:val="clear" w:color="auto" w:fill="FFFFFF" w:themeFill="background1"/>
          </w:tcPr>
          <w:p w14:paraId="0394B8B1" w14:textId="77777777" w:rsidR="009427D4" w:rsidRDefault="009427D4" w:rsidP="00C62277">
            <w:pPr>
              <w:shd w:val="clear" w:color="auto" w:fill="FFFFFF" w:themeFill="background1"/>
              <w:spacing w:after="0"/>
              <w:rPr>
                <w:rFonts w:cs="Arial"/>
                <w:bCs/>
                <w:iCs/>
              </w:rPr>
            </w:pPr>
            <w:r>
              <w:rPr>
                <w:rFonts w:cs="Arial"/>
                <w:bCs/>
                <w:iCs/>
              </w:rPr>
              <w:t>Single frequency fixed links</w:t>
            </w:r>
          </w:p>
        </w:tc>
      </w:tr>
      <w:tr w:rsidR="009427D4" w14:paraId="66E967BA" w14:textId="77777777" w:rsidTr="00D8610E">
        <w:tc>
          <w:tcPr>
            <w:tcW w:w="2163" w:type="dxa"/>
            <w:shd w:val="clear" w:color="auto" w:fill="FFFFFF" w:themeFill="background1"/>
          </w:tcPr>
          <w:p w14:paraId="2C77683F" w14:textId="77777777" w:rsidR="009427D4" w:rsidRDefault="009427D4" w:rsidP="00C62277">
            <w:pPr>
              <w:shd w:val="clear" w:color="auto" w:fill="FFFFFF" w:themeFill="background1"/>
              <w:spacing w:after="0"/>
              <w:rPr>
                <w:rFonts w:cs="Arial"/>
                <w:szCs w:val="20"/>
              </w:rPr>
            </w:pPr>
            <w:r>
              <w:rPr>
                <w:rFonts w:cs="Arial"/>
                <w:szCs w:val="20"/>
              </w:rPr>
              <w:t>STLs</w:t>
            </w:r>
          </w:p>
        </w:tc>
        <w:tc>
          <w:tcPr>
            <w:tcW w:w="6904" w:type="dxa"/>
            <w:shd w:val="clear" w:color="auto" w:fill="FFFFFF" w:themeFill="background1"/>
          </w:tcPr>
          <w:p w14:paraId="7BE6F8F2" w14:textId="77777777" w:rsidR="009427D4" w:rsidRDefault="009427D4" w:rsidP="00C62277">
            <w:pPr>
              <w:shd w:val="clear" w:color="auto" w:fill="FFFFFF" w:themeFill="background1"/>
              <w:spacing w:after="0"/>
              <w:rPr>
                <w:rFonts w:cs="Arial"/>
                <w:bCs/>
                <w:iCs/>
              </w:rPr>
            </w:pPr>
            <w:r>
              <w:rPr>
                <w:rFonts w:cs="Arial"/>
                <w:bCs/>
                <w:iCs/>
              </w:rPr>
              <w:t>Studio-to-transmitter links</w:t>
            </w:r>
          </w:p>
        </w:tc>
      </w:tr>
      <w:tr w:rsidR="009427D4" w14:paraId="592EDB65" w14:textId="77777777" w:rsidTr="00D8610E">
        <w:tc>
          <w:tcPr>
            <w:tcW w:w="2163" w:type="dxa"/>
            <w:shd w:val="clear" w:color="auto" w:fill="FFFFFF" w:themeFill="background1"/>
          </w:tcPr>
          <w:p w14:paraId="233D48AD" w14:textId="77777777" w:rsidR="009427D4" w:rsidRDefault="009427D4" w:rsidP="00C62277">
            <w:pPr>
              <w:shd w:val="clear" w:color="auto" w:fill="FFFFFF" w:themeFill="background1"/>
              <w:spacing w:after="0"/>
              <w:rPr>
                <w:rFonts w:cs="Arial"/>
                <w:szCs w:val="20"/>
              </w:rPr>
            </w:pPr>
            <w:r>
              <w:rPr>
                <w:rFonts w:cs="Arial"/>
                <w:szCs w:val="20"/>
              </w:rPr>
              <w:t>TDD</w:t>
            </w:r>
          </w:p>
        </w:tc>
        <w:tc>
          <w:tcPr>
            <w:tcW w:w="6904" w:type="dxa"/>
            <w:shd w:val="clear" w:color="auto" w:fill="FFFFFF" w:themeFill="background1"/>
          </w:tcPr>
          <w:p w14:paraId="0119E33A" w14:textId="77777777" w:rsidR="009427D4" w:rsidRDefault="009427D4" w:rsidP="00C62277">
            <w:pPr>
              <w:shd w:val="clear" w:color="auto" w:fill="FFFFFF" w:themeFill="background1"/>
              <w:spacing w:after="0"/>
              <w:rPr>
                <w:rFonts w:cs="Arial"/>
                <w:bCs/>
                <w:iCs/>
              </w:rPr>
            </w:pPr>
            <w:r>
              <w:rPr>
                <w:rFonts w:cs="Arial"/>
                <w:bCs/>
                <w:iCs/>
              </w:rPr>
              <w:t>Time division duplex</w:t>
            </w:r>
          </w:p>
        </w:tc>
      </w:tr>
      <w:tr w:rsidR="009427D4" w14:paraId="2F201125" w14:textId="77777777" w:rsidTr="00D8610E">
        <w:tc>
          <w:tcPr>
            <w:tcW w:w="2163" w:type="dxa"/>
            <w:shd w:val="clear" w:color="auto" w:fill="FFFFFF" w:themeFill="background1"/>
          </w:tcPr>
          <w:p w14:paraId="75A39BCA" w14:textId="77777777" w:rsidR="009427D4" w:rsidRDefault="009427D4" w:rsidP="00C62277">
            <w:pPr>
              <w:shd w:val="clear" w:color="auto" w:fill="FFFFFF" w:themeFill="background1"/>
              <w:spacing w:after="0"/>
              <w:rPr>
                <w:rFonts w:cs="Arial"/>
                <w:szCs w:val="20"/>
              </w:rPr>
            </w:pPr>
            <w:r>
              <w:rPr>
                <w:rFonts w:cs="Arial"/>
                <w:szCs w:val="20"/>
              </w:rPr>
              <w:t>TLAP</w:t>
            </w:r>
          </w:p>
        </w:tc>
        <w:tc>
          <w:tcPr>
            <w:tcW w:w="6904" w:type="dxa"/>
            <w:shd w:val="clear" w:color="auto" w:fill="FFFFFF" w:themeFill="background1"/>
          </w:tcPr>
          <w:p w14:paraId="209C817B" w14:textId="77777777" w:rsidR="009427D4" w:rsidRDefault="009427D4" w:rsidP="00C62277">
            <w:pPr>
              <w:shd w:val="clear" w:color="auto" w:fill="FFFFFF" w:themeFill="background1"/>
              <w:spacing w:after="0"/>
              <w:rPr>
                <w:rFonts w:cs="Arial"/>
                <w:bCs/>
                <w:iCs/>
              </w:rPr>
            </w:pPr>
            <w:r>
              <w:rPr>
                <w:rFonts w:cs="Arial"/>
                <w:bCs/>
                <w:iCs/>
              </w:rPr>
              <w:t>Television licence area plan</w:t>
            </w:r>
          </w:p>
        </w:tc>
      </w:tr>
      <w:tr w:rsidR="009427D4" w14:paraId="137B7025" w14:textId="77777777" w:rsidTr="00D8610E">
        <w:tc>
          <w:tcPr>
            <w:tcW w:w="2163" w:type="dxa"/>
            <w:shd w:val="clear" w:color="auto" w:fill="FFFFFF" w:themeFill="background1"/>
          </w:tcPr>
          <w:p w14:paraId="7C3E7A86" w14:textId="77777777" w:rsidR="009427D4" w:rsidRDefault="009427D4" w:rsidP="00C62277">
            <w:pPr>
              <w:shd w:val="clear" w:color="auto" w:fill="FFFFFF" w:themeFill="background1"/>
              <w:spacing w:after="0"/>
              <w:rPr>
                <w:rFonts w:cs="Arial"/>
                <w:szCs w:val="20"/>
              </w:rPr>
            </w:pPr>
            <w:r>
              <w:rPr>
                <w:rFonts w:cs="Arial"/>
                <w:szCs w:val="20"/>
              </w:rPr>
              <w:t>TOB</w:t>
            </w:r>
          </w:p>
        </w:tc>
        <w:tc>
          <w:tcPr>
            <w:tcW w:w="6904" w:type="dxa"/>
            <w:shd w:val="clear" w:color="auto" w:fill="FFFFFF" w:themeFill="background1"/>
          </w:tcPr>
          <w:p w14:paraId="03EF6ED4" w14:textId="77777777" w:rsidR="009427D4" w:rsidRDefault="009427D4" w:rsidP="00C62277">
            <w:pPr>
              <w:shd w:val="clear" w:color="auto" w:fill="FFFFFF" w:themeFill="background1"/>
              <w:spacing w:after="0"/>
              <w:rPr>
                <w:rFonts w:cs="Arial"/>
                <w:szCs w:val="20"/>
              </w:rPr>
            </w:pPr>
            <w:r>
              <w:rPr>
                <w:rFonts w:cs="Arial"/>
                <w:szCs w:val="20"/>
              </w:rPr>
              <w:t>Television outside broadcast</w:t>
            </w:r>
          </w:p>
        </w:tc>
      </w:tr>
      <w:tr w:rsidR="009427D4" w14:paraId="6851B885" w14:textId="77777777" w:rsidTr="00D8610E">
        <w:tc>
          <w:tcPr>
            <w:tcW w:w="2163" w:type="dxa"/>
            <w:shd w:val="clear" w:color="auto" w:fill="FFFFFF" w:themeFill="background1"/>
          </w:tcPr>
          <w:p w14:paraId="0189E69B" w14:textId="77777777" w:rsidR="009427D4" w:rsidRDefault="009427D4" w:rsidP="00C62277">
            <w:pPr>
              <w:shd w:val="clear" w:color="auto" w:fill="FFFFFF" w:themeFill="background1"/>
              <w:spacing w:after="0"/>
              <w:rPr>
                <w:rFonts w:cs="Arial"/>
                <w:szCs w:val="20"/>
              </w:rPr>
            </w:pPr>
            <w:r>
              <w:rPr>
                <w:rFonts w:cs="Arial"/>
                <w:szCs w:val="20"/>
              </w:rPr>
              <w:t>TPG</w:t>
            </w:r>
          </w:p>
        </w:tc>
        <w:tc>
          <w:tcPr>
            <w:tcW w:w="6904" w:type="dxa"/>
            <w:shd w:val="clear" w:color="auto" w:fill="FFFFFF" w:themeFill="background1"/>
          </w:tcPr>
          <w:p w14:paraId="22606D66" w14:textId="77777777" w:rsidR="009427D4" w:rsidRDefault="009427D4" w:rsidP="00C62277">
            <w:pPr>
              <w:shd w:val="clear" w:color="auto" w:fill="FFFFFF" w:themeFill="background1"/>
              <w:spacing w:after="0"/>
              <w:rPr>
                <w:rFonts w:cs="Arial"/>
                <w:szCs w:val="20"/>
              </w:rPr>
            </w:pPr>
            <w:r>
              <w:rPr>
                <w:rFonts w:cs="Arial"/>
                <w:szCs w:val="20"/>
              </w:rPr>
              <w:t>Technical Planning Guidelines</w:t>
            </w:r>
          </w:p>
        </w:tc>
      </w:tr>
      <w:tr w:rsidR="009427D4" w14:paraId="5F1FA419" w14:textId="77777777" w:rsidTr="00D8610E">
        <w:tc>
          <w:tcPr>
            <w:tcW w:w="2163" w:type="dxa"/>
            <w:shd w:val="clear" w:color="auto" w:fill="FFFFFF" w:themeFill="background1"/>
          </w:tcPr>
          <w:p w14:paraId="2220C330" w14:textId="77777777" w:rsidR="009427D4" w:rsidRDefault="009427D4" w:rsidP="00C62277">
            <w:pPr>
              <w:shd w:val="clear" w:color="auto" w:fill="FFFFFF" w:themeFill="background1"/>
              <w:spacing w:after="0"/>
              <w:rPr>
                <w:rFonts w:cs="Arial"/>
                <w:szCs w:val="20"/>
              </w:rPr>
            </w:pPr>
            <w:r>
              <w:rPr>
                <w:rFonts w:cs="Arial"/>
                <w:szCs w:val="20"/>
              </w:rPr>
              <w:t>UHF</w:t>
            </w:r>
          </w:p>
        </w:tc>
        <w:tc>
          <w:tcPr>
            <w:tcW w:w="6904" w:type="dxa"/>
            <w:shd w:val="clear" w:color="auto" w:fill="FFFFFF" w:themeFill="background1"/>
          </w:tcPr>
          <w:p w14:paraId="5DECC3C7" w14:textId="77777777" w:rsidR="009427D4" w:rsidRDefault="009427D4" w:rsidP="00C62277">
            <w:pPr>
              <w:shd w:val="clear" w:color="auto" w:fill="FFFFFF" w:themeFill="background1"/>
              <w:spacing w:after="0"/>
              <w:rPr>
                <w:rFonts w:cs="Arial"/>
                <w:szCs w:val="20"/>
              </w:rPr>
            </w:pPr>
            <w:r>
              <w:rPr>
                <w:rFonts w:cs="Arial"/>
                <w:szCs w:val="20"/>
              </w:rPr>
              <w:t>Ultra high frequency</w:t>
            </w:r>
          </w:p>
        </w:tc>
      </w:tr>
      <w:tr w:rsidR="009427D4" w14:paraId="286D347C" w14:textId="77777777" w:rsidTr="00D8610E">
        <w:tc>
          <w:tcPr>
            <w:tcW w:w="2163" w:type="dxa"/>
            <w:shd w:val="clear" w:color="auto" w:fill="FFFFFF" w:themeFill="background1"/>
          </w:tcPr>
          <w:p w14:paraId="5BE7481E" w14:textId="77777777" w:rsidR="009427D4" w:rsidRDefault="009427D4" w:rsidP="00C62277">
            <w:pPr>
              <w:shd w:val="clear" w:color="auto" w:fill="FFFFFF" w:themeFill="background1"/>
              <w:spacing w:after="0"/>
              <w:rPr>
                <w:rFonts w:cs="Arial"/>
                <w:szCs w:val="20"/>
              </w:rPr>
            </w:pPr>
            <w:r>
              <w:rPr>
                <w:rFonts w:cs="Arial"/>
                <w:szCs w:val="20"/>
              </w:rPr>
              <w:t>UMD</w:t>
            </w:r>
          </w:p>
        </w:tc>
        <w:tc>
          <w:tcPr>
            <w:tcW w:w="6904" w:type="dxa"/>
            <w:shd w:val="clear" w:color="auto" w:fill="FFFFFF" w:themeFill="background1"/>
          </w:tcPr>
          <w:p w14:paraId="52C69C76" w14:textId="77777777" w:rsidR="009427D4" w:rsidRDefault="009427D4" w:rsidP="00C62277">
            <w:pPr>
              <w:shd w:val="clear" w:color="auto" w:fill="FFFFFF" w:themeFill="background1"/>
              <w:spacing w:after="0"/>
              <w:rPr>
                <w:rFonts w:cs="Arial"/>
                <w:szCs w:val="20"/>
              </w:rPr>
            </w:pPr>
            <w:r>
              <w:rPr>
                <w:rFonts w:cs="Arial"/>
                <w:szCs w:val="20"/>
              </w:rPr>
              <w:t>Unpaired mobile downlink</w:t>
            </w:r>
          </w:p>
        </w:tc>
      </w:tr>
      <w:tr w:rsidR="009427D4" w14:paraId="54C6BA87" w14:textId="77777777" w:rsidTr="00D8610E">
        <w:tc>
          <w:tcPr>
            <w:tcW w:w="2163" w:type="dxa"/>
            <w:shd w:val="clear" w:color="auto" w:fill="FFFFFF" w:themeFill="background1"/>
          </w:tcPr>
          <w:p w14:paraId="008335D1" w14:textId="77777777" w:rsidR="009427D4" w:rsidRDefault="009427D4" w:rsidP="00C62277">
            <w:pPr>
              <w:shd w:val="clear" w:color="auto" w:fill="FFFFFF" w:themeFill="background1"/>
              <w:spacing w:after="0"/>
              <w:rPr>
                <w:rFonts w:cs="Arial"/>
                <w:szCs w:val="20"/>
              </w:rPr>
            </w:pPr>
            <w:r>
              <w:rPr>
                <w:rFonts w:cs="Arial"/>
                <w:szCs w:val="20"/>
              </w:rPr>
              <w:t>UWB</w:t>
            </w:r>
          </w:p>
        </w:tc>
        <w:tc>
          <w:tcPr>
            <w:tcW w:w="6904" w:type="dxa"/>
            <w:shd w:val="clear" w:color="auto" w:fill="FFFFFF" w:themeFill="background1"/>
          </w:tcPr>
          <w:p w14:paraId="44B45251" w14:textId="77777777" w:rsidR="009427D4" w:rsidRDefault="009427D4" w:rsidP="00C62277">
            <w:pPr>
              <w:shd w:val="clear" w:color="auto" w:fill="FFFFFF" w:themeFill="background1"/>
              <w:spacing w:after="0"/>
              <w:rPr>
                <w:rFonts w:cs="Arial"/>
                <w:szCs w:val="20"/>
              </w:rPr>
            </w:pPr>
            <w:r>
              <w:rPr>
                <w:rFonts w:cs="Arial"/>
                <w:szCs w:val="20"/>
              </w:rPr>
              <w:t>Ultra-wideband</w:t>
            </w:r>
          </w:p>
        </w:tc>
      </w:tr>
      <w:tr w:rsidR="009427D4" w14:paraId="6E3046BA" w14:textId="77777777" w:rsidTr="00D8610E">
        <w:tc>
          <w:tcPr>
            <w:tcW w:w="2163" w:type="dxa"/>
            <w:shd w:val="clear" w:color="auto" w:fill="FFFFFF" w:themeFill="background1"/>
          </w:tcPr>
          <w:p w14:paraId="66EEAED3" w14:textId="77777777" w:rsidR="009427D4" w:rsidRDefault="009427D4" w:rsidP="00C62277">
            <w:pPr>
              <w:shd w:val="clear" w:color="auto" w:fill="FFFFFF" w:themeFill="background1"/>
              <w:spacing w:after="0"/>
              <w:rPr>
                <w:rFonts w:cs="Arial"/>
                <w:szCs w:val="20"/>
              </w:rPr>
            </w:pPr>
            <w:r>
              <w:rPr>
                <w:rFonts w:cs="Arial"/>
                <w:szCs w:val="20"/>
              </w:rPr>
              <w:t>VHF</w:t>
            </w:r>
          </w:p>
        </w:tc>
        <w:tc>
          <w:tcPr>
            <w:tcW w:w="6904" w:type="dxa"/>
            <w:shd w:val="clear" w:color="auto" w:fill="FFFFFF" w:themeFill="background1"/>
          </w:tcPr>
          <w:p w14:paraId="6DB5B010" w14:textId="77777777" w:rsidR="009427D4" w:rsidRDefault="009427D4" w:rsidP="00C62277">
            <w:pPr>
              <w:shd w:val="clear" w:color="auto" w:fill="FFFFFF" w:themeFill="background1"/>
              <w:spacing w:after="0"/>
              <w:rPr>
                <w:rFonts w:cs="Arial"/>
                <w:szCs w:val="20"/>
              </w:rPr>
            </w:pPr>
            <w:r>
              <w:rPr>
                <w:rFonts w:cs="Arial"/>
                <w:szCs w:val="20"/>
              </w:rPr>
              <w:t>Very high frequency</w:t>
            </w:r>
          </w:p>
        </w:tc>
      </w:tr>
      <w:tr w:rsidR="009427D4" w14:paraId="23176A14" w14:textId="77777777" w:rsidTr="00D8610E">
        <w:tc>
          <w:tcPr>
            <w:tcW w:w="2163" w:type="dxa"/>
            <w:shd w:val="clear" w:color="auto" w:fill="FFFFFF" w:themeFill="background1"/>
          </w:tcPr>
          <w:p w14:paraId="4D164395" w14:textId="77777777" w:rsidR="009427D4" w:rsidRDefault="009427D4" w:rsidP="00C62277">
            <w:pPr>
              <w:shd w:val="clear" w:color="auto" w:fill="FFFFFF" w:themeFill="background1"/>
              <w:spacing w:after="0"/>
              <w:rPr>
                <w:rFonts w:cs="Arial"/>
                <w:szCs w:val="20"/>
              </w:rPr>
            </w:pPr>
            <w:r>
              <w:rPr>
                <w:rFonts w:cs="Arial"/>
                <w:szCs w:val="20"/>
              </w:rPr>
              <w:t xml:space="preserve">WAS </w:t>
            </w:r>
          </w:p>
        </w:tc>
        <w:tc>
          <w:tcPr>
            <w:tcW w:w="6904" w:type="dxa"/>
            <w:shd w:val="clear" w:color="auto" w:fill="FFFFFF" w:themeFill="background1"/>
          </w:tcPr>
          <w:p w14:paraId="6A2B8843" w14:textId="77777777" w:rsidR="009427D4" w:rsidRDefault="009427D4" w:rsidP="00C62277">
            <w:pPr>
              <w:shd w:val="clear" w:color="auto" w:fill="FFFFFF" w:themeFill="background1"/>
              <w:spacing w:after="0"/>
              <w:rPr>
                <w:rFonts w:cs="Arial"/>
                <w:szCs w:val="20"/>
              </w:rPr>
            </w:pPr>
            <w:r>
              <w:rPr>
                <w:rFonts w:cs="Arial"/>
                <w:szCs w:val="20"/>
              </w:rPr>
              <w:t>Wireless access service</w:t>
            </w:r>
          </w:p>
        </w:tc>
      </w:tr>
      <w:tr w:rsidR="009427D4" w14:paraId="4F00A967" w14:textId="77777777" w:rsidTr="00D8610E">
        <w:tc>
          <w:tcPr>
            <w:tcW w:w="2163" w:type="dxa"/>
            <w:shd w:val="clear" w:color="auto" w:fill="FFFFFF" w:themeFill="background1"/>
          </w:tcPr>
          <w:p w14:paraId="544D3EC8" w14:textId="77777777" w:rsidR="009427D4" w:rsidRDefault="009427D4" w:rsidP="00C62277">
            <w:pPr>
              <w:shd w:val="clear" w:color="auto" w:fill="FFFFFF" w:themeFill="background1"/>
              <w:spacing w:after="0"/>
              <w:rPr>
                <w:rFonts w:cs="Arial"/>
                <w:szCs w:val="20"/>
              </w:rPr>
            </w:pPr>
            <w:r>
              <w:rPr>
                <w:rFonts w:cs="Arial"/>
                <w:szCs w:val="20"/>
              </w:rPr>
              <w:t>WiMAX</w:t>
            </w:r>
          </w:p>
        </w:tc>
        <w:tc>
          <w:tcPr>
            <w:tcW w:w="6904" w:type="dxa"/>
            <w:shd w:val="clear" w:color="auto" w:fill="FFFFFF" w:themeFill="background1"/>
          </w:tcPr>
          <w:p w14:paraId="326E5D5E" w14:textId="77777777" w:rsidR="009427D4" w:rsidRDefault="009427D4" w:rsidP="00C62277">
            <w:pPr>
              <w:shd w:val="clear" w:color="auto" w:fill="FFFFFF" w:themeFill="background1"/>
              <w:spacing w:after="0"/>
              <w:rPr>
                <w:rFonts w:cs="Arial"/>
                <w:szCs w:val="20"/>
              </w:rPr>
            </w:pPr>
            <w:r>
              <w:rPr>
                <w:rStyle w:val="tgc"/>
                <w:rFonts w:cs="Arial"/>
                <w:color w:val="222222"/>
              </w:rPr>
              <w:t>Worldwide Interoperability for Microwave Access</w:t>
            </w:r>
          </w:p>
        </w:tc>
      </w:tr>
      <w:tr w:rsidR="009427D4" w14:paraId="183C565E" w14:textId="77777777" w:rsidTr="00D8610E">
        <w:tc>
          <w:tcPr>
            <w:tcW w:w="2163" w:type="dxa"/>
            <w:shd w:val="clear" w:color="auto" w:fill="FFFFFF" w:themeFill="background1"/>
          </w:tcPr>
          <w:p w14:paraId="676FAE7B" w14:textId="77777777" w:rsidR="009427D4" w:rsidRDefault="009427D4" w:rsidP="00C62277">
            <w:pPr>
              <w:shd w:val="clear" w:color="auto" w:fill="FFFFFF" w:themeFill="background1"/>
              <w:spacing w:after="0"/>
              <w:rPr>
                <w:rFonts w:cs="Arial"/>
                <w:szCs w:val="20"/>
              </w:rPr>
            </w:pPr>
            <w:r>
              <w:rPr>
                <w:rFonts w:cs="Arial"/>
                <w:szCs w:val="20"/>
              </w:rPr>
              <w:t>WRC</w:t>
            </w:r>
          </w:p>
        </w:tc>
        <w:tc>
          <w:tcPr>
            <w:tcW w:w="6904" w:type="dxa"/>
            <w:shd w:val="clear" w:color="auto" w:fill="FFFFFF" w:themeFill="background1"/>
          </w:tcPr>
          <w:p w14:paraId="42858B43" w14:textId="77777777" w:rsidR="009427D4" w:rsidRDefault="009427D4" w:rsidP="00C62277">
            <w:pPr>
              <w:shd w:val="clear" w:color="auto" w:fill="FFFFFF" w:themeFill="background1"/>
              <w:spacing w:after="0"/>
              <w:rPr>
                <w:rFonts w:cs="Arial"/>
                <w:szCs w:val="20"/>
              </w:rPr>
            </w:pPr>
            <w:r>
              <w:rPr>
                <w:rFonts w:cs="Arial"/>
                <w:szCs w:val="20"/>
              </w:rPr>
              <w:t>World Radiocommunication Conference</w:t>
            </w:r>
          </w:p>
        </w:tc>
      </w:tr>
    </w:tbl>
    <w:p w14:paraId="1FAB9C60" w14:textId="64386953" w:rsidR="009427D4" w:rsidRDefault="009427D4" w:rsidP="009427D4">
      <w:pPr>
        <w:pStyle w:val="ACMASpaceaftertable"/>
      </w:pPr>
    </w:p>
    <w:sectPr w:rsidR="009427D4" w:rsidSect="0039046B">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F1CA7D" w14:textId="77777777" w:rsidR="00F47AE8" w:rsidRDefault="00F47AE8">
      <w:r>
        <w:separator/>
      </w:r>
    </w:p>
  </w:endnote>
  <w:endnote w:type="continuationSeparator" w:id="0">
    <w:p w14:paraId="00C38B9D" w14:textId="77777777" w:rsidR="00F47AE8" w:rsidRDefault="00F47A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HelveticaNeueW01-45Ligh">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0701BA" w14:textId="77777777" w:rsidR="00F47AE8" w:rsidRDefault="00F47A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41C9E1" w14:textId="77777777" w:rsidR="00F47AE8" w:rsidRPr="00A5474E" w:rsidRDefault="00F47AE8" w:rsidP="00A5474E">
    <w:pPr>
      <w:pStyle w:val="Footer"/>
    </w:pPr>
    <w:r>
      <w:rPr>
        <w:noProof/>
      </w:rPr>
      <w:drawing>
        <wp:inline distT="0" distB="0" distL="0" distR="0" wp14:anchorId="7EAB9826" wp14:editId="17F8E00B">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97ABF3" w14:textId="77777777" w:rsidR="00F47AE8" w:rsidRDefault="00F47AE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74FEAD" w14:textId="77777777" w:rsidR="00F47AE8" w:rsidRDefault="00F47AE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E03AAC" w14:textId="77777777" w:rsidR="00F47AE8" w:rsidRDefault="00F47AE8">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83C77" w14:textId="77777777" w:rsidR="00F47AE8" w:rsidRPr="00622A3B" w:rsidRDefault="00F47AE8"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A31CF">
      <w:rPr>
        <w:noProof/>
        <w:color w:val="505050"/>
      </w:rPr>
      <w:t>iv</w:t>
    </w:r>
    <w:r w:rsidRPr="002E4DDC">
      <w:rPr>
        <w:color w:val="505050"/>
      </w:rPr>
      <w:fldChar w:fldCharType="end"/>
    </w:r>
  </w:p>
  <w:p w14:paraId="29744B44" w14:textId="77777777" w:rsidR="00F47AE8" w:rsidRPr="00A5474E" w:rsidRDefault="00F47AE8"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791C4" w14:textId="77777777" w:rsidR="00F47AE8" w:rsidRPr="00622A3B" w:rsidRDefault="00F47AE8"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7A31CF">
      <w:rPr>
        <w:noProof/>
        <w:color w:val="505050"/>
      </w:rPr>
      <w:t>iii</w:t>
    </w:r>
    <w:r w:rsidRPr="002E4DDC">
      <w:rPr>
        <w:color w:val="505050"/>
      </w:rPr>
      <w:fldChar w:fldCharType="end"/>
    </w:r>
  </w:p>
  <w:p w14:paraId="353FD1AA" w14:textId="77777777" w:rsidR="00F47AE8" w:rsidRPr="00A5474E" w:rsidRDefault="00F47AE8"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AC841" w14:textId="77777777" w:rsidR="00F47AE8" w:rsidRPr="00622A3B" w:rsidRDefault="00F47AE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vi</w:t>
    </w:r>
    <w:r w:rsidRPr="002E4DDC">
      <w:rPr>
        <w:color w:val="505050"/>
      </w:rPr>
      <w:fldChar w:fldCharType="end"/>
    </w:r>
  </w:p>
  <w:p w14:paraId="6A211ABC" w14:textId="77777777" w:rsidR="00F47AE8" w:rsidRPr="00A5474E" w:rsidRDefault="00F47AE8"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1E81B" w14:textId="77777777" w:rsidR="00F47AE8" w:rsidRPr="00622A3B" w:rsidRDefault="00F47AE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7A31CF">
      <w:rPr>
        <w:noProof/>
      </w:rPr>
      <w:t>82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F81F8E7" w14:textId="77777777" w:rsidR="00F47AE8" w:rsidRPr="00A5474E" w:rsidRDefault="00F47AE8"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4BF2F" w14:textId="77777777" w:rsidR="00F47AE8" w:rsidRPr="00622A3B" w:rsidRDefault="00F47AE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7A31CF">
      <w:rPr>
        <w:noProof/>
        <w:color w:val="505050"/>
      </w:rPr>
      <w:t>77</w:t>
    </w:r>
    <w:r w:rsidRPr="00575AC5">
      <w:rPr>
        <w:color w:val="505050"/>
      </w:rPr>
      <w:fldChar w:fldCharType="end"/>
    </w:r>
  </w:p>
  <w:p w14:paraId="2D574119" w14:textId="77777777" w:rsidR="00F47AE8" w:rsidRPr="00A5474E" w:rsidRDefault="00F47AE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6A04A8" w14:textId="77777777" w:rsidR="00F47AE8" w:rsidRDefault="00F47AE8">
      <w:r>
        <w:separator/>
      </w:r>
    </w:p>
  </w:footnote>
  <w:footnote w:type="continuationSeparator" w:id="0">
    <w:p w14:paraId="2A8FD72A" w14:textId="77777777" w:rsidR="00F47AE8" w:rsidRDefault="00F47AE8">
      <w:r>
        <w:continuationSeparator/>
      </w:r>
    </w:p>
  </w:footnote>
  <w:footnote w:id="1">
    <w:p w14:paraId="41B7D1C0" w14:textId="77777777" w:rsidR="00F47AE8" w:rsidRDefault="00F47AE8" w:rsidP="00451524">
      <w:pPr>
        <w:pStyle w:val="FootnoteText"/>
        <w:spacing w:after="0"/>
      </w:pPr>
      <w:r>
        <w:rPr>
          <w:rStyle w:val="FootnoteReference"/>
        </w:rPr>
        <w:footnoteRef/>
      </w:r>
      <w:r>
        <w:t xml:space="preserve"> Government uses includes defence, emergency and public safety services, and scientific purposes.</w:t>
      </w:r>
    </w:p>
  </w:footnote>
  <w:footnote w:id="2">
    <w:p w14:paraId="43F67EBA" w14:textId="77777777" w:rsidR="00F47AE8" w:rsidRDefault="00F47AE8" w:rsidP="00451524">
      <w:pPr>
        <w:pStyle w:val="FootnoteText"/>
        <w:spacing w:after="0"/>
      </w:pPr>
      <w:r>
        <w:rPr>
          <w:rStyle w:val="FootnoteReference"/>
        </w:rPr>
        <w:footnoteRef/>
      </w:r>
      <w:r>
        <w:t xml:space="preserve"> The object of the </w:t>
      </w:r>
      <w:r w:rsidRPr="0039046B">
        <w:rPr>
          <w:iCs/>
        </w:rPr>
        <w:t>Act</w:t>
      </w:r>
      <w:r>
        <w:rPr>
          <w:i/>
          <w:iCs/>
        </w:rPr>
        <w:t xml:space="preserve"> </w:t>
      </w:r>
      <w:r>
        <w:t>is to provide for management of the radiofrequency spectrum, to achieve the goals set out in paragraphs 3(a) to 3(h).</w:t>
      </w:r>
    </w:p>
  </w:footnote>
  <w:footnote w:id="3">
    <w:p w14:paraId="62688673" w14:textId="77777777" w:rsidR="00F47AE8" w:rsidRDefault="00F47AE8" w:rsidP="00451524">
      <w:pPr>
        <w:pStyle w:val="FootnoteText"/>
        <w:spacing w:after="0"/>
      </w:pPr>
      <w:r>
        <w:rPr>
          <w:rStyle w:val="FootnoteReference"/>
        </w:rPr>
        <w:footnoteRef/>
      </w:r>
      <w:r>
        <w:t xml:space="preserve">The OBPR, </w:t>
      </w:r>
      <w:hyperlink r:id="rId1" w:history="1">
        <w:r>
          <w:rPr>
            <w:rStyle w:val="Hyperlink"/>
          </w:rPr>
          <w:t>The Australian Government Guide to Regulation</w:t>
        </w:r>
      </w:hyperlink>
      <w:r>
        <w:t>, p. 48, viewed 1 May 2015.</w:t>
      </w:r>
    </w:p>
  </w:footnote>
  <w:footnote w:id="4">
    <w:p w14:paraId="5EFAE4A8" w14:textId="77777777" w:rsidR="00F47AE8" w:rsidRDefault="00F47AE8" w:rsidP="004D0DEA">
      <w:pPr>
        <w:pStyle w:val="FootnoteText"/>
        <w:spacing w:after="0"/>
      </w:pPr>
      <w:r>
        <w:rPr>
          <w:rStyle w:val="FootnoteReference"/>
        </w:rPr>
        <w:footnoteRef/>
      </w:r>
      <w:r>
        <w:t xml:space="preserve"> </w:t>
      </w:r>
      <w:hyperlink r:id="rId2" w:history="1">
        <w:r>
          <w:rPr>
            <w:rStyle w:val="Hyperlink"/>
          </w:rPr>
          <w:t>www.acma.gov.au/theACMA/About/The-ACMA-story/Facilitating/decisionmaking-process-fyso-25-1</w:t>
        </w:r>
      </w:hyperlink>
      <w:r>
        <w:t xml:space="preserve"> </w:t>
      </w:r>
    </w:p>
  </w:footnote>
  <w:footnote w:id="5">
    <w:p w14:paraId="5A22FD09" w14:textId="77777777" w:rsidR="00F47AE8" w:rsidRDefault="00F47AE8" w:rsidP="007B5FA9">
      <w:pPr>
        <w:spacing w:after="0" w:line="200" w:lineRule="atLeast"/>
      </w:pPr>
      <w:r>
        <w:rPr>
          <w:rStyle w:val="FootnoteReference"/>
        </w:rPr>
        <w:footnoteRef/>
      </w:r>
      <w:r>
        <w:t xml:space="preserve"> </w:t>
      </w:r>
      <w:r w:rsidRPr="00E814BC">
        <w:rPr>
          <w:sz w:val="16"/>
        </w:rPr>
        <w:t>The area-wide special licence condition specifies the geographical area in which the licensee is permitted to operate. This may include a city, state, the whole of Australia or another area. It is a condition of these licences that the licensee</w:t>
      </w:r>
      <w:r>
        <w:rPr>
          <w:sz w:val="16"/>
        </w:rPr>
        <w:t>—</w:t>
      </w:r>
      <w:r w:rsidRPr="00E814BC">
        <w:rPr>
          <w:sz w:val="16"/>
        </w:rPr>
        <w:t>and third-party users operating under the licence</w:t>
      </w:r>
      <w:r>
        <w:rPr>
          <w:sz w:val="16"/>
        </w:rPr>
        <w:t>—</w:t>
      </w:r>
      <w:r w:rsidRPr="00E814BC">
        <w:rPr>
          <w:sz w:val="16"/>
        </w:rPr>
        <w:t>must not cause interference to other users, nor will they be protected if another service interferes with them. The licensees must ensure that authorised third-part users do not cause interference to fixed licence services.</w:t>
      </w:r>
    </w:p>
  </w:footnote>
  <w:footnote w:id="6">
    <w:p w14:paraId="75EF9D4F" w14:textId="6264D900" w:rsidR="00F47AE8" w:rsidRDefault="00F47AE8" w:rsidP="000E200B">
      <w:pPr>
        <w:pStyle w:val="FootnoteText"/>
        <w:spacing w:after="0"/>
      </w:pPr>
      <w:r>
        <w:rPr>
          <w:rStyle w:val="FootnoteReference"/>
        </w:rPr>
        <w:footnoteRef/>
      </w:r>
      <w:r>
        <w:t xml:space="preserve"> </w:t>
      </w:r>
      <w:r>
        <w:rPr>
          <w:rFonts w:cs="Arial"/>
        </w:rPr>
        <w:t>Recommendation ITU-T Y.2060—</w:t>
      </w:r>
      <w:hyperlink r:id="rId3" w:history="1">
        <w:r w:rsidRPr="000E200B">
          <w:rPr>
            <w:rStyle w:val="Hyperlink"/>
            <w:rFonts w:cs="Arial"/>
          </w:rPr>
          <w:t>Overview of the Internet of things</w:t>
        </w:r>
      </w:hyperlink>
      <w:r w:rsidRPr="00E814BC">
        <w:t>.</w:t>
      </w:r>
    </w:p>
  </w:footnote>
  <w:footnote w:id="7">
    <w:p w14:paraId="6B96A71B" w14:textId="77777777" w:rsidR="00F47AE8" w:rsidRDefault="00F47AE8" w:rsidP="00451524">
      <w:pPr>
        <w:pStyle w:val="FootnoteText"/>
        <w:spacing w:after="0"/>
      </w:pPr>
      <w:r>
        <w:rPr>
          <w:rStyle w:val="FootnoteReference"/>
        </w:rPr>
        <w:footnoteRef/>
      </w:r>
      <w:r>
        <w:t xml:space="preserve"> WRC-19 Agenda items </w:t>
      </w:r>
      <w:hyperlink r:id="rId4" w:history="1">
        <w:r w:rsidRPr="00D76CB2">
          <w:rPr>
            <w:rStyle w:val="Hyperlink"/>
          </w:rPr>
          <w:t>www.acma.gov.au/Industry/Spectrum/Spectrum-planning/International-planning-ITU-and-other-international-planning-bodies/preparatory-group-wrc-19</w:t>
        </w:r>
      </w:hyperlink>
      <w:r>
        <w:t>.</w:t>
      </w:r>
    </w:p>
  </w:footnote>
  <w:footnote w:id="8">
    <w:p w14:paraId="0D95966C" w14:textId="77777777" w:rsidR="00F47AE8" w:rsidRDefault="00F47AE8" w:rsidP="00451524">
      <w:pPr>
        <w:pStyle w:val="FootnoteText"/>
        <w:spacing w:after="0"/>
      </w:pPr>
      <w:r>
        <w:rPr>
          <w:rStyle w:val="FootnoteReference"/>
        </w:rPr>
        <w:footnoteRef/>
      </w:r>
      <w:r>
        <w:t xml:space="preserve"> GSMA Intelligence, </w:t>
      </w:r>
      <w:hyperlink r:id="rId5" w:history="1">
        <w:r w:rsidRPr="009C18A7">
          <w:rPr>
            <w:rStyle w:val="Hyperlink"/>
          </w:rPr>
          <w:t>Understanding 5G: perspectives on future technological advancements in mobile</w:t>
        </w:r>
      </w:hyperlink>
      <w:r>
        <w:t>, December 2014, p. 6.</w:t>
      </w:r>
    </w:p>
  </w:footnote>
  <w:footnote w:id="9">
    <w:p w14:paraId="3EB85805" w14:textId="77777777" w:rsidR="00F47AE8" w:rsidRDefault="00F47AE8" w:rsidP="00451524">
      <w:pPr>
        <w:pStyle w:val="FootnoteText"/>
        <w:spacing w:after="0"/>
      </w:pPr>
      <w:r>
        <w:rPr>
          <w:rStyle w:val="FootnoteReference"/>
        </w:rPr>
        <w:footnoteRef/>
      </w:r>
      <w:r>
        <w:t xml:space="preserve"> ACMA, </w:t>
      </w:r>
      <w:hyperlink r:id="rId6" w:history="1">
        <w:r w:rsidRPr="001C5366">
          <w:rPr>
            <w:rStyle w:val="Hyperlink"/>
            <w:i/>
          </w:rPr>
          <w:t>The Internet of things and the ACMA’s areas of focus—Emerging issues in media and communications</w:t>
        </w:r>
        <w:r w:rsidRPr="007F3EE2">
          <w:rPr>
            <w:rStyle w:val="Hyperlink"/>
          </w:rPr>
          <w:t>, Occasional paper</w:t>
        </w:r>
      </w:hyperlink>
      <w:r>
        <w:t xml:space="preserve">, November 2015, </w:t>
      </w:r>
      <w:r w:rsidRPr="007F3EE2">
        <w:t>p</w:t>
      </w:r>
      <w:r>
        <w:t>.</w:t>
      </w:r>
      <w:r w:rsidRPr="007F3EE2">
        <w:t xml:space="preserve"> 9</w:t>
      </w:r>
      <w:r>
        <w:t>.</w:t>
      </w:r>
    </w:p>
  </w:footnote>
  <w:footnote w:id="10">
    <w:p w14:paraId="411586CB" w14:textId="77777777" w:rsidR="00F47AE8" w:rsidRDefault="00F47AE8" w:rsidP="00451524">
      <w:pPr>
        <w:pStyle w:val="FootnoteText"/>
        <w:spacing w:after="0"/>
      </w:pPr>
      <w:r>
        <w:rPr>
          <w:rStyle w:val="FootnoteReference"/>
        </w:rPr>
        <w:footnoteRef/>
      </w:r>
      <w:r>
        <w:t xml:space="preserve"> </w:t>
      </w:r>
      <w:r w:rsidRPr="00916859">
        <w:t xml:space="preserve">Strictly speaking, </w:t>
      </w:r>
      <w:r>
        <w:t xml:space="preserve">millimetre waves (or </w:t>
      </w:r>
      <w:r w:rsidRPr="00916859">
        <w:t>mmWs</w:t>
      </w:r>
      <w:r>
        <w:t>)</w:t>
      </w:r>
      <w:r w:rsidRPr="00916859">
        <w:t xml:space="preserve"> span 30 to 300 GHz (i.e. a wavelength of 1 cm to 1</w:t>
      </w:r>
      <w:r>
        <w:t> </w:t>
      </w:r>
      <w:r w:rsidRPr="00916859">
        <w:t>mm), however in the current 5G context</w:t>
      </w:r>
      <w:r>
        <w:t>,</w:t>
      </w:r>
      <w:r w:rsidRPr="00916859">
        <w:t xml:space="preserve"> mmW bands in consideration span from around 24 GHz up to 86 GHz.</w:t>
      </w:r>
    </w:p>
  </w:footnote>
  <w:footnote w:id="11">
    <w:p w14:paraId="71E0DE74" w14:textId="77777777" w:rsidR="00F47AE8" w:rsidRPr="00AA741B" w:rsidRDefault="00F47AE8" w:rsidP="00451524">
      <w:pPr>
        <w:pStyle w:val="FootnoteText"/>
        <w:spacing w:after="0"/>
        <w:rPr>
          <w:sz w:val="20"/>
          <w:szCs w:val="20"/>
        </w:rPr>
      </w:pPr>
      <w:r w:rsidRPr="00AA741B">
        <w:rPr>
          <w:rStyle w:val="FootnoteReference"/>
          <w:sz w:val="20"/>
          <w:szCs w:val="20"/>
        </w:rPr>
        <w:footnoteRef/>
      </w:r>
      <w:r w:rsidRPr="00AA741B">
        <w:rPr>
          <w:sz w:val="20"/>
          <w:szCs w:val="20"/>
        </w:rPr>
        <w:t xml:space="preserve"> </w:t>
      </w:r>
      <w:hyperlink r:id="rId7" w:history="1">
        <w:r>
          <w:rPr>
            <w:rStyle w:val="Hyperlink"/>
            <w:rFonts w:eastAsiaTheme="majorEastAsia"/>
          </w:rPr>
          <w:t>www.3gpp.org/images/presentations/optimised_poster.pdf</w:t>
        </w:r>
      </w:hyperlink>
      <w:r w:rsidRPr="00AA741B">
        <w:rPr>
          <w:sz w:val="20"/>
          <w:szCs w:val="20"/>
        </w:rPr>
        <w:t xml:space="preserve"> </w:t>
      </w:r>
    </w:p>
  </w:footnote>
  <w:footnote w:id="12">
    <w:p w14:paraId="5AC2F7A2" w14:textId="77777777" w:rsidR="00F47AE8" w:rsidRPr="00AA741B" w:rsidRDefault="00F47AE8" w:rsidP="00451524">
      <w:pPr>
        <w:pStyle w:val="FootnoteText"/>
        <w:spacing w:after="0"/>
      </w:pPr>
      <w:r w:rsidRPr="00AA741B">
        <w:rPr>
          <w:rStyle w:val="FootnoteReference"/>
          <w:sz w:val="20"/>
          <w:szCs w:val="20"/>
        </w:rPr>
        <w:footnoteRef/>
      </w:r>
      <w:r w:rsidRPr="00AA741B">
        <w:rPr>
          <w:sz w:val="20"/>
          <w:szCs w:val="20"/>
        </w:rPr>
        <w:t xml:space="preserve"> </w:t>
      </w:r>
      <w:hyperlink r:id="rId8" w:history="1">
        <w:r w:rsidRPr="00916859">
          <w:rPr>
            <w:rStyle w:val="Hyperlink"/>
            <w:rFonts w:eastAsiaTheme="majorEastAsia"/>
          </w:rPr>
          <w:t>http://exchange.telstra.com.au/2016/02/22/five-world-class-mobile-technologies-coming-your-way/</w:t>
        </w:r>
      </w:hyperlink>
      <w:r>
        <w:rPr>
          <w:sz w:val="20"/>
          <w:szCs w:val="20"/>
        </w:rPr>
        <w:t xml:space="preserve"> </w:t>
      </w:r>
    </w:p>
  </w:footnote>
  <w:footnote w:id="13">
    <w:p w14:paraId="04A2E67C" w14:textId="77777777" w:rsidR="00F47AE8" w:rsidRDefault="00F47AE8" w:rsidP="00451524">
      <w:pPr>
        <w:pStyle w:val="FootnoteText"/>
        <w:spacing w:after="0"/>
      </w:pPr>
      <w:r>
        <w:rPr>
          <w:rStyle w:val="FootnoteReference"/>
        </w:rPr>
        <w:footnoteRef/>
      </w:r>
      <w:r>
        <w:t xml:space="preserve"> </w:t>
      </w:r>
      <w:hyperlink r:id="rId9" w:history="1">
        <w:r>
          <w:rPr>
            <w:rStyle w:val="Hyperlink"/>
          </w:rPr>
          <w:t>https://circabc.europa.eu/d/a/workspace/SpacesStore/1a40dd19-c8a8-4ed0-bc9c-6cc5a7755f7d/RSPG16-031Final_Opinion_5G_for_public_consultation.pdf</w:t>
        </w:r>
      </w:hyperlink>
    </w:p>
  </w:footnote>
  <w:footnote w:id="14">
    <w:p w14:paraId="7870D459" w14:textId="77777777" w:rsidR="00F47AE8" w:rsidRDefault="00F47AE8" w:rsidP="00451524">
      <w:pPr>
        <w:pStyle w:val="FootnoteText"/>
        <w:spacing w:after="0"/>
      </w:pPr>
      <w:r>
        <w:rPr>
          <w:rStyle w:val="FootnoteReference"/>
        </w:rPr>
        <w:footnoteRef/>
      </w:r>
      <w:r>
        <w:t xml:space="preserve"> </w:t>
      </w:r>
      <w:hyperlink r:id="rId10" w:history="1">
        <w:r w:rsidRPr="00E96C75">
          <w:rPr>
            <w:rStyle w:val="Hyperlink"/>
          </w:rPr>
          <w:t>Spectrum Challenges for 5G</w:t>
        </w:r>
      </w:hyperlink>
      <w:r>
        <w:t xml:space="preserve">, Eric Fournier, Chairman, Electronic Communications Committee. </w:t>
      </w:r>
    </w:p>
  </w:footnote>
  <w:footnote w:id="15">
    <w:p w14:paraId="1B8F481B" w14:textId="77777777" w:rsidR="00F47AE8" w:rsidRDefault="00F47AE8" w:rsidP="00451524">
      <w:pPr>
        <w:pStyle w:val="FootnoteText"/>
        <w:spacing w:after="0"/>
      </w:pPr>
      <w:r>
        <w:rPr>
          <w:rStyle w:val="FootnoteReference"/>
        </w:rPr>
        <w:footnoteRef/>
      </w:r>
      <w:r>
        <w:t xml:space="preserve"> </w:t>
      </w:r>
      <w:hyperlink r:id="rId11" w:history="1">
        <w:r w:rsidRPr="00E96C75">
          <w:rPr>
            <w:rStyle w:val="Hyperlink"/>
          </w:rPr>
          <w:t>Paving the Road to 5G</w:t>
        </w:r>
      </w:hyperlink>
      <w:r>
        <w:t xml:space="preserve">, Sprint news release, 3 June, 2016. </w:t>
      </w:r>
    </w:p>
  </w:footnote>
  <w:footnote w:id="16">
    <w:p w14:paraId="62CDEB54" w14:textId="77777777" w:rsidR="00F47AE8" w:rsidRDefault="00F47AE8" w:rsidP="004D0DEA">
      <w:pPr>
        <w:pStyle w:val="FootnoteText"/>
        <w:spacing w:after="0"/>
      </w:pPr>
      <w:r>
        <w:rPr>
          <w:rStyle w:val="FootnoteReference"/>
        </w:rPr>
        <w:footnoteRef/>
      </w:r>
      <w:r>
        <w:t xml:space="preserve"> In this context, a secondary user is a user that has lower priority compared to a primary user under a DSA arrangement (i.e. it is not primary and secondary as defined in ITU Radio Regulations Article 5). </w:t>
      </w:r>
    </w:p>
  </w:footnote>
  <w:footnote w:id="17">
    <w:p w14:paraId="10C9E636" w14:textId="77777777" w:rsidR="00F47AE8" w:rsidRDefault="00F47AE8" w:rsidP="004D0DEA">
      <w:pPr>
        <w:pStyle w:val="FootnoteText"/>
        <w:spacing w:after="0"/>
      </w:pPr>
      <w:r>
        <w:rPr>
          <w:rStyle w:val="FootnoteReference"/>
        </w:rPr>
        <w:footnoteRef/>
      </w:r>
      <w:r>
        <w:t xml:space="preserve"> </w:t>
      </w:r>
      <w:hyperlink r:id="rId12" w:anchor="sp47.1.15.h" w:history="1">
        <w:r>
          <w:rPr>
            <w:rStyle w:val="Hyperlink"/>
            <w:rFonts w:eastAsiaTheme="minorHAnsi"/>
          </w:rPr>
          <w:t>www.ecfr.gov/cgi-bin/text-idx?SID=64bfd1445831a34d710caca4028c2cd6&amp;mc=true&amp;node=pt47.1.15&amp;rgn=div5#sp47.1.15.h</w:t>
        </w:r>
      </w:hyperlink>
    </w:p>
  </w:footnote>
  <w:footnote w:id="18">
    <w:p w14:paraId="2C91604A" w14:textId="77777777" w:rsidR="00F47AE8" w:rsidRDefault="00F47AE8" w:rsidP="004D0DEA">
      <w:pPr>
        <w:pStyle w:val="FootnoteText"/>
        <w:spacing w:after="0"/>
      </w:pPr>
      <w:r>
        <w:rPr>
          <w:rStyle w:val="FootnoteReference"/>
        </w:rPr>
        <w:footnoteRef/>
      </w:r>
      <w:r>
        <w:t xml:space="preserve"> </w:t>
      </w:r>
      <w:hyperlink r:id="rId13" w:history="1">
        <w:r w:rsidRPr="00AB2012">
          <w:rPr>
            <w:rStyle w:val="Hyperlink"/>
            <w:rFonts w:eastAsiaTheme="minorHAnsi"/>
          </w:rPr>
          <w:t>http://stakeholders.ofcom.org.uk/consultations/white-space-coexistence/statement</w:t>
        </w:r>
      </w:hyperlink>
    </w:p>
  </w:footnote>
  <w:footnote w:id="19">
    <w:p w14:paraId="6027B2F9" w14:textId="77777777" w:rsidR="00F47AE8" w:rsidRDefault="00F47AE8" w:rsidP="004D0DEA">
      <w:pPr>
        <w:pStyle w:val="FootnoteText"/>
        <w:spacing w:after="0"/>
      </w:pPr>
      <w:r>
        <w:rPr>
          <w:rStyle w:val="FootnoteReference"/>
        </w:rPr>
        <w:footnoteRef/>
      </w:r>
      <w:r>
        <w:t xml:space="preserve"> </w:t>
      </w:r>
      <w:hyperlink r:id="rId14" w:history="1">
        <w:r w:rsidRPr="007C2AB6">
          <w:rPr>
            <w:rStyle w:val="Hyperlink"/>
            <w:rFonts w:eastAsiaTheme="minorHAnsi"/>
          </w:rPr>
          <w:t>http://stakeholders.ofcom.org.uk/consultations/manually-configurable-wsds/</w:t>
        </w:r>
      </w:hyperlink>
    </w:p>
  </w:footnote>
  <w:footnote w:id="20">
    <w:p w14:paraId="6E09EE38" w14:textId="77777777" w:rsidR="00F47AE8" w:rsidRPr="004E5D2A" w:rsidRDefault="00F47AE8" w:rsidP="004D0DEA">
      <w:pPr>
        <w:pStyle w:val="FootnoteText"/>
        <w:spacing w:after="0"/>
      </w:pPr>
      <w:r>
        <w:rPr>
          <w:rStyle w:val="FootnoteReference"/>
        </w:rPr>
        <w:footnoteRef/>
      </w:r>
      <w:r>
        <w:t xml:space="preserve"> LSA and </w:t>
      </w:r>
      <w:r w:rsidRPr="00211492">
        <w:t xml:space="preserve">ASA are concepts that allow spectrum that has been licensed </w:t>
      </w:r>
      <w:r>
        <w:t>to another user</w:t>
      </w:r>
      <w:r w:rsidRPr="00211492">
        <w:t xml:space="preserve"> to be used by more than one entity</w:t>
      </w:r>
      <w:r w:rsidRPr="004E5D2A">
        <w:t xml:space="preserve"> in areas or at times when it is not being used by the incumbent or primary user</w:t>
      </w:r>
      <w:r w:rsidRPr="00211492">
        <w:t>.</w:t>
      </w:r>
    </w:p>
  </w:footnote>
  <w:footnote w:id="21">
    <w:p w14:paraId="0E04CC8A" w14:textId="77777777" w:rsidR="00F47AE8" w:rsidRDefault="00F47AE8" w:rsidP="004D0DEA">
      <w:pPr>
        <w:pStyle w:val="FootnoteText"/>
        <w:spacing w:after="0"/>
      </w:pPr>
      <w:r>
        <w:rPr>
          <w:rStyle w:val="FootnoteReference"/>
        </w:rPr>
        <w:footnoteRef/>
      </w:r>
      <w:r>
        <w:t xml:space="preserve"> </w:t>
      </w:r>
      <w:hyperlink r:id="rId15" w:history="1">
        <w:r>
          <w:rPr>
            <w:rStyle w:val="Hyperlink"/>
            <w:rFonts w:eastAsiaTheme="minorHAnsi"/>
          </w:rPr>
          <w:t>www.erodocdb.dk/Docs/doc98/official/pdf/ECCREP205.PDF</w:t>
        </w:r>
      </w:hyperlink>
    </w:p>
  </w:footnote>
  <w:footnote w:id="22">
    <w:p w14:paraId="692776B7" w14:textId="77777777" w:rsidR="00F47AE8" w:rsidRDefault="00F47AE8" w:rsidP="004D0DEA">
      <w:pPr>
        <w:pStyle w:val="FootnoteText"/>
        <w:spacing w:after="0"/>
      </w:pPr>
      <w:r>
        <w:rPr>
          <w:rStyle w:val="FootnoteReference"/>
        </w:rPr>
        <w:footnoteRef/>
      </w:r>
      <w:r>
        <w:t xml:space="preserve"> Information on LSA implementation and developments in European countries is available at </w:t>
      </w:r>
      <w:hyperlink r:id="rId16" w:history="1">
        <w:r>
          <w:rPr>
            <w:rStyle w:val="Hyperlink"/>
          </w:rPr>
          <w:t>www.cept.org/ecc/topics/lsa-implementation/</w:t>
        </w:r>
      </w:hyperlink>
      <w:r>
        <w:t>.</w:t>
      </w:r>
    </w:p>
  </w:footnote>
  <w:footnote w:id="23">
    <w:p w14:paraId="2A02273E" w14:textId="77777777" w:rsidR="00F47AE8" w:rsidRDefault="00F47AE8" w:rsidP="004D0DEA">
      <w:pPr>
        <w:pStyle w:val="FootnoteText"/>
        <w:spacing w:after="0"/>
      </w:pPr>
      <w:r>
        <w:rPr>
          <w:rStyle w:val="FootnoteReference"/>
        </w:rPr>
        <w:footnoteRef/>
      </w:r>
      <w:r>
        <w:t xml:space="preserve"> </w:t>
      </w:r>
      <w:hyperlink r:id="rId17" w:history="1">
        <w:r>
          <w:rPr>
            <w:rStyle w:val="Hyperlink"/>
            <w:rFonts w:eastAsiaTheme="minorHAnsi"/>
          </w:rPr>
          <w:t>www.3gpp.org/news-events/3gpp-news/1628-rel13</w:t>
        </w:r>
      </w:hyperlink>
    </w:p>
  </w:footnote>
  <w:footnote w:id="24">
    <w:p w14:paraId="2FA84A6B" w14:textId="77777777" w:rsidR="00F47AE8" w:rsidRDefault="00F47AE8" w:rsidP="004D0DEA">
      <w:pPr>
        <w:pStyle w:val="FootnoteText"/>
        <w:spacing w:after="0"/>
      </w:pPr>
      <w:r>
        <w:rPr>
          <w:rStyle w:val="FootnoteReference"/>
        </w:rPr>
        <w:footnoteRef/>
      </w:r>
      <w:r>
        <w:t xml:space="preserve"> </w:t>
      </w:r>
      <w:hyperlink r:id="rId18" w:history="1">
        <w:r>
          <w:rPr>
            <w:rStyle w:val="Hyperlink"/>
            <w:rFonts w:eastAsiaTheme="minorHAnsi"/>
          </w:rPr>
          <w:t>www.fcc.gov/rulemaking/12-354</w:t>
        </w:r>
      </w:hyperlink>
    </w:p>
  </w:footnote>
  <w:footnote w:id="25">
    <w:p w14:paraId="663BBCFE" w14:textId="77777777" w:rsidR="00F47AE8" w:rsidRDefault="00F47AE8" w:rsidP="004D0DEA">
      <w:pPr>
        <w:pStyle w:val="FootnoteText"/>
        <w:spacing w:after="0"/>
      </w:pPr>
      <w:r>
        <w:rPr>
          <w:rStyle w:val="FootnoteReference"/>
        </w:rPr>
        <w:footnoteRef/>
      </w:r>
      <w:r>
        <w:t xml:space="preserve"> </w:t>
      </w:r>
      <w:hyperlink r:id="rId19" w:history="1">
        <w:r w:rsidRPr="00174AA2">
          <w:rPr>
            <w:rStyle w:val="Hyperlink"/>
            <w:rFonts w:eastAsiaTheme="minorHAnsi"/>
          </w:rPr>
          <w:t>http://stakeholders.ofcom.org.uk/binaries/consultations/opportunities-for-spectrum-sharing-innovation/summary/condoc.pdf</w:t>
        </w:r>
      </w:hyperlink>
    </w:p>
  </w:footnote>
  <w:footnote w:id="26">
    <w:p w14:paraId="1CCE391D" w14:textId="77777777" w:rsidR="00F47AE8" w:rsidRDefault="00F47AE8" w:rsidP="0039046B">
      <w:pPr>
        <w:pStyle w:val="FootnoteText"/>
        <w:spacing w:after="0"/>
      </w:pPr>
      <w:r w:rsidRPr="003032B1">
        <w:rPr>
          <w:vertAlign w:val="superscript"/>
        </w:rPr>
        <w:footnoteRef/>
      </w:r>
      <w:r w:rsidRPr="003032B1">
        <w:rPr>
          <w:vertAlign w:val="superscript"/>
        </w:rPr>
        <w:t xml:space="preserve"> </w:t>
      </w:r>
      <w:r>
        <w:t xml:space="preserve">See Section 3.1, clause (4) of </w:t>
      </w:r>
      <w:hyperlink r:id="rId20" w:history="1">
        <w:r w:rsidRPr="0014406C">
          <w:rPr>
            <w:rStyle w:val="Hyperlink"/>
          </w:rPr>
          <w:t>Radiocommunications Advisory Guidelines (Managing Interference to Spectrum Licensed Receivers — 3.4 GHz Band) 2015</w:t>
        </w:r>
      </w:hyperlink>
      <w:r>
        <w:t xml:space="preserve"> and Section 3.10 of </w:t>
      </w:r>
      <w:hyperlink r:id="rId21" w:history="1">
        <w:r w:rsidRPr="0014406C">
          <w:rPr>
            <w:rStyle w:val="Hyperlink"/>
          </w:rPr>
          <w:t>RALI MS 39 – Frequency coordination and licensing procedures for apparatus licenced public telecommunications services in the 3.5 GHz band</w:t>
        </w:r>
      </w:hyperlink>
      <w:r>
        <w:t xml:space="preserve">. </w:t>
      </w:r>
    </w:p>
  </w:footnote>
  <w:footnote w:id="27">
    <w:p w14:paraId="2E71C309" w14:textId="77777777" w:rsidR="00F47AE8" w:rsidRDefault="00F47AE8" w:rsidP="00184327">
      <w:pPr>
        <w:pStyle w:val="FootnoteText"/>
        <w:spacing w:after="0"/>
      </w:pPr>
      <w:r>
        <w:rPr>
          <w:rStyle w:val="FootnoteReference"/>
        </w:rPr>
        <w:footnoteRef/>
      </w:r>
      <w:r>
        <w:t xml:space="preserve"> The forms made available are surrender, change of contact details, creation of new customer identification, antenna and site registration, and apparatus licence application.</w:t>
      </w:r>
    </w:p>
  </w:footnote>
  <w:footnote w:id="28">
    <w:p w14:paraId="5D53FE45" w14:textId="77777777" w:rsidR="00F47AE8" w:rsidRDefault="00F47AE8" w:rsidP="004D0DEA">
      <w:pPr>
        <w:pStyle w:val="FootnoteText"/>
        <w:spacing w:after="0"/>
      </w:pPr>
      <w:r>
        <w:rPr>
          <w:rStyle w:val="FootnoteReference"/>
        </w:rPr>
        <w:footnoteRef/>
      </w:r>
      <w:r>
        <w:t xml:space="preserve"> Detailed information is available at </w:t>
      </w:r>
      <w:hyperlink r:id="rId22" w:history="1">
        <w:r>
          <w:rPr>
            <w:rStyle w:val="Hyperlink"/>
          </w:rPr>
          <w:t>www.acma.gov.au/Industry/Spectrum/Spectrum-projects/400-MHz-band</w:t>
        </w:r>
      </w:hyperlink>
      <w:r>
        <w:t xml:space="preserve">. </w:t>
      </w:r>
    </w:p>
  </w:footnote>
  <w:footnote w:id="29">
    <w:p w14:paraId="7A4E7A46" w14:textId="77777777" w:rsidR="00F47AE8" w:rsidRDefault="00F47AE8" w:rsidP="004D0DEA">
      <w:pPr>
        <w:pStyle w:val="FootnoteText"/>
        <w:spacing w:after="0"/>
      </w:pPr>
      <w:r>
        <w:rPr>
          <w:rStyle w:val="FootnoteReference"/>
        </w:rPr>
        <w:footnoteRef/>
      </w:r>
      <w:r>
        <w:t xml:space="preserve"> These areas are defined in the Apparatus Licence Fee Schedule available at </w:t>
      </w:r>
      <w:hyperlink r:id="rId23" w:history="1">
        <w:r>
          <w:rPr>
            <w:rStyle w:val="Hyperlink"/>
          </w:rPr>
          <w:t>www.acma.gov.au/theACMA/About/Making-payments/Apparatus-licence-fees/apparatus-licence-fees-acma</w:t>
        </w:r>
      </w:hyperlink>
      <w:r>
        <w:t xml:space="preserve">. </w:t>
      </w:r>
    </w:p>
  </w:footnote>
  <w:footnote w:id="30">
    <w:p w14:paraId="2FB5CE22" w14:textId="77777777" w:rsidR="00F47AE8" w:rsidRDefault="00F47AE8" w:rsidP="004D0DEA">
      <w:pPr>
        <w:pStyle w:val="FootnoteText"/>
        <w:spacing w:after="0"/>
      </w:pPr>
      <w:r>
        <w:rPr>
          <w:rStyle w:val="FootnoteReference"/>
        </w:rPr>
        <w:footnoteRef/>
      </w:r>
      <w:r>
        <w:t xml:space="preserve"> Under the Act, the minister and the government have a policy-making role that is independent of the ACMA. </w:t>
      </w:r>
    </w:p>
  </w:footnote>
  <w:footnote w:id="31">
    <w:p w14:paraId="6CB1CE2F" w14:textId="77777777" w:rsidR="00F47AE8" w:rsidRDefault="00F47AE8" w:rsidP="004D0DEA">
      <w:pPr>
        <w:pStyle w:val="FootnoteText"/>
        <w:spacing w:after="0"/>
      </w:pPr>
      <w:r>
        <w:rPr>
          <w:rStyle w:val="FootnoteReference"/>
        </w:rPr>
        <w:footnoteRef/>
      </w:r>
      <w:r>
        <w:t xml:space="preserve"> Note: </w:t>
      </w:r>
      <w:r>
        <w:rPr>
          <w:rFonts w:cs="Arial"/>
        </w:rPr>
        <w:t>37.0–40 GHz</w:t>
      </w:r>
      <w:r w:rsidRPr="004470FC">
        <w:rPr>
          <w:rFonts w:cs="Arial"/>
        </w:rPr>
        <w:t xml:space="preserve"> and </w:t>
      </w:r>
      <w:r>
        <w:rPr>
          <w:rFonts w:cs="Arial"/>
        </w:rPr>
        <w:t>66–</w:t>
      </w:r>
      <w:r w:rsidRPr="004470FC">
        <w:rPr>
          <w:rFonts w:cs="Arial"/>
        </w:rPr>
        <w:t>71 GHz</w:t>
      </w:r>
      <w:r>
        <w:rPr>
          <w:rFonts w:cs="Arial"/>
        </w:rPr>
        <w:t xml:space="preserve"> are also being considered under WRC-19 agenda item 1.13</w:t>
      </w:r>
    </w:p>
  </w:footnote>
  <w:footnote w:id="32">
    <w:p w14:paraId="7C3FC720" w14:textId="77777777" w:rsidR="00F47AE8" w:rsidRDefault="00F47AE8" w:rsidP="004D0DEA">
      <w:pPr>
        <w:pStyle w:val="FootnoteText"/>
        <w:spacing w:after="0"/>
      </w:pPr>
      <w:r>
        <w:rPr>
          <w:rStyle w:val="FootnoteReference"/>
        </w:rPr>
        <w:footnoteRef/>
      </w:r>
      <w:r>
        <w:t xml:space="preserve"> Note: 24.25–27.5 GHz, </w:t>
      </w:r>
      <w:r w:rsidRPr="004470FC">
        <w:rPr>
          <w:rFonts w:cs="Arial"/>
        </w:rPr>
        <w:t>37.0</w:t>
      </w:r>
      <w:r>
        <w:rPr>
          <w:rFonts w:cs="Arial"/>
        </w:rPr>
        <w:t>–</w:t>
      </w:r>
      <w:r w:rsidRPr="004470FC">
        <w:rPr>
          <w:rFonts w:cs="Arial"/>
        </w:rPr>
        <w:t>40.5 GHz, 47.2</w:t>
      </w:r>
      <w:r>
        <w:rPr>
          <w:rFonts w:cs="Arial"/>
        </w:rPr>
        <w:t>–</w:t>
      </w:r>
      <w:r w:rsidRPr="004470FC">
        <w:rPr>
          <w:rFonts w:cs="Arial"/>
        </w:rPr>
        <w:t>50.2 GHz, 50.4</w:t>
      </w:r>
      <w:r>
        <w:rPr>
          <w:rFonts w:cs="Arial"/>
        </w:rPr>
        <w:t>–</w:t>
      </w:r>
      <w:r w:rsidRPr="004470FC">
        <w:rPr>
          <w:rFonts w:cs="Arial"/>
        </w:rPr>
        <w:t xml:space="preserve">52.6 GHz and </w:t>
      </w:r>
      <w:r>
        <w:rPr>
          <w:rFonts w:cs="Arial"/>
        </w:rPr>
        <w:t>66–</w:t>
      </w:r>
      <w:r w:rsidRPr="004470FC">
        <w:rPr>
          <w:rFonts w:cs="Arial"/>
        </w:rPr>
        <w:t>71 GHz</w:t>
      </w:r>
      <w:r>
        <w:rPr>
          <w:rFonts w:cs="Arial"/>
        </w:rPr>
        <w:t xml:space="preserve"> are also being considered under WRC-19 agenda item 1.13.</w:t>
      </w:r>
    </w:p>
  </w:footnote>
  <w:footnote w:id="33">
    <w:p w14:paraId="35C6FFC0" w14:textId="77777777" w:rsidR="00F47AE8" w:rsidRDefault="00F47AE8" w:rsidP="004D0DEA">
      <w:pPr>
        <w:pStyle w:val="FootnoteText"/>
        <w:spacing w:after="0"/>
      </w:pPr>
      <w:r>
        <w:rPr>
          <w:rStyle w:val="FootnoteReference"/>
        </w:rPr>
        <w:footnoteRef/>
      </w:r>
      <w:r>
        <w:t xml:space="preserve"> </w:t>
      </w:r>
      <w:r w:rsidRPr="008B68FC">
        <w:rPr>
          <w:rStyle w:val="FooterChar"/>
        </w:rPr>
        <w:t>Minister of Communications Malcolm Turnbull’s speech to Rad</w:t>
      </w:r>
      <w:r>
        <w:rPr>
          <w:rStyle w:val="FooterChar"/>
        </w:rPr>
        <w:t>C</w:t>
      </w:r>
      <w:r w:rsidRPr="008B68FC">
        <w:rPr>
          <w:rStyle w:val="FooterChar"/>
        </w:rPr>
        <w:t xml:space="preserve">omms 2014, available at </w:t>
      </w:r>
      <w:hyperlink r:id="rId24" w:history="1">
        <w:r>
          <w:rPr>
            <w:rStyle w:val="Hyperlink"/>
          </w:rPr>
          <w:t>www.malcolmturnbull.com.au/media/radcomms-2014-spectrum-in-the-age-of-digital-innovation</w:t>
        </w:r>
      </w:hyperlink>
      <w:r w:rsidRPr="0091470D">
        <w:rPr>
          <w:rStyle w:val="FooterChar"/>
          <w:color w:val="auto"/>
        </w:rPr>
        <w:t>.</w:t>
      </w:r>
      <w:r w:rsidRPr="008B68FC">
        <w:rPr>
          <w:rStyle w:val="FooterChar"/>
        </w:rPr>
        <w:t xml:space="preserve">  </w:t>
      </w:r>
    </w:p>
  </w:footnote>
  <w:footnote w:id="34">
    <w:p w14:paraId="2E4E3C99" w14:textId="77777777" w:rsidR="00F47AE8" w:rsidRDefault="00F47AE8" w:rsidP="004D0DEA">
      <w:pPr>
        <w:pStyle w:val="FootnoteText"/>
        <w:spacing w:after="0"/>
      </w:pPr>
      <w:r>
        <w:rPr>
          <w:rStyle w:val="FootnoteReference"/>
        </w:rPr>
        <w:footnoteRef/>
      </w:r>
      <w:r>
        <w:t xml:space="preserve"> Information available on the </w:t>
      </w:r>
      <w:hyperlink r:id="rId25" w:history="1">
        <w:r w:rsidRPr="00332907">
          <w:rPr>
            <w:rStyle w:val="Hyperlink"/>
          </w:rPr>
          <w:t xml:space="preserve">FCC </w:t>
        </w:r>
        <w:r>
          <w:rPr>
            <w:rStyle w:val="Hyperlink"/>
          </w:rPr>
          <w:t>w</w:t>
        </w:r>
        <w:r w:rsidRPr="00332907">
          <w:rPr>
            <w:rStyle w:val="Hyperlink"/>
          </w:rPr>
          <w:t>ebsite</w:t>
        </w:r>
      </w:hyperlink>
      <w:r>
        <w:t>.</w:t>
      </w:r>
    </w:p>
  </w:footnote>
  <w:footnote w:id="35">
    <w:p w14:paraId="0A7776E1" w14:textId="77777777" w:rsidR="00F47AE8" w:rsidRDefault="00F47AE8" w:rsidP="004D0DEA">
      <w:pPr>
        <w:pStyle w:val="FootnoteText"/>
        <w:spacing w:after="0"/>
      </w:pPr>
      <w:r>
        <w:rPr>
          <w:rStyle w:val="FootnoteReference"/>
        </w:rPr>
        <w:footnoteRef/>
      </w:r>
      <w:r>
        <w:t xml:space="preserve"> WiMAX networks in India, Medicine Industry News and Marketplace, June 19 2006, </w:t>
      </w:r>
      <w:hyperlink r:id="rId26" w:history="1">
        <w:r>
          <w:rPr>
            <w:rStyle w:val="Hyperlink"/>
          </w:rPr>
          <w:t>www.wimax-industry.com/ar/7c.htm</w:t>
        </w:r>
      </w:hyperlink>
      <w:r w:rsidRPr="0091470D">
        <w:rPr>
          <w:rStyle w:val="Hyperlink"/>
          <w:color w:val="auto"/>
          <w:u w:val="none"/>
        </w:rPr>
        <w:t>.</w:t>
      </w:r>
    </w:p>
  </w:footnote>
  <w:footnote w:id="36">
    <w:p w14:paraId="2418392E" w14:textId="77777777" w:rsidR="00F47AE8" w:rsidRPr="00230330" w:rsidRDefault="00F47AE8" w:rsidP="004D0DEA">
      <w:pPr>
        <w:pStyle w:val="FootnoteText"/>
        <w:spacing w:after="0"/>
        <w:rPr>
          <w:rFonts w:cs="Arial"/>
        </w:rPr>
      </w:pPr>
      <w:r w:rsidRPr="00230330">
        <w:rPr>
          <w:rStyle w:val="FootnoteReference"/>
          <w:rFonts w:cs="Arial"/>
        </w:rPr>
        <w:footnoteRef/>
      </w:r>
      <w:r w:rsidRPr="00F16894">
        <w:rPr>
          <w:rFonts w:cs="Arial"/>
        </w:rPr>
        <w:t xml:space="preserve"> In accordance with ITU-R Resolution 646.</w:t>
      </w:r>
    </w:p>
  </w:footnote>
  <w:footnote w:id="37">
    <w:p w14:paraId="50567054" w14:textId="77777777" w:rsidR="00F47AE8" w:rsidRDefault="00F47AE8" w:rsidP="004D0DEA">
      <w:pPr>
        <w:pStyle w:val="FootnoteText"/>
        <w:spacing w:after="0"/>
      </w:pPr>
      <w:r>
        <w:rPr>
          <w:rStyle w:val="FootnoteReference"/>
        </w:rPr>
        <w:footnoteRef/>
      </w:r>
      <w:r>
        <w:t xml:space="preserve"> </w:t>
      </w:r>
      <w:r>
        <w:rPr>
          <w:rFonts w:cs="Arial"/>
        </w:rPr>
        <w:t xml:space="preserve">Most recently in an industry submission to a 2015 consultation on proposed changes to the low interference devices class licence (see </w:t>
      </w:r>
      <w:hyperlink r:id="rId27" w:history="1">
        <w:r w:rsidRPr="00006BB2">
          <w:rPr>
            <w:rStyle w:val="Hyperlink"/>
            <w:rFonts w:cs="Arial"/>
          </w:rPr>
          <w:t>IFC 32/2015</w:t>
        </w:r>
      </w:hyperlink>
      <w:r>
        <w:rPr>
          <w:rFonts w:cs="Arial"/>
        </w:rPr>
        <w:t>).</w:t>
      </w:r>
    </w:p>
  </w:footnote>
  <w:footnote w:id="38">
    <w:p w14:paraId="1F201F75" w14:textId="77777777" w:rsidR="00F47AE8" w:rsidRDefault="00F47AE8" w:rsidP="004D0DEA">
      <w:pPr>
        <w:pStyle w:val="FootnoteText"/>
        <w:spacing w:after="0" w:line="240" w:lineRule="auto"/>
      </w:pPr>
      <w:r>
        <w:rPr>
          <w:rStyle w:val="FootnoteReference"/>
        </w:rPr>
        <w:footnoteRef/>
      </w:r>
      <w:r>
        <w:t xml:space="preserve"> </w:t>
      </w:r>
      <w:r w:rsidRPr="0096736C">
        <w:t>The Radio Spectrum Policy Group (RSPG) is a high-level advisory group that assists the European Commission in the development of radio spectrum policy.</w:t>
      </w:r>
    </w:p>
  </w:footnote>
  <w:footnote w:id="39">
    <w:p w14:paraId="2E639649" w14:textId="77777777" w:rsidR="00F47AE8" w:rsidRDefault="00F47AE8" w:rsidP="00BC11EA">
      <w:pPr>
        <w:pStyle w:val="FootnoteText"/>
        <w:spacing w:after="0" w:line="240" w:lineRule="auto"/>
      </w:pPr>
      <w:r>
        <w:rPr>
          <w:rStyle w:val="FootnoteReference"/>
        </w:rPr>
        <w:footnoteRef/>
      </w:r>
      <w:r>
        <w:t xml:space="preserve"> More information is available on the RSPG website at </w:t>
      </w:r>
      <w:hyperlink r:id="rId28" w:history="1">
        <w:r>
          <w:rPr>
            <w:rStyle w:val="Hyperlink"/>
          </w:rPr>
          <w:t>http://rspg-spectrum.eu/2016/09/responses-to-the-public-consultation-on-5g-published/</w:t>
        </w:r>
      </w:hyperlink>
      <w:r w:rsidRPr="0096736C">
        <w:t>.</w:t>
      </w:r>
    </w:p>
  </w:footnote>
  <w:footnote w:id="40">
    <w:p w14:paraId="3D892CA3" w14:textId="77777777" w:rsidR="00F47AE8" w:rsidRDefault="00F47AE8" w:rsidP="004D0DEA">
      <w:pPr>
        <w:pStyle w:val="FootnoteText"/>
        <w:spacing w:after="0" w:line="240" w:lineRule="auto"/>
      </w:pPr>
      <w:r>
        <w:rPr>
          <w:rStyle w:val="FootnoteReference"/>
        </w:rPr>
        <w:footnoteRef/>
      </w:r>
      <w:r>
        <w:t xml:space="preserve"> </w:t>
      </w:r>
      <w:r w:rsidRPr="00D42CF8">
        <w:t>Report and Order and Further Notice of Proposed Rulemaking</w:t>
      </w:r>
      <w:r>
        <w:t xml:space="preserve">, </w:t>
      </w:r>
      <w:hyperlink r:id="rId29" w:history="1">
        <w:r w:rsidRPr="00D42CF8">
          <w:rPr>
            <w:rStyle w:val="Hyperlink"/>
          </w:rPr>
          <w:t>FCC 16-89</w:t>
        </w:r>
      </w:hyperlink>
      <w:r w:rsidRPr="00676648">
        <w:rPr>
          <w:rStyle w:val="Hyperlink"/>
          <w:u w:val="none"/>
        </w:rPr>
        <w:t>.</w:t>
      </w:r>
      <w:r>
        <w:t xml:space="preserve"> </w:t>
      </w:r>
    </w:p>
  </w:footnote>
  <w:footnote w:id="41">
    <w:p w14:paraId="528232F2" w14:textId="77777777" w:rsidR="00F47AE8" w:rsidRDefault="00F47AE8" w:rsidP="004D0DEA">
      <w:pPr>
        <w:pStyle w:val="FootnoteText"/>
        <w:spacing w:after="0" w:line="240" w:lineRule="auto"/>
      </w:pPr>
      <w:r>
        <w:rPr>
          <w:rStyle w:val="FootnoteReference"/>
        </w:rPr>
        <w:footnoteRef/>
      </w:r>
      <w:r>
        <w:t xml:space="preserve"> </w:t>
      </w:r>
      <w:r w:rsidRPr="00D42CF8">
        <w:t>Report and Order and Further Notice of Proposed Rulemaking</w:t>
      </w:r>
      <w:r w:rsidDel="00D42CF8">
        <w:t>,</w:t>
      </w:r>
      <w:r>
        <w:t xml:space="preserve"> </w:t>
      </w:r>
      <w:hyperlink r:id="rId30" w:history="1">
        <w:r w:rsidRPr="00D42CF8">
          <w:rPr>
            <w:rStyle w:val="Hyperlink"/>
          </w:rPr>
          <w:t>FCC 16-89</w:t>
        </w:r>
      </w:hyperlink>
      <w:r w:rsidRPr="00676648">
        <w:rPr>
          <w:rStyle w:val="Hyperlink"/>
          <w:u w:val="none"/>
        </w:rPr>
        <w:t>.</w:t>
      </w:r>
      <w:r>
        <w:t xml:space="preserve"> </w:t>
      </w:r>
    </w:p>
  </w:footnote>
  <w:footnote w:id="42">
    <w:p w14:paraId="67E93D90" w14:textId="77777777" w:rsidR="00F47AE8" w:rsidRDefault="00F47AE8" w:rsidP="004D0DEA">
      <w:pPr>
        <w:pStyle w:val="FootnoteText"/>
        <w:spacing w:after="0" w:line="240" w:lineRule="auto"/>
      </w:pPr>
      <w:r>
        <w:rPr>
          <w:rStyle w:val="FootnoteReference"/>
        </w:rPr>
        <w:footnoteRef/>
      </w:r>
      <w:r>
        <w:t xml:space="preserve"> Contribution to WRC-15, </w:t>
      </w:r>
      <w:hyperlink r:id="rId31" w:history="1">
        <w:r w:rsidRPr="00F624A9">
          <w:rPr>
            <w:rStyle w:val="Hyperlink"/>
          </w:rPr>
          <w:t>Revision 1 to Document 102(Add.24)</w:t>
        </w:r>
      </w:hyperlink>
      <w:r>
        <w:t>, Korea (Republic of).</w:t>
      </w:r>
    </w:p>
  </w:footnote>
  <w:footnote w:id="43">
    <w:p w14:paraId="79EB9A5F" w14:textId="77777777" w:rsidR="00F47AE8" w:rsidRDefault="00F47AE8" w:rsidP="004D0DEA">
      <w:pPr>
        <w:pStyle w:val="FootnoteText"/>
        <w:spacing w:after="0"/>
      </w:pPr>
      <w:r>
        <w:rPr>
          <w:rStyle w:val="FootnoteReference"/>
        </w:rPr>
        <w:footnoteRef/>
      </w:r>
      <w:r>
        <w:t xml:space="preserve"> Available on the </w:t>
      </w:r>
      <w:hyperlink r:id="rId32" w:history="1">
        <w:r w:rsidRPr="00A10718">
          <w:rPr>
            <w:rStyle w:val="Hyperlink"/>
          </w:rPr>
          <w:t>ACMA website</w:t>
        </w:r>
      </w:hyperlink>
      <w:r>
        <w:t>.</w:t>
      </w:r>
    </w:p>
  </w:footnote>
  <w:footnote w:id="44">
    <w:p w14:paraId="5E8E1F47" w14:textId="77777777" w:rsidR="00F47AE8" w:rsidRDefault="00F47AE8" w:rsidP="004D0DEA">
      <w:pPr>
        <w:pStyle w:val="FootnoteText"/>
        <w:spacing w:after="0"/>
        <w:ind w:left="113" w:hanging="113"/>
      </w:pPr>
      <w:r>
        <w:rPr>
          <w:rStyle w:val="FootnoteReference"/>
        </w:rPr>
        <w:footnoteRef/>
      </w:r>
      <w:r>
        <w:t xml:space="preserve"> Refer to </w:t>
      </w:r>
      <w:hyperlink r:id="rId33" w:history="1">
        <w:r>
          <w:rPr>
            <w:rStyle w:val="Hyperlink"/>
          </w:rPr>
          <w:t>www.acma.gov.au/theACMA/25-ghz-band-review</w:t>
        </w:r>
      </w:hyperlink>
      <w:r>
        <w:t>.</w:t>
      </w:r>
    </w:p>
  </w:footnote>
  <w:footnote w:id="45">
    <w:p w14:paraId="0D52CEDF" w14:textId="77777777" w:rsidR="00F47AE8" w:rsidRDefault="00F47AE8" w:rsidP="004D0DEA">
      <w:pPr>
        <w:pStyle w:val="FootnoteText"/>
        <w:spacing w:after="0"/>
        <w:ind w:left="113" w:hanging="113"/>
      </w:pPr>
      <w:r>
        <w:rPr>
          <w:rStyle w:val="FootnoteReference"/>
        </w:rPr>
        <w:footnoteRef/>
      </w:r>
      <w:r>
        <w:t xml:space="preserve"> Available from the </w:t>
      </w:r>
      <w:hyperlink r:id="rId34" w:history="1">
        <w:r w:rsidRPr="00FC2E2B">
          <w:rPr>
            <w:rStyle w:val="Hyperlink"/>
          </w:rPr>
          <w:t>ACMA website</w:t>
        </w:r>
      </w:hyperlink>
      <w:r>
        <w:t xml:space="preserve"> and last revised September 2013.</w:t>
      </w:r>
    </w:p>
  </w:footnote>
  <w:footnote w:id="46">
    <w:p w14:paraId="3CD6FFF4" w14:textId="77777777" w:rsidR="00F47AE8" w:rsidRDefault="00F47AE8" w:rsidP="004D0DEA">
      <w:pPr>
        <w:pStyle w:val="FootnoteText"/>
        <w:spacing w:after="0"/>
        <w:ind w:left="113" w:hanging="113"/>
      </w:pPr>
      <w:r>
        <w:rPr>
          <w:rStyle w:val="FootnoteReference"/>
        </w:rPr>
        <w:footnoteRef/>
      </w:r>
      <w:r>
        <w:t xml:space="preserve"> RRL extraction 23 June 2016.</w:t>
      </w:r>
    </w:p>
  </w:footnote>
  <w:footnote w:id="47">
    <w:p w14:paraId="1F25FD4C" w14:textId="77777777" w:rsidR="00F47AE8" w:rsidRDefault="00F47AE8" w:rsidP="004D0DEA">
      <w:pPr>
        <w:pStyle w:val="FootnoteText"/>
        <w:spacing w:after="0"/>
      </w:pPr>
      <w:r>
        <w:rPr>
          <w:rStyle w:val="FootnoteReference"/>
        </w:rPr>
        <w:footnoteRef/>
      </w:r>
      <w:r>
        <w:t xml:space="preserve"> Available on the ITU-R website at </w:t>
      </w:r>
      <w:hyperlink r:id="rId35" w:history="1">
        <w:r>
          <w:rPr>
            <w:rStyle w:val="Hyperlink"/>
          </w:rPr>
          <w:t>www.itu.int/rec/R-REC-M.1036/en</w:t>
        </w:r>
      </w:hyperlink>
      <w:r w:rsidRPr="00C54195">
        <w:rPr>
          <w:rStyle w:val="Hyperlink"/>
          <w:color w:val="auto"/>
          <w:u w:val="none"/>
        </w:rPr>
        <w:t>.</w:t>
      </w:r>
      <w:r>
        <w:t xml:space="preserve"> </w:t>
      </w:r>
    </w:p>
  </w:footnote>
  <w:footnote w:id="48">
    <w:p w14:paraId="0F73154B" w14:textId="77777777" w:rsidR="00F47AE8" w:rsidRDefault="00F47AE8" w:rsidP="004D0DEA">
      <w:pPr>
        <w:pStyle w:val="FootnoteText"/>
        <w:spacing w:after="0"/>
      </w:pPr>
      <w:r>
        <w:rPr>
          <w:rStyle w:val="FootnoteReference"/>
        </w:rPr>
        <w:footnoteRef/>
      </w:r>
      <w:r>
        <w:t xml:space="preserve"> Available on the European Communications office (ECO) website at </w:t>
      </w:r>
      <w:hyperlink r:id="rId36" w:history="1">
        <w:r>
          <w:rPr>
            <w:rStyle w:val="Hyperlink"/>
          </w:rPr>
          <w:t>www.erodocdb.dk/Docs/doc98/official/pdf/ECCDEC1106.PDF</w:t>
        </w:r>
      </w:hyperlink>
      <w:r w:rsidRPr="00C54195">
        <w:rPr>
          <w:rStyle w:val="Hyperlink"/>
          <w:color w:val="auto"/>
          <w:u w:val="none"/>
        </w:rPr>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456A4C" w14:textId="77777777" w:rsidR="00F47AE8" w:rsidRDefault="00F47A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BF5FA" w14:textId="77777777" w:rsidR="00F47AE8" w:rsidRPr="00A5474E" w:rsidRDefault="00F47AE8" w:rsidP="00A5474E">
    <w:pPr>
      <w:pStyle w:val="Header"/>
    </w:pPr>
    <w:r>
      <w:rPr>
        <w:noProof/>
      </w:rPr>
      <w:drawing>
        <wp:inline distT="0" distB="0" distL="0" distR="0" wp14:anchorId="7ACDF0B7" wp14:editId="49989C28">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79A85" w14:textId="77777777" w:rsidR="00F47AE8" w:rsidRPr="00A5474E" w:rsidRDefault="00F47AE8"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E633C" w14:textId="77777777" w:rsidR="00F47AE8" w:rsidRDefault="00F47AE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909CD5" w14:textId="77777777" w:rsidR="00F47AE8" w:rsidRDefault="00F47AE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F47AE8" w14:paraId="604F821D" w14:textId="77777777" w:rsidTr="00A26FF8">
      <w:trPr>
        <w:trHeight w:hRule="exact" w:val="988"/>
      </w:trPr>
      <w:tc>
        <w:tcPr>
          <w:tcW w:w="7678" w:type="dxa"/>
          <w:shd w:val="clear" w:color="auto" w:fill="auto"/>
        </w:tcPr>
        <w:p w14:paraId="40D2568F" w14:textId="77777777" w:rsidR="00F47AE8" w:rsidRDefault="00F47AE8" w:rsidP="00900F0C">
          <w:pPr>
            <w:pStyle w:val="Header"/>
          </w:pPr>
        </w:p>
      </w:tc>
    </w:tr>
    <w:tr w:rsidR="00F47AE8" w14:paraId="524675D5" w14:textId="77777777" w:rsidTr="00A26FF8">
      <w:tc>
        <w:tcPr>
          <w:tcW w:w="7678" w:type="dxa"/>
          <w:shd w:val="clear" w:color="auto" w:fill="auto"/>
        </w:tcPr>
        <w:p w14:paraId="653F8E64" w14:textId="77777777" w:rsidR="00F47AE8" w:rsidRDefault="00F47AE8" w:rsidP="00900F0C">
          <w:pPr>
            <w:pStyle w:val="GridTable31"/>
          </w:pPr>
          <w:r>
            <w:t xml:space="preserve">Contents </w:t>
          </w:r>
          <w:r w:rsidRPr="00915B1C">
            <w:rPr>
              <w:b w:val="0"/>
              <w:spacing w:val="0"/>
              <w:sz w:val="28"/>
              <w:szCs w:val="28"/>
            </w:rPr>
            <w:t>(Continued)</w:t>
          </w:r>
        </w:p>
      </w:tc>
    </w:tr>
    <w:tr w:rsidR="00F47AE8" w14:paraId="098B9589" w14:textId="77777777" w:rsidTr="00A26FF8">
      <w:trPr>
        <w:trHeight w:val="1220"/>
      </w:trPr>
      <w:tc>
        <w:tcPr>
          <w:tcW w:w="7678" w:type="dxa"/>
          <w:shd w:val="clear" w:color="auto" w:fill="auto"/>
        </w:tcPr>
        <w:p w14:paraId="74234E9B" w14:textId="77777777" w:rsidR="00F47AE8" w:rsidRDefault="00F47AE8" w:rsidP="00900F0C"/>
      </w:tc>
    </w:tr>
  </w:tbl>
  <w:p w14:paraId="4AF45ABF" w14:textId="77777777" w:rsidR="00F47AE8" w:rsidRDefault="00F47AE8"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F47AE8" w14:paraId="6EFAFCC6" w14:textId="77777777" w:rsidTr="00375F63">
      <w:trPr>
        <w:trHeight w:hRule="exact" w:val="988"/>
      </w:trPr>
      <w:tc>
        <w:tcPr>
          <w:tcW w:w="7678" w:type="dxa"/>
          <w:shd w:val="clear" w:color="auto" w:fill="auto"/>
        </w:tcPr>
        <w:p w14:paraId="084C3787" w14:textId="77777777" w:rsidR="00F47AE8" w:rsidRDefault="00F47AE8" w:rsidP="00971914">
          <w:pPr>
            <w:pStyle w:val="Header"/>
          </w:pPr>
        </w:p>
      </w:tc>
    </w:tr>
    <w:tr w:rsidR="00F47AE8" w14:paraId="3F286546" w14:textId="77777777" w:rsidTr="00375F63">
      <w:tc>
        <w:tcPr>
          <w:tcW w:w="7678" w:type="dxa"/>
          <w:shd w:val="clear" w:color="auto" w:fill="auto"/>
        </w:tcPr>
        <w:p w14:paraId="2DC023C1" w14:textId="77777777" w:rsidR="00F47AE8" w:rsidRDefault="00F47AE8" w:rsidP="00971914">
          <w:pPr>
            <w:pStyle w:val="GridTable31"/>
          </w:pPr>
          <w:r>
            <w:t xml:space="preserve">Contents </w:t>
          </w:r>
          <w:r w:rsidRPr="00915B1C">
            <w:rPr>
              <w:b w:val="0"/>
              <w:spacing w:val="0"/>
              <w:sz w:val="28"/>
              <w:szCs w:val="28"/>
            </w:rPr>
            <w:t>(Continued)</w:t>
          </w:r>
        </w:p>
      </w:tc>
    </w:tr>
    <w:tr w:rsidR="00F47AE8" w14:paraId="30001701" w14:textId="77777777" w:rsidTr="00375F63">
      <w:trPr>
        <w:trHeight w:val="1220"/>
      </w:trPr>
      <w:tc>
        <w:tcPr>
          <w:tcW w:w="7678" w:type="dxa"/>
          <w:shd w:val="clear" w:color="auto" w:fill="auto"/>
        </w:tcPr>
        <w:p w14:paraId="0BC2172F" w14:textId="77777777" w:rsidR="00F47AE8" w:rsidRDefault="00F47AE8" w:rsidP="00971914"/>
      </w:tc>
    </w:tr>
  </w:tbl>
  <w:p w14:paraId="0E7F4C4C" w14:textId="77777777" w:rsidR="00F47AE8" w:rsidRPr="00A5474E" w:rsidRDefault="00F47AE8"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BD70BC" w14:textId="77777777" w:rsidR="00F47AE8" w:rsidRDefault="00F47AE8" w:rsidP="0097191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8D62EA" w14:textId="77777777" w:rsidR="00F47AE8" w:rsidRPr="00A5474E" w:rsidRDefault="00F47AE8" w:rsidP="00900F0C"/>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3F89A" w14:textId="77777777" w:rsidR="00F47AE8" w:rsidRDefault="00F47AE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CE35BC" w14:textId="77777777" w:rsidR="00F47AE8" w:rsidRDefault="00F47A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AB6AACC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A46829A"/>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2D47DC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1997E24"/>
    <w:multiLevelType w:val="hybridMultilevel"/>
    <w:tmpl w:val="0FA6CD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D983DF9"/>
    <w:multiLevelType w:val="hybridMultilevel"/>
    <w:tmpl w:val="509AB866"/>
    <w:lvl w:ilvl="0" w:tplc="8CC610AC">
      <w:start w:val="1"/>
      <w:numFmt w:val="bullet"/>
      <w:lvlText w:val=""/>
      <w:lvlJc w:val="left"/>
      <w:pPr>
        <w:ind w:left="403" w:hanging="360"/>
      </w:pPr>
      <w:rPr>
        <w:rFonts w:ascii="Symbol" w:hAnsi="Symbol" w:hint="default"/>
      </w:rPr>
    </w:lvl>
    <w:lvl w:ilvl="1" w:tplc="0C090003" w:tentative="1">
      <w:start w:val="1"/>
      <w:numFmt w:val="bullet"/>
      <w:lvlText w:val="o"/>
      <w:lvlJc w:val="left"/>
      <w:pPr>
        <w:ind w:left="1123" w:hanging="360"/>
      </w:pPr>
      <w:rPr>
        <w:rFonts w:ascii="Courier New" w:hAnsi="Courier New" w:cs="Courier New" w:hint="default"/>
      </w:rPr>
    </w:lvl>
    <w:lvl w:ilvl="2" w:tplc="0C090005" w:tentative="1">
      <w:start w:val="1"/>
      <w:numFmt w:val="bullet"/>
      <w:lvlText w:val=""/>
      <w:lvlJc w:val="left"/>
      <w:pPr>
        <w:ind w:left="1843" w:hanging="360"/>
      </w:pPr>
      <w:rPr>
        <w:rFonts w:ascii="Wingdings" w:hAnsi="Wingdings" w:hint="default"/>
      </w:rPr>
    </w:lvl>
    <w:lvl w:ilvl="3" w:tplc="0C090001" w:tentative="1">
      <w:start w:val="1"/>
      <w:numFmt w:val="bullet"/>
      <w:lvlText w:val=""/>
      <w:lvlJc w:val="left"/>
      <w:pPr>
        <w:ind w:left="2563" w:hanging="360"/>
      </w:pPr>
      <w:rPr>
        <w:rFonts w:ascii="Symbol" w:hAnsi="Symbol" w:hint="default"/>
      </w:rPr>
    </w:lvl>
    <w:lvl w:ilvl="4" w:tplc="0C090003" w:tentative="1">
      <w:start w:val="1"/>
      <w:numFmt w:val="bullet"/>
      <w:lvlText w:val="o"/>
      <w:lvlJc w:val="left"/>
      <w:pPr>
        <w:ind w:left="3283" w:hanging="360"/>
      </w:pPr>
      <w:rPr>
        <w:rFonts w:ascii="Courier New" w:hAnsi="Courier New" w:cs="Courier New" w:hint="default"/>
      </w:rPr>
    </w:lvl>
    <w:lvl w:ilvl="5" w:tplc="0C090005" w:tentative="1">
      <w:start w:val="1"/>
      <w:numFmt w:val="bullet"/>
      <w:lvlText w:val=""/>
      <w:lvlJc w:val="left"/>
      <w:pPr>
        <w:ind w:left="4003" w:hanging="360"/>
      </w:pPr>
      <w:rPr>
        <w:rFonts w:ascii="Wingdings" w:hAnsi="Wingdings" w:hint="default"/>
      </w:rPr>
    </w:lvl>
    <w:lvl w:ilvl="6" w:tplc="0C090001" w:tentative="1">
      <w:start w:val="1"/>
      <w:numFmt w:val="bullet"/>
      <w:lvlText w:val=""/>
      <w:lvlJc w:val="left"/>
      <w:pPr>
        <w:ind w:left="4723" w:hanging="360"/>
      </w:pPr>
      <w:rPr>
        <w:rFonts w:ascii="Symbol" w:hAnsi="Symbol" w:hint="default"/>
      </w:rPr>
    </w:lvl>
    <w:lvl w:ilvl="7" w:tplc="0C090003" w:tentative="1">
      <w:start w:val="1"/>
      <w:numFmt w:val="bullet"/>
      <w:lvlText w:val="o"/>
      <w:lvlJc w:val="left"/>
      <w:pPr>
        <w:ind w:left="5443" w:hanging="360"/>
      </w:pPr>
      <w:rPr>
        <w:rFonts w:ascii="Courier New" w:hAnsi="Courier New" w:cs="Courier New" w:hint="default"/>
      </w:rPr>
    </w:lvl>
    <w:lvl w:ilvl="8" w:tplc="0C090005" w:tentative="1">
      <w:start w:val="1"/>
      <w:numFmt w:val="bullet"/>
      <w:lvlText w:val=""/>
      <w:lvlJc w:val="left"/>
      <w:pPr>
        <w:ind w:left="6163" w:hanging="360"/>
      </w:pPr>
      <w:rPr>
        <w:rFonts w:ascii="Wingdings" w:hAnsi="Wingdings" w:hint="default"/>
      </w:rPr>
    </w:lvl>
  </w:abstractNum>
  <w:abstractNum w:abstractNumId="22" w15:restartNumberingAfterBreak="0">
    <w:nsid w:val="10AA7814"/>
    <w:multiLevelType w:val="hybridMultilevel"/>
    <w:tmpl w:val="E394219E"/>
    <w:lvl w:ilvl="0" w:tplc="8CC610AC">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11F80D8A"/>
    <w:multiLevelType w:val="multilevel"/>
    <w:tmpl w:val="7D86FBFC"/>
    <w:lvl w:ilvl="0">
      <w:start w:val="1"/>
      <w:numFmt w:val="decimal"/>
      <w:lvlText w:val="%1."/>
      <w:lvlJc w:val="left"/>
      <w:pPr>
        <w:ind w:left="360" w:hanging="360"/>
      </w:p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1D5F70C8"/>
    <w:multiLevelType w:val="hybridMultilevel"/>
    <w:tmpl w:val="03FA0560"/>
    <w:lvl w:ilvl="0" w:tplc="8CC610A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34D0C02"/>
    <w:multiLevelType w:val="hybridMultilevel"/>
    <w:tmpl w:val="A9F46268"/>
    <w:lvl w:ilvl="0" w:tplc="8CC610AC">
      <w:start w:val="1"/>
      <w:numFmt w:val="bullet"/>
      <w:lvlText w:val=""/>
      <w:lvlJc w:val="left"/>
      <w:pPr>
        <w:ind w:left="403" w:hanging="360"/>
      </w:pPr>
      <w:rPr>
        <w:rFonts w:ascii="Symbol" w:hAnsi="Symbol" w:hint="default"/>
      </w:rPr>
    </w:lvl>
    <w:lvl w:ilvl="1" w:tplc="44EEC084">
      <w:start w:val="1"/>
      <w:numFmt w:val="bullet"/>
      <w:lvlText w:val="&gt;"/>
      <w:lvlJc w:val="left"/>
      <w:pPr>
        <w:ind w:left="1123" w:hanging="360"/>
      </w:pPr>
      <w:rPr>
        <w:rFonts w:ascii="HelveticaNeueLT Std" w:hAnsi="HelveticaNeueLT Std" w:hint="default"/>
      </w:rPr>
    </w:lvl>
    <w:lvl w:ilvl="2" w:tplc="0C090005" w:tentative="1">
      <w:start w:val="1"/>
      <w:numFmt w:val="bullet"/>
      <w:lvlText w:val=""/>
      <w:lvlJc w:val="left"/>
      <w:pPr>
        <w:ind w:left="1843" w:hanging="360"/>
      </w:pPr>
      <w:rPr>
        <w:rFonts w:ascii="Wingdings" w:hAnsi="Wingdings" w:hint="default"/>
      </w:rPr>
    </w:lvl>
    <w:lvl w:ilvl="3" w:tplc="0C090001" w:tentative="1">
      <w:start w:val="1"/>
      <w:numFmt w:val="bullet"/>
      <w:lvlText w:val=""/>
      <w:lvlJc w:val="left"/>
      <w:pPr>
        <w:ind w:left="2563" w:hanging="360"/>
      </w:pPr>
      <w:rPr>
        <w:rFonts w:ascii="Symbol" w:hAnsi="Symbol" w:hint="default"/>
      </w:rPr>
    </w:lvl>
    <w:lvl w:ilvl="4" w:tplc="0C090003" w:tentative="1">
      <w:start w:val="1"/>
      <w:numFmt w:val="bullet"/>
      <w:lvlText w:val="o"/>
      <w:lvlJc w:val="left"/>
      <w:pPr>
        <w:ind w:left="3283" w:hanging="360"/>
      </w:pPr>
      <w:rPr>
        <w:rFonts w:ascii="Courier New" w:hAnsi="Courier New" w:cs="Courier New" w:hint="default"/>
      </w:rPr>
    </w:lvl>
    <w:lvl w:ilvl="5" w:tplc="0C090005" w:tentative="1">
      <w:start w:val="1"/>
      <w:numFmt w:val="bullet"/>
      <w:lvlText w:val=""/>
      <w:lvlJc w:val="left"/>
      <w:pPr>
        <w:ind w:left="4003" w:hanging="360"/>
      </w:pPr>
      <w:rPr>
        <w:rFonts w:ascii="Wingdings" w:hAnsi="Wingdings" w:hint="default"/>
      </w:rPr>
    </w:lvl>
    <w:lvl w:ilvl="6" w:tplc="0C090001" w:tentative="1">
      <w:start w:val="1"/>
      <w:numFmt w:val="bullet"/>
      <w:lvlText w:val=""/>
      <w:lvlJc w:val="left"/>
      <w:pPr>
        <w:ind w:left="4723" w:hanging="360"/>
      </w:pPr>
      <w:rPr>
        <w:rFonts w:ascii="Symbol" w:hAnsi="Symbol" w:hint="default"/>
      </w:rPr>
    </w:lvl>
    <w:lvl w:ilvl="7" w:tplc="0C090003" w:tentative="1">
      <w:start w:val="1"/>
      <w:numFmt w:val="bullet"/>
      <w:lvlText w:val="o"/>
      <w:lvlJc w:val="left"/>
      <w:pPr>
        <w:ind w:left="5443" w:hanging="360"/>
      </w:pPr>
      <w:rPr>
        <w:rFonts w:ascii="Courier New" w:hAnsi="Courier New" w:cs="Courier New" w:hint="default"/>
      </w:rPr>
    </w:lvl>
    <w:lvl w:ilvl="8" w:tplc="0C090005" w:tentative="1">
      <w:start w:val="1"/>
      <w:numFmt w:val="bullet"/>
      <w:lvlText w:val=""/>
      <w:lvlJc w:val="left"/>
      <w:pPr>
        <w:ind w:left="6163" w:hanging="360"/>
      </w:pPr>
      <w:rPr>
        <w:rFonts w:ascii="Wingdings" w:hAnsi="Wingdings" w:hint="default"/>
      </w:rPr>
    </w:lvl>
  </w:abstractNum>
  <w:abstractNum w:abstractNumId="30"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2D393092"/>
    <w:multiLevelType w:val="hybridMultilevel"/>
    <w:tmpl w:val="330E306C"/>
    <w:lvl w:ilvl="0" w:tplc="8CC610AC">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3"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4"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329068C9"/>
    <w:multiLevelType w:val="multilevel"/>
    <w:tmpl w:val="C6FADF8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335214EF"/>
    <w:multiLevelType w:val="hybridMultilevel"/>
    <w:tmpl w:val="C37CFC3E"/>
    <w:lvl w:ilvl="0" w:tplc="8CC610AC">
      <w:start w:val="1"/>
      <w:numFmt w:val="bullet"/>
      <w:lvlText w:val=""/>
      <w:lvlJc w:val="left"/>
      <w:pPr>
        <w:ind w:left="403" w:hanging="360"/>
      </w:pPr>
      <w:rPr>
        <w:rFonts w:ascii="Symbol" w:hAnsi="Symbol" w:hint="default"/>
      </w:rPr>
    </w:lvl>
    <w:lvl w:ilvl="1" w:tplc="0C090003">
      <w:start w:val="1"/>
      <w:numFmt w:val="bullet"/>
      <w:lvlText w:val="o"/>
      <w:lvlJc w:val="left"/>
      <w:pPr>
        <w:ind w:left="1123" w:hanging="360"/>
      </w:pPr>
      <w:rPr>
        <w:rFonts w:ascii="Courier New" w:hAnsi="Courier New" w:cs="Courier New" w:hint="default"/>
      </w:rPr>
    </w:lvl>
    <w:lvl w:ilvl="2" w:tplc="0C090005" w:tentative="1">
      <w:start w:val="1"/>
      <w:numFmt w:val="bullet"/>
      <w:lvlText w:val=""/>
      <w:lvlJc w:val="left"/>
      <w:pPr>
        <w:ind w:left="1843" w:hanging="360"/>
      </w:pPr>
      <w:rPr>
        <w:rFonts w:ascii="Wingdings" w:hAnsi="Wingdings" w:hint="default"/>
      </w:rPr>
    </w:lvl>
    <w:lvl w:ilvl="3" w:tplc="0C090001" w:tentative="1">
      <w:start w:val="1"/>
      <w:numFmt w:val="bullet"/>
      <w:lvlText w:val=""/>
      <w:lvlJc w:val="left"/>
      <w:pPr>
        <w:ind w:left="2563" w:hanging="360"/>
      </w:pPr>
      <w:rPr>
        <w:rFonts w:ascii="Symbol" w:hAnsi="Symbol" w:hint="default"/>
      </w:rPr>
    </w:lvl>
    <w:lvl w:ilvl="4" w:tplc="0C090003" w:tentative="1">
      <w:start w:val="1"/>
      <w:numFmt w:val="bullet"/>
      <w:lvlText w:val="o"/>
      <w:lvlJc w:val="left"/>
      <w:pPr>
        <w:ind w:left="3283" w:hanging="360"/>
      </w:pPr>
      <w:rPr>
        <w:rFonts w:ascii="Courier New" w:hAnsi="Courier New" w:cs="Courier New" w:hint="default"/>
      </w:rPr>
    </w:lvl>
    <w:lvl w:ilvl="5" w:tplc="0C090005" w:tentative="1">
      <w:start w:val="1"/>
      <w:numFmt w:val="bullet"/>
      <w:lvlText w:val=""/>
      <w:lvlJc w:val="left"/>
      <w:pPr>
        <w:ind w:left="4003" w:hanging="360"/>
      </w:pPr>
      <w:rPr>
        <w:rFonts w:ascii="Wingdings" w:hAnsi="Wingdings" w:hint="default"/>
      </w:rPr>
    </w:lvl>
    <w:lvl w:ilvl="6" w:tplc="0C090001" w:tentative="1">
      <w:start w:val="1"/>
      <w:numFmt w:val="bullet"/>
      <w:lvlText w:val=""/>
      <w:lvlJc w:val="left"/>
      <w:pPr>
        <w:ind w:left="4723" w:hanging="360"/>
      </w:pPr>
      <w:rPr>
        <w:rFonts w:ascii="Symbol" w:hAnsi="Symbol" w:hint="default"/>
      </w:rPr>
    </w:lvl>
    <w:lvl w:ilvl="7" w:tplc="0C090003" w:tentative="1">
      <w:start w:val="1"/>
      <w:numFmt w:val="bullet"/>
      <w:lvlText w:val="o"/>
      <w:lvlJc w:val="left"/>
      <w:pPr>
        <w:ind w:left="5443" w:hanging="360"/>
      </w:pPr>
      <w:rPr>
        <w:rFonts w:ascii="Courier New" w:hAnsi="Courier New" w:cs="Courier New" w:hint="default"/>
      </w:rPr>
    </w:lvl>
    <w:lvl w:ilvl="8" w:tplc="0C090005" w:tentative="1">
      <w:start w:val="1"/>
      <w:numFmt w:val="bullet"/>
      <w:lvlText w:val=""/>
      <w:lvlJc w:val="left"/>
      <w:pPr>
        <w:ind w:left="6163" w:hanging="360"/>
      </w:pPr>
      <w:rPr>
        <w:rFonts w:ascii="Wingdings" w:hAnsi="Wingdings" w:hint="default"/>
      </w:rPr>
    </w:lvl>
  </w:abstractNum>
  <w:abstractNum w:abstractNumId="37" w15:restartNumberingAfterBreak="0">
    <w:nsid w:val="362560DB"/>
    <w:multiLevelType w:val="hybridMultilevel"/>
    <w:tmpl w:val="1D00114A"/>
    <w:lvl w:ilvl="0" w:tplc="8CC610AC">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8084255"/>
    <w:multiLevelType w:val="hybridMultilevel"/>
    <w:tmpl w:val="B836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8F0194B"/>
    <w:multiLevelType w:val="hybridMultilevel"/>
    <w:tmpl w:val="0B6EE4D0"/>
    <w:lvl w:ilvl="0" w:tplc="34D2A76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404016C3"/>
    <w:multiLevelType w:val="hybridMultilevel"/>
    <w:tmpl w:val="B1BE4792"/>
    <w:lvl w:ilvl="0" w:tplc="8CC610AC">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2"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42EA4C28"/>
    <w:multiLevelType w:val="hybridMultilevel"/>
    <w:tmpl w:val="C274869C"/>
    <w:lvl w:ilvl="0" w:tplc="8CC610AC">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4"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7" w15:restartNumberingAfterBreak="0">
    <w:nsid w:val="55432167"/>
    <w:multiLevelType w:val="hybridMultilevel"/>
    <w:tmpl w:val="2F9CFF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629216F"/>
    <w:multiLevelType w:val="multilevel"/>
    <w:tmpl w:val="B19C4984"/>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56B53863"/>
    <w:multiLevelType w:val="hybridMultilevel"/>
    <w:tmpl w:val="FED83B8E"/>
    <w:lvl w:ilvl="0" w:tplc="0C09000F">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7D96D7C"/>
    <w:multiLevelType w:val="hybridMultilevel"/>
    <w:tmpl w:val="FB0EDB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9276F43"/>
    <w:multiLevelType w:val="hybridMultilevel"/>
    <w:tmpl w:val="35DC9448"/>
    <w:lvl w:ilvl="0" w:tplc="8CC610A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5BF500E4"/>
    <w:multiLevelType w:val="hybridMultilevel"/>
    <w:tmpl w:val="AEBCE25C"/>
    <w:lvl w:ilvl="0" w:tplc="8CC610AC">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4" w15:restartNumberingAfterBreak="0">
    <w:nsid w:val="5E7276A8"/>
    <w:multiLevelType w:val="multilevel"/>
    <w:tmpl w:val="7728A6B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15:restartNumberingAfterBreak="0">
    <w:nsid w:val="5FD94C76"/>
    <w:multiLevelType w:val="hybridMultilevel"/>
    <w:tmpl w:val="1B74A40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0574544"/>
    <w:multiLevelType w:val="hybridMultilevel"/>
    <w:tmpl w:val="2DAC7ECA"/>
    <w:lvl w:ilvl="0" w:tplc="8CC610A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65071478"/>
    <w:multiLevelType w:val="hybridMultilevel"/>
    <w:tmpl w:val="4560EABA"/>
    <w:lvl w:ilvl="0" w:tplc="01D2533A">
      <w:start w:val="1"/>
      <w:numFmt w:val="decimal"/>
      <w:pStyle w:val="ACMAFigureHeader"/>
      <w:lvlText w:val="Figure %1: "/>
      <w:lvlJc w:val="left"/>
      <w:pPr>
        <w:tabs>
          <w:tab w:val="num" w:pos="3574"/>
        </w:tabs>
        <w:ind w:left="3574"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15:restartNumberingAfterBreak="0">
    <w:nsid w:val="6EDD6892"/>
    <w:multiLevelType w:val="hybridMultilevel"/>
    <w:tmpl w:val="ED486A3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3"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4"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5" w15:restartNumberingAfterBreak="0">
    <w:nsid w:val="71CA206E"/>
    <w:multiLevelType w:val="hybridMultilevel"/>
    <w:tmpl w:val="C4464B92"/>
    <w:lvl w:ilvl="0" w:tplc="8CC610AC">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6"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8" w15:restartNumberingAfterBreak="0">
    <w:nsid w:val="75ED6487"/>
    <w:multiLevelType w:val="singleLevel"/>
    <w:tmpl w:val="951CEF98"/>
    <w:lvl w:ilvl="0">
      <w:start w:val="1"/>
      <w:numFmt w:val="upperLetter"/>
      <w:lvlText w:val="%1."/>
      <w:lvlJc w:val="left"/>
      <w:pPr>
        <w:ind w:left="360" w:hanging="360"/>
      </w:pPr>
      <w:rPr>
        <w:rFonts w:hint="default"/>
        <w:caps/>
        <w:sz w:val="20"/>
      </w:rPr>
    </w:lvl>
  </w:abstractNum>
  <w:abstractNum w:abstractNumId="69"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0" w15:restartNumberingAfterBreak="0">
    <w:nsid w:val="7C341739"/>
    <w:multiLevelType w:val="multilevel"/>
    <w:tmpl w:val="297CD1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3"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64"/>
  </w:num>
  <w:num w:numId="12">
    <w:abstractNumId w:val="27"/>
  </w:num>
  <w:num w:numId="13">
    <w:abstractNumId w:val="42"/>
  </w:num>
  <w:num w:numId="14">
    <w:abstractNumId w:val="20"/>
  </w:num>
  <w:num w:numId="15">
    <w:abstractNumId w:val="25"/>
  </w:num>
  <w:num w:numId="16">
    <w:abstractNumId w:val="73"/>
  </w:num>
  <w:num w:numId="17">
    <w:abstractNumId w:val="67"/>
  </w:num>
  <w:num w:numId="18">
    <w:abstractNumId w:val="46"/>
  </w:num>
  <w:num w:numId="19">
    <w:abstractNumId w:val="14"/>
  </w:num>
  <w:num w:numId="20">
    <w:abstractNumId w:val="0"/>
  </w:num>
  <w:num w:numId="21">
    <w:abstractNumId w:val="16"/>
  </w:num>
  <w:num w:numId="22">
    <w:abstractNumId w:val="32"/>
  </w:num>
  <w:num w:numId="23">
    <w:abstractNumId w:val="26"/>
  </w:num>
  <w:num w:numId="24">
    <w:abstractNumId w:val="59"/>
  </w:num>
  <w:num w:numId="25">
    <w:abstractNumId w:val="71"/>
  </w:num>
  <w:num w:numId="26">
    <w:abstractNumId w:val="45"/>
  </w:num>
  <w:num w:numId="27">
    <w:abstractNumId w:val="48"/>
  </w:num>
  <w:num w:numId="28">
    <w:abstractNumId w:val="44"/>
  </w:num>
  <w:num w:numId="29">
    <w:abstractNumId w:val="23"/>
  </w:num>
  <w:num w:numId="30">
    <w:abstractNumId w:val="30"/>
  </w:num>
  <w:num w:numId="31">
    <w:abstractNumId w:val="55"/>
  </w:num>
  <w:num w:numId="32">
    <w:abstractNumId w:val="72"/>
  </w:num>
  <w:num w:numId="33">
    <w:abstractNumId w:val="34"/>
  </w:num>
  <w:num w:numId="34">
    <w:abstractNumId w:val="61"/>
  </w:num>
  <w:num w:numId="35">
    <w:abstractNumId w:val="19"/>
  </w:num>
  <w:num w:numId="36">
    <w:abstractNumId w:val="15"/>
  </w:num>
  <w:num w:numId="37">
    <w:abstractNumId w:val="17"/>
  </w:num>
  <w:num w:numId="38">
    <w:abstractNumId w:val="63"/>
  </w:num>
  <w:num w:numId="39">
    <w:abstractNumId w:val="40"/>
  </w:num>
  <w:num w:numId="40">
    <w:abstractNumId w:val="58"/>
  </w:num>
  <w:num w:numId="41">
    <w:abstractNumId w:val="66"/>
  </w:num>
  <w:num w:numId="42">
    <w:abstractNumId w:val="69"/>
  </w:num>
  <w:num w:numId="43">
    <w:abstractNumId w:val="60"/>
  </w:num>
  <w:num w:numId="44">
    <w:abstractNumId w:val="18"/>
  </w:num>
  <w:num w:numId="45">
    <w:abstractNumId w:val="13"/>
  </w:num>
  <w:num w:numId="46">
    <w:abstractNumId w:val="12"/>
  </w:num>
  <w:num w:numId="47">
    <w:abstractNumId w:val="10"/>
  </w:num>
  <w:num w:numId="48">
    <w:abstractNumId w:val="39"/>
  </w:num>
  <w:num w:numId="49">
    <w:abstractNumId w:val="62"/>
  </w:num>
  <w:num w:numId="50">
    <w:abstractNumId w:val="43"/>
  </w:num>
  <w:num w:numId="51">
    <w:abstractNumId w:val="28"/>
  </w:num>
  <w:num w:numId="52">
    <w:abstractNumId w:val="54"/>
  </w:num>
  <w:num w:numId="53">
    <w:abstractNumId w:val="50"/>
  </w:num>
  <w:num w:numId="54">
    <w:abstractNumId w:val="29"/>
  </w:num>
  <w:num w:numId="55">
    <w:abstractNumId w:val="21"/>
  </w:num>
  <w:num w:numId="56">
    <w:abstractNumId w:val="36"/>
  </w:num>
  <w:num w:numId="57">
    <w:abstractNumId w:val="68"/>
  </w:num>
  <w:num w:numId="58">
    <w:abstractNumId w:val="47"/>
  </w:num>
  <w:num w:numId="59">
    <w:abstractNumId w:val="56"/>
  </w:num>
  <w:num w:numId="60">
    <w:abstractNumId w:val="24"/>
  </w:num>
  <w:num w:numId="61">
    <w:abstractNumId w:val="70"/>
  </w:num>
  <w:num w:numId="62">
    <w:abstractNumId w:val="49"/>
  </w:num>
  <w:num w:numId="63">
    <w:abstractNumId w:val="35"/>
  </w:num>
  <w:num w:numId="64">
    <w:abstractNumId w:val="51"/>
  </w:num>
  <w:num w:numId="65">
    <w:abstractNumId w:val="33"/>
  </w:num>
  <w:num w:numId="66">
    <w:abstractNumId w:val="37"/>
  </w:num>
  <w:num w:numId="67">
    <w:abstractNumId w:val="31"/>
  </w:num>
  <w:num w:numId="68">
    <w:abstractNumId w:val="22"/>
  </w:num>
  <w:num w:numId="69">
    <w:abstractNumId w:val="9"/>
    <w:lvlOverride w:ilvl="0">
      <w:startOverride w:val="1"/>
    </w:lvlOverride>
  </w:num>
  <w:num w:numId="70">
    <w:abstractNumId w:val="9"/>
    <w:lvlOverride w:ilvl="0">
      <w:startOverride w:val="1"/>
    </w:lvlOverride>
  </w:num>
  <w:num w:numId="71">
    <w:abstractNumId w:val="9"/>
    <w:lvlOverride w:ilvl="0">
      <w:startOverride w:val="1"/>
    </w:lvlOverride>
  </w:num>
  <w:num w:numId="72">
    <w:abstractNumId w:val="9"/>
    <w:lvlOverride w:ilvl="0">
      <w:startOverride w:val="1"/>
    </w:lvlOverride>
  </w:num>
  <w:num w:numId="73">
    <w:abstractNumId w:val="9"/>
    <w:lvlOverride w:ilvl="0">
      <w:startOverride w:val="1"/>
    </w:lvlOverride>
  </w:num>
  <w:num w:numId="74">
    <w:abstractNumId w:val="65"/>
  </w:num>
  <w:num w:numId="75">
    <w:abstractNumId w:val="10"/>
  </w:num>
  <w:num w:numId="76">
    <w:abstractNumId w:val="53"/>
  </w:num>
  <w:num w:numId="77">
    <w:abstractNumId w:val="41"/>
  </w:num>
  <w:num w:numId="78">
    <w:abstractNumId w:val="59"/>
  </w:num>
  <w:num w:numId="79">
    <w:abstractNumId w:val="59"/>
  </w:num>
  <w:num w:numId="80">
    <w:abstractNumId w:val="59"/>
  </w:num>
  <w:num w:numId="81">
    <w:abstractNumId w:val="59"/>
  </w:num>
  <w:num w:numId="82">
    <w:abstractNumId w:val="10"/>
  </w:num>
  <w:num w:numId="83">
    <w:abstractNumId w:val="11"/>
  </w:num>
  <w:num w:numId="84">
    <w:abstractNumId w:val="52"/>
  </w:num>
  <w:num w:numId="85">
    <w:abstractNumId w:val="57"/>
  </w:num>
  <w:num w:numId="86">
    <w:abstractNumId w:val="38"/>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readOnly" w:enforcement="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DEA"/>
    <w:rsid w:val="00001D11"/>
    <w:rsid w:val="00003E9F"/>
    <w:rsid w:val="00005743"/>
    <w:rsid w:val="00006A2A"/>
    <w:rsid w:val="00010469"/>
    <w:rsid w:val="00010667"/>
    <w:rsid w:val="000129D5"/>
    <w:rsid w:val="00015AE7"/>
    <w:rsid w:val="00016E21"/>
    <w:rsid w:val="0001719C"/>
    <w:rsid w:val="0002224E"/>
    <w:rsid w:val="00026F91"/>
    <w:rsid w:val="00046674"/>
    <w:rsid w:val="0004764C"/>
    <w:rsid w:val="0005011A"/>
    <w:rsid w:val="0005045A"/>
    <w:rsid w:val="00051C1E"/>
    <w:rsid w:val="000539F9"/>
    <w:rsid w:val="00054644"/>
    <w:rsid w:val="00054C27"/>
    <w:rsid w:val="00055EC3"/>
    <w:rsid w:val="000563CE"/>
    <w:rsid w:val="00060E45"/>
    <w:rsid w:val="0006468B"/>
    <w:rsid w:val="000659B6"/>
    <w:rsid w:val="0006686F"/>
    <w:rsid w:val="0006722A"/>
    <w:rsid w:val="000732CF"/>
    <w:rsid w:val="00075007"/>
    <w:rsid w:val="00075B96"/>
    <w:rsid w:val="0008196A"/>
    <w:rsid w:val="00083330"/>
    <w:rsid w:val="000915ED"/>
    <w:rsid w:val="0009209D"/>
    <w:rsid w:val="000969BD"/>
    <w:rsid w:val="000969BF"/>
    <w:rsid w:val="000A0C22"/>
    <w:rsid w:val="000A1CE5"/>
    <w:rsid w:val="000A3C43"/>
    <w:rsid w:val="000A4A51"/>
    <w:rsid w:val="000A5D2B"/>
    <w:rsid w:val="000A7B0D"/>
    <w:rsid w:val="000B3819"/>
    <w:rsid w:val="000B4639"/>
    <w:rsid w:val="000B5DE3"/>
    <w:rsid w:val="000C0A57"/>
    <w:rsid w:val="000C230C"/>
    <w:rsid w:val="000C6823"/>
    <w:rsid w:val="000C6AB4"/>
    <w:rsid w:val="000D3EE9"/>
    <w:rsid w:val="000D4DB5"/>
    <w:rsid w:val="000D6105"/>
    <w:rsid w:val="000D71D9"/>
    <w:rsid w:val="000D76E0"/>
    <w:rsid w:val="000D7E8B"/>
    <w:rsid w:val="000E200B"/>
    <w:rsid w:val="000E4449"/>
    <w:rsid w:val="000E6097"/>
    <w:rsid w:val="000F26E0"/>
    <w:rsid w:val="001016C6"/>
    <w:rsid w:val="00102DB0"/>
    <w:rsid w:val="00103829"/>
    <w:rsid w:val="001069BA"/>
    <w:rsid w:val="00111FCE"/>
    <w:rsid w:val="001229A5"/>
    <w:rsid w:val="0012489B"/>
    <w:rsid w:val="00130017"/>
    <w:rsid w:val="00130F91"/>
    <w:rsid w:val="001349ED"/>
    <w:rsid w:val="00137424"/>
    <w:rsid w:val="00140318"/>
    <w:rsid w:val="00141AD9"/>
    <w:rsid w:val="00144ABF"/>
    <w:rsid w:val="001461CE"/>
    <w:rsid w:val="00146CE6"/>
    <w:rsid w:val="00152716"/>
    <w:rsid w:val="00152903"/>
    <w:rsid w:val="00153FD5"/>
    <w:rsid w:val="0015601F"/>
    <w:rsid w:val="0015614F"/>
    <w:rsid w:val="001577C2"/>
    <w:rsid w:val="001633C4"/>
    <w:rsid w:val="00171591"/>
    <w:rsid w:val="00173981"/>
    <w:rsid w:val="0017719D"/>
    <w:rsid w:val="00183FD7"/>
    <w:rsid w:val="00184327"/>
    <w:rsid w:val="00185CAB"/>
    <w:rsid w:val="001868B8"/>
    <w:rsid w:val="00186A8A"/>
    <w:rsid w:val="001875B7"/>
    <w:rsid w:val="00187CB3"/>
    <w:rsid w:val="0019050A"/>
    <w:rsid w:val="001910D4"/>
    <w:rsid w:val="00194565"/>
    <w:rsid w:val="001976E3"/>
    <w:rsid w:val="001A16D0"/>
    <w:rsid w:val="001A3A1A"/>
    <w:rsid w:val="001A3DA2"/>
    <w:rsid w:val="001A44EC"/>
    <w:rsid w:val="001B58AA"/>
    <w:rsid w:val="001B7E48"/>
    <w:rsid w:val="001C1022"/>
    <w:rsid w:val="001C17CE"/>
    <w:rsid w:val="001C245A"/>
    <w:rsid w:val="001C36CA"/>
    <w:rsid w:val="001C44D1"/>
    <w:rsid w:val="001C6AEE"/>
    <w:rsid w:val="001C7630"/>
    <w:rsid w:val="001D6D15"/>
    <w:rsid w:val="001F3ED7"/>
    <w:rsid w:val="001F7558"/>
    <w:rsid w:val="0020555D"/>
    <w:rsid w:val="00205B57"/>
    <w:rsid w:val="002111F7"/>
    <w:rsid w:val="002157E0"/>
    <w:rsid w:val="00216A57"/>
    <w:rsid w:val="0022334F"/>
    <w:rsid w:val="00225134"/>
    <w:rsid w:val="00226819"/>
    <w:rsid w:val="00233101"/>
    <w:rsid w:val="00233817"/>
    <w:rsid w:val="002352C7"/>
    <w:rsid w:val="002367FF"/>
    <w:rsid w:val="00240C24"/>
    <w:rsid w:val="00240CE9"/>
    <w:rsid w:val="002411CA"/>
    <w:rsid w:val="002434BA"/>
    <w:rsid w:val="00246089"/>
    <w:rsid w:val="00246093"/>
    <w:rsid w:val="00246702"/>
    <w:rsid w:val="00247C59"/>
    <w:rsid w:val="00247F2E"/>
    <w:rsid w:val="00250ADC"/>
    <w:rsid w:val="00250B07"/>
    <w:rsid w:val="00257553"/>
    <w:rsid w:val="00260FB2"/>
    <w:rsid w:val="00262128"/>
    <w:rsid w:val="0027165D"/>
    <w:rsid w:val="00271EB7"/>
    <w:rsid w:val="00273CEB"/>
    <w:rsid w:val="00274A6E"/>
    <w:rsid w:val="00281C89"/>
    <w:rsid w:val="0028282F"/>
    <w:rsid w:val="00283A20"/>
    <w:rsid w:val="002918CB"/>
    <w:rsid w:val="002956C4"/>
    <w:rsid w:val="0029593B"/>
    <w:rsid w:val="00297FC5"/>
    <w:rsid w:val="002A0417"/>
    <w:rsid w:val="002A16D8"/>
    <w:rsid w:val="002A1BC8"/>
    <w:rsid w:val="002A3EF2"/>
    <w:rsid w:val="002A502B"/>
    <w:rsid w:val="002A55CB"/>
    <w:rsid w:val="002B0DED"/>
    <w:rsid w:val="002B19A2"/>
    <w:rsid w:val="002B1B45"/>
    <w:rsid w:val="002B381A"/>
    <w:rsid w:val="002B3DF6"/>
    <w:rsid w:val="002B4FCC"/>
    <w:rsid w:val="002B7408"/>
    <w:rsid w:val="002B7CFD"/>
    <w:rsid w:val="002C0AA8"/>
    <w:rsid w:val="002C210F"/>
    <w:rsid w:val="002D2461"/>
    <w:rsid w:val="002D3600"/>
    <w:rsid w:val="002E4DDC"/>
    <w:rsid w:val="00302480"/>
    <w:rsid w:val="003165E6"/>
    <w:rsid w:val="003221CF"/>
    <w:rsid w:val="00322468"/>
    <w:rsid w:val="003233ED"/>
    <w:rsid w:val="00324D9F"/>
    <w:rsid w:val="00327948"/>
    <w:rsid w:val="0033000F"/>
    <w:rsid w:val="00332011"/>
    <w:rsid w:val="00332518"/>
    <w:rsid w:val="00332925"/>
    <w:rsid w:val="003332ED"/>
    <w:rsid w:val="003337CF"/>
    <w:rsid w:val="003368DC"/>
    <w:rsid w:val="00345927"/>
    <w:rsid w:val="00350584"/>
    <w:rsid w:val="00351857"/>
    <w:rsid w:val="003545E8"/>
    <w:rsid w:val="003610E1"/>
    <w:rsid w:val="0036203D"/>
    <w:rsid w:val="003649C7"/>
    <w:rsid w:val="003671BE"/>
    <w:rsid w:val="00372485"/>
    <w:rsid w:val="00373200"/>
    <w:rsid w:val="00375EF5"/>
    <w:rsid w:val="00375F63"/>
    <w:rsid w:val="003767A5"/>
    <w:rsid w:val="003775C4"/>
    <w:rsid w:val="003818BA"/>
    <w:rsid w:val="003843DB"/>
    <w:rsid w:val="00385254"/>
    <w:rsid w:val="0039046B"/>
    <w:rsid w:val="003931C4"/>
    <w:rsid w:val="003A04DB"/>
    <w:rsid w:val="003A1050"/>
    <w:rsid w:val="003A5F5B"/>
    <w:rsid w:val="003A789A"/>
    <w:rsid w:val="003A78D0"/>
    <w:rsid w:val="003B12EC"/>
    <w:rsid w:val="003B61BD"/>
    <w:rsid w:val="003B7080"/>
    <w:rsid w:val="003C77E0"/>
    <w:rsid w:val="003D17D7"/>
    <w:rsid w:val="003D2678"/>
    <w:rsid w:val="003D71A3"/>
    <w:rsid w:val="003E024F"/>
    <w:rsid w:val="003E2B8A"/>
    <w:rsid w:val="003E45D9"/>
    <w:rsid w:val="003F10EE"/>
    <w:rsid w:val="003F16F6"/>
    <w:rsid w:val="003F4DC7"/>
    <w:rsid w:val="003F5235"/>
    <w:rsid w:val="00401FE9"/>
    <w:rsid w:val="004027E4"/>
    <w:rsid w:val="00403B8F"/>
    <w:rsid w:val="004101E6"/>
    <w:rsid w:val="0041071D"/>
    <w:rsid w:val="0041475D"/>
    <w:rsid w:val="00414AFC"/>
    <w:rsid w:val="004151A7"/>
    <w:rsid w:val="00415310"/>
    <w:rsid w:val="00420359"/>
    <w:rsid w:val="00421709"/>
    <w:rsid w:val="00423763"/>
    <w:rsid w:val="0042762F"/>
    <w:rsid w:val="00427DC7"/>
    <w:rsid w:val="00431613"/>
    <w:rsid w:val="00431792"/>
    <w:rsid w:val="0043297A"/>
    <w:rsid w:val="00432EB2"/>
    <w:rsid w:val="00436CEF"/>
    <w:rsid w:val="0043714F"/>
    <w:rsid w:val="004438B5"/>
    <w:rsid w:val="00447037"/>
    <w:rsid w:val="0045124D"/>
    <w:rsid w:val="00451524"/>
    <w:rsid w:val="00451791"/>
    <w:rsid w:val="0045221C"/>
    <w:rsid w:val="00454596"/>
    <w:rsid w:val="0045605D"/>
    <w:rsid w:val="0046135B"/>
    <w:rsid w:val="00461D47"/>
    <w:rsid w:val="004637C5"/>
    <w:rsid w:val="004718CC"/>
    <w:rsid w:val="00472198"/>
    <w:rsid w:val="0047364E"/>
    <w:rsid w:val="00481695"/>
    <w:rsid w:val="00495A96"/>
    <w:rsid w:val="00495BB3"/>
    <w:rsid w:val="0049626F"/>
    <w:rsid w:val="004A56BB"/>
    <w:rsid w:val="004B1751"/>
    <w:rsid w:val="004B3307"/>
    <w:rsid w:val="004B4599"/>
    <w:rsid w:val="004C0253"/>
    <w:rsid w:val="004C48F8"/>
    <w:rsid w:val="004D0DEA"/>
    <w:rsid w:val="004D56FF"/>
    <w:rsid w:val="004D6C54"/>
    <w:rsid w:val="004E39D3"/>
    <w:rsid w:val="004E508A"/>
    <w:rsid w:val="004E616D"/>
    <w:rsid w:val="004E7D1D"/>
    <w:rsid w:val="004F1BDE"/>
    <w:rsid w:val="004F2CEE"/>
    <w:rsid w:val="004F556E"/>
    <w:rsid w:val="004F7F44"/>
    <w:rsid w:val="005037B4"/>
    <w:rsid w:val="005079BF"/>
    <w:rsid w:val="0051269A"/>
    <w:rsid w:val="005219E7"/>
    <w:rsid w:val="00531B9A"/>
    <w:rsid w:val="00531D15"/>
    <w:rsid w:val="005356C6"/>
    <w:rsid w:val="00537604"/>
    <w:rsid w:val="00542377"/>
    <w:rsid w:val="00543BED"/>
    <w:rsid w:val="00543D25"/>
    <w:rsid w:val="00544100"/>
    <w:rsid w:val="005476EB"/>
    <w:rsid w:val="00551782"/>
    <w:rsid w:val="00563EF1"/>
    <w:rsid w:val="00566AB4"/>
    <w:rsid w:val="00575AC5"/>
    <w:rsid w:val="00575C0E"/>
    <w:rsid w:val="0057605D"/>
    <w:rsid w:val="00581347"/>
    <w:rsid w:val="00581AC9"/>
    <w:rsid w:val="00582322"/>
    <w:rsid w:val="005849F8"/>
    <w:rsid w:val="00586467"/>
    <w:rsid w:val="00586C86"/>
    <w:rsid w:val="00587B80"/>
    <w:rsid w:val="00590883"/>
    <w:rsid w:val="005938DF"/>
    <w:rsid w:val="00594E9C"/>
    <w:rsid w:val="005A099B"/>
    <w:rsid w:val="005A2D9C"/>
    <w:rsid w:val="005A55FE"/>
    <w:rsid w:val="005A6A11"/>
    <w:rsid w:val="005C36A7"/>
    <w:rsid w:val="005C7882"/>
    <w:rsid w:val="005D148A"/>
    <w:rsid w:val="005D2502"/>
    <w:rsid w:val="005D261D"/>
    <w:rsid w:val="005D40BB"/>
    <w:rsid w:val="005D47F3"/>
    <w:rsid w:val="005D49BF"/>
    <w:rsid w:val="005D6F4E"/>
    <w:rsid w:val="005D7C73"/>
    <w:rsid w:val="005E0BFE"/>
    <w:rsid w:val="005E3ACD"/>
    <w:rsid w:val="005E6A11"/>
    <w:rsid w:val="005E7226"/>
    <w:rsid w:val="005E748A"/>
    <w:rsid w:val="005E7A57"/>
    <w:rsid w:val="005F24B0"/>
    <w:rsid w:val="005F305C"/>
    <w:rsid w:val="005F607C"/>
    <w:rsid w:val="005F67F9"/>
    <w:rsid w:val="00604315"/>
    <w:rsid w:val="00604E26"/>
    <w:rsid w:val="006052CF"/>
    <w:rsid w:val="00607B8D"/>
    <w:rsid w:val="00611F5C"/>
    <w:rsid w:val="00616E09"/>
    <w:rsid w:val="00622A3B"/>
    <w:rsid w:val="00622EEA"/>
    <w:rsid w:val="0062396C"/>
    <w:rsid w:val="00623FF9"/>
    <w:rsid w:val="00627D4E"/>
    <w:rsid w:val="00634478"/>
    <w:rsid w:val="00644373"/>
    <w:rsid w:val="00645915"/>
    <w:rsid w:val="006519C3"/>
    <w:rsid w:val="00652B30"/>
    <w:rsid w:val="00652EC1"/>
    <w:rsid w:val="00656345"/>
    <w:rsid w:val="00656DC6"/>
    <w:rsid w:val="00660EC6"/>
    <w:rsid w:val="00664110"/>
    <w:rsid w:val="00664D17"/>
    <w:rsid w:val="00666520"/>
    <w:rsid w:val="00667C5B"/>
    <w:rsid w:val="0067539B"/>
    <w:rsid w:val="00676648"/>
    <w:rsid w:val="00692306"/>
    <w:rsid w:val="00692CDE"/>
    <w:rsid w:val="00693073"/>
    <w:rsid w:val="006977FF"/>
    <w:rsid w:val="006A01FA"/>
    <w:rsid w:val="006A0E9E"/>
    <w:rsid w:val="006A25C7"/>
    <w:rsid w:val="006A4AAD"/>
    <w:rsid w:val="006A6DA2"/>
    <w:rsid w:val="006A7AB2"/>
    <w:rsid w:val="006B34DB"/>
    <w:rsid w:val="006B5717"/>
    <w:rsid w:val="006B582F"/>
    <w:rsid w:val="006C0CEB"/>
    <w:rsid w:val="006C105A"/>
    <w:rsid w:val="006C28F0"/>
    <w:rsid w:val="006C391D"/>
    <w:rsid w:val="006C3B1E"/>
    <w:rsid w:val="006C47FD"/>
    <w:rsid w:val="006C5C19"/>
    <w:rsid w:val="006C70A0"/>
    <w:rsid w:val="006D27CB"/>
    <w:rsid w:val="006D2F08"/>
    <w:rsid w:val="006D576C"/>
    <w:rsid w:val="006D5865"/>
    <w:rsid w:val="006E4B1B"/>
    <w:rsid w:val="006E5445"/>
    <w:rsid w:val="006E5BFA"/>
    <w:rsid w:val="006E7D93"/>
    <w:rsid w:val="007029A3"/>
    <w:rsid w:val="0070412E"/>
    <w:rsid w:val="00706E4E"/>
    <w:rsid w:val="0070791C"/>
    <w:rsid w:val="0071383C"/>
    <w:rsid w:val="007141A7"/>
    <w:rsid w:val="00715722"/>
    <w:rsid w:val="00721032"/>
    <w:rsid w:val="00721B55"/>
    <w:rsid w:val="00726CE4"/>
    <w:rsid w:val="00734143"/>
    <w:rsid w:val="00737D63"/>
    <w:rsid w:val="00737E47"/>
    <w:rsid w:val="00740817"/>
    <w:rsid w:val="00740EAC"/>
    <w:rsid w:val="00744956"/>
    <w:rsid w:val="00745A5C"/>
    <w:rsid w:val="0074605F"/>
    <w:rsid w:val="00747E94"/>
    <w:rsid w:val="00754C83"/>
    <w:rsid w:val="0076286D"/>
    <w:rsid w:val="00765DF8"/>
    <w:rsid w:val="00766749"/>
    <w:rsid w:val="00767C1B"/>
    <w:rsid w:val="007714A9"/>
    <w:rsid w:val="00774F88"/>
    <w:rsid w:val="00774FDB"/>
    <w:rsid w:val="00777BA2"/>
    <w:rsid w:val="00781408"/>
    <w:rsid w:val="007832AD"/>
    <w:rsid w:val="00784F7F"/>
    <w:rsid w:val="007878BD"/>
    <w:rsid w:val="00796F25"/>
    <w:rsid w:val="007A2E98"/>
    <w:rsid w:val="007A31CF"/>
    <w:rsid w:val="007A3BA3"/>
    <w:rsid w:val="007A4B91"/>
    <w:rsid w:val="007A6CC0"/>
    <w:rsid w:val="007A7FEC"/>
    <w:rsid w:val="007B1499"/>
    <w:rsid w:val="007B1BBF"/>
    <w:rsid w:val="007B2960"/>
    <w:rsid w:val="007B2E23"/>
    <w:rsid w:val="007B355D"/>
    <w:rsid w:val="007B5FA9"/>
    <w:rsid w:val="007B7980"/>
    <w:rsid w:val="007C0DEF"/>
    <w:rsid w:val="007C5D5A"/>
    <w:rsid w:val="007C607F"/>
    <w:rsid w:val="007C79DD"/>
    <w:rsid w:val="007D1A97"/>
    <w:rsid w:val="007D2CD6"/>
    <w:rsid w:val="007D3063"/>
    <w:rsid w:val="007D34E7"/>
    <w:rsid w:val="007D3CEB"/>
    <w:rsid w:val="007E12A6"/>
    <w:rsid w:val="007E1C38"/>
    <w:rsid w:val="007E7683"/>
    <w:rsid w:val="007E7731"/>
    <w:rsid w:val="007F49FA"/>
    <w:rsid w:val="007F54C4"/>
    <w:rsid w:val="007F5C84"/>
    <w:rsid w:val="007F6E9A"/>
    <w:rsid w:val="00800218"/>
    <w:rsid w:val="008044D4"/>
    <w:rsid w:val="00804AF2"/>
    <w:rsid w:val="00810AB4"/>
    <w:rsid w:val="0081354C"/>
    <w:rsid w:val="00817B56"/>
    <w:rsid w:val="00821A88"/>
    <w:rsid w:val="0082495D"/>
    <w:rsid w:val="00831AC3"/>
    <w:rsid w:val="008408FF"/>
    <w:rsid w:val="008508AB"/>
    <w:rsid w:val="00851F3F"/>
    <w:rsid w:val="00856EDC"/>
    <w:rsid w:val="008623B5"/>
    <w:rsid w:val="00870ABA"/>
    <w:rsid w:val="008710E1"/>
    <w:rsid w:val="008716E5"/>
    <w:rsid w:val="00881CA9"/>
    <w:rsid w:val="00883628"/>
    <w:rsid w:val="00885544"/>
    <w:rsid w:val="0088634E"/>
    <w:rsid w:val="00886FB5"/>
    <w:rsid w:val="00893AB8"/>
    <w:rsid w:val="00895A9F"/>
    <w:rsid w:val="008A04C8"/>
    <w:rsid w:val="008A6913"/>
    <w:rsid w:val="008B0DD8"/>
    <w:rsid w:val="008B4B4F"/>
    <w:rsid w:val="008B70F3"/>
    <w:rsid w:val="008B76DF"/>
    <w:rsid w:val="008C10F4"/>
    <w:rsid w:val="008C4F95"/>
    <w:rsid w:val="008C65F7"/>
    <w:rsid w:val="008E2436"/>
    <w:rsid w:val="008E4767"/>
    <w:rsid w:val="008E7A8C"/>
    <w:rsid w:val="00900F0C"/>
    <w:rsid w:val="00903285"/>
    <w:rsid w:val="00904721"/>
    <w:rsid w:val="00906F40"/>
    <w:rsid w:val="0090731E"/>
    <w:rsid w:val="00910745"/>
    <w:rsid w:val="00915B1C"/>
    <w:rsid w:val="009174F3"/>
    <w:rsid w:val="0091797D"/>
    <w:rsid w:val="00921898"/>
    <w:rsid w:val="00923CBA"/>
    <w:rsid w:val="00923DE8"/>
    <w:rsid w:val="00926703"/>
    <w:rsid w:val="00927691"/>
    <w:rsid w:val="00927A5F"/>
    <w:rsid w:val="00935B63"/>
    <w:rsid w:val="0094078F"/>
    <w:rsid w:val="00940FA3"/>
    <w:rsid w:val="00941FB0"/>
    <w:rsid w:val="009426D4"/>
    <w:rsid w:val="009427D4"/>
    <w:rsid w:val="0094347B"/>
    <w:rsid w:val="009467D2"/>
    <w:rsid w:val="0094720C"/>
    <w:rsid w:val="00947F25"/>
    <w:rsid w:val="00950159"/>
    <w:rsid w:val="009510F4"/>
    <w:rsid w:val="0095490B"/>
    <w:rsid w:val="00960A33"/>
    <w:rsid w:val="00971914"/>
    <w:rsid w:val="00971D54"/>
    <w:rsid w:val="009734C3"/>
    <w:rsid w:val="00974363"/>
    <w:rsid w:val="00981898"/>
    <w:rsid w:val="00983C19"/>
    <w:rsid w:val="00983E51"/>
    <w:rsid w:val="0099577C"/>
    <w:rsid w:val="00995CA3"/>
    <w:rsid w:val="009A6DDE"/>
    <w:rsid w:val="009B2601"/>
    <w:rsid w:val="009B4E9E"/>
    <w:rsid w:val="009C0190"/>
    <w:rsid w:val="009C1690"/>
    <w:rsid w:val="009C6881"/>
    <w:rsid w:val="009C7759"/>
    <w:rsid w:val="009D043D"/>
    <w:rsid w:val="009D07C8"/>
    <w:rsid w:val="009D6C71"/>
    <w:rsid w:val="009E0631"/>
    <w:rsid w:val="009E16D0"/>
    <w:rsid w:val="009E38FD"/>
    <w:rsid w:val="009F13D6"/>
    <w:rsid w:val="009F24AF"/>
    <w:rsid w:val="009F4621"/>
    <w:rsid w:val="009F4C6B"/>
    <w:rsid w:val="009F78A8"/>
    <w:rsid w:val="00A02AD6"/>
    <w:rsid w:val="00A07096"/>
    <w:rsid w:val="00A07318"/>
    <w:rsid w:val="00A101E8"/>
    <w:rsid w:val="00A11370"/>
    <w:rsid w:val="00A224CE"/>
    <w:rsid w:val="00A22522"/>
    <w:rsid w:val="00A24AFD"/>
    <w:rsid w:val="00A24F5C"/>
    <w:rsid w:val="00A26FF8"/>
    <w:rsid w:val="00A30C55"/>
    <w:rsid w:val="00A325C9"/>
    <w:rsid w:val="00A32F96"/>
    <w:rsid w:val="00A337D1"/>
    <w:rsid w:val="00A35266"/>
    <w:rsid w:val="00A40871"/>
    <w:rsid w:val="00A40947"/>
    <w:rsid w:val="00A412AB"/>
    <w:rsid w:val="00A4193E"/>
    <w:rsid w:val="00A440E0"/>
    <w:rsid w:val="00A442EF"/>
    <w:rsid w:val="00A51D1A"/>
    <w:rsid w:val="00A53AA1"/>
    <w:rsid w:val="00A5418D"/>
    <w:rsid w:val="00A5474E"/>
    <w:rsid w:val="00A67038"/>
    <w:rsid w:val="00A70ADF"/>
    <w:rsid w:val="00A71466"/>
    <w:rsid w:val="00A73E78"/>
    <w:rsid w:val="00A74B5E"/>
    <w:rsid w:val="00A767E6"/>
    <w:rsid w:val="00A81BED"/>
    <w:rsid w:val="00A81EC4"/>
    <w:rsid w:val="00A839AF"/>
    <w:rsid w:val="00A86591"/>
    <w:rsid w:val="00A959B4"/>
    <w:rsid w:val="00A967FD"/>
    <w:rsid w:val="00A96B15"/>
    <w:rsid w:val="00A96DFE"/>
    <w:rsid w:val="00AA40EB"/>
    <w:rsid w:val="00AB156C"/>
    <w:rsid w:val="00AB6814"/>
    <w:rsid w:val="00AC04BA"/>
    <w:rsid w:val="00AC0E39"/>
    <w:rsid w:val="00AC2524"/>
    <w:rsid w:val="00AC25AF"/>
    <w:rsid w:val="00AC5F18"/>
    <w:rsid w:val="00AD3082"/>
    <w:rsid w:val="00AD4AD0"/>
    <w:rsid w:val="00AD5436"/>
    <w:rsid w:val="00AD60CD"/>
    <w:rsid w:val="00AD6C8C"/>
    <w:rsid w:val="00AE091D"/>
    <w:rsid w:val="00AE0A87"/>
    <w:rsid w:val="00AE3B60"/>
    <w:rsid w:val="00AE53A1"/>
    <w:rsid w:val="00AF2484"/>
    <w:rsid w:val="00AF63E7"/>
    <w:rsid w:val="00AF6E17"/>
    <w:rsid w:val="00B0165D"/>
    <w:rsid w:val="00B01B60"/>
    <w:rsid w:val="00B02DE5"/>
    <w:rsid w:val="00B02FDF"/>
    <w:rsid w:val="00B031F3"/>
    <w:rsid w:val="00B052A4"/>
    <w:rsid w:val="00B125DE"/>
    <w:rsid w:val="00B13FDD"/>
    <w:rsid w:val="00B17C09"/>
    <w:rsid w:val="00B22451"/>
    <w:rsid w:val="00B227C9"/>
    <w:rsid w:val="00B22EB2"/>
    <w:rsid w:val="00B25B85"/>
    <w:rsid w:val="00B27442"/>
    <w:rsid w:val="00B31167"/>
    <w:rsid w:val="00B31D38"/>
    <w:rsid w:val="00B329D8"/>
    <w:rsid w:val="00B32BB9"/>
    <w:rsid w:val="00B3386F"/>
    <w:rsid w:val="00B33AE1"/>
    <w:rsid w:val="00B37C38"/>
    <w:rsid w:val="00B4067E"/>
    <w:rsid w:val="00B4288C"/>
    <w:rsid w:val="00B43262"/>
    <w:rsid w:val="00B44100"/>
    <w:rsid w:val="00B46CBA"/>
    <w:rsid w:val="00B46F94"/>
    <w:rsid w:val="00B4761C"/>
    <w:rsid w:val="00B6003C"/>
    <w:rsid w:val="00B61F03"/>
    <w:rsid w:val="00B626E4"/>
    <w:rsid w:val="00B63CC0"/>
    <w:rsid w:val="00B72F4A"/>
    <w:rsid w:val="00B73ECC"/>
    <w:rsid w:val="00B77FA0"/>
    <w:rsid w:val="00B83C27"/>
    <w:rsid w:val="00B84BC3"/>
    <w:rsid w:val="00B84BDD"/>
    <w:rsid w:val="00B853A3"/>
    <w:rsid w:val="00B91268"/>
    <w:rsid w:val="00B92812"/>
    <w:rsid w:val="00B95F86"/>
    <w:rsid w:val="00BB062B"/>
    <w:rsid w:val="00BB45A1"/>
    <w:rsid w:val="00BB7686"/>
    <w:rsid w:val="00BC11EA"/>
    <w:rsid w:val="00BC23F9"/>
    <w:rsid w:val="00BC3421"/>
    <w:rsid w:val="00BC732C"/>
    <w:rsid w:val="00BD15BC"/>
    <w:rsid w:val="00BE1DCB"/>
    <w:rsid w:val="00BE2557"/>
    <w:rsid w:val="00BE2580"/>
    <w:rsid w:val="00BE266D"/>
    <w:rsid w:val="00BE3938"/>
    <w:rsid w:val="00BE4C11"/>
    <w:rsid w:val="00BE71C0"/>
    <w:rsid w:val="00BF610C"/>
    <w:rsid w:val="00C0060B"/>
    <w:rsid w:val="00C0277D"/>
    <w:rsid w:val="00C053A1"/>
    <w:rsid w:val="00C16198"/>
    <w:rsid w:val="00C2083D"/>
    <w:rsid w:val="00C24A53"/>
    <w:rsid w:val="00C34A05"/>
    <w:rsid w:val="00C356DD"/>
    <w:rsid w:val="00C4032F"/>
    <w:rsid w:val="00C44047"/>
    <w:rsid w:val="00C45155"/>
    <w:rsid w:val="00C5498F"/>
    <w:rsid w:val="00C55235"/>
    <w:rsid w:val="00C62277"/>
    <w:rsid w:val="00C64CD0"/>
    <w:rsid w:val="00C6684F"/>
    <w:rsid w:val="00C70E70"/>
    <w:rsid w:val="00C75F8D"/>
    <w:rsid w:val="00C77380"/>
    <w:rsid w:val="00C9140E"/>
    <w:rsid w:val="00C97736"/>
    <w:rsid w:val="00CA345A"/>
    <w:rsid w:val="00CA65D6"/>
    <w:rsid w:val="00CB1E82"/>
    <w:rsid w:val="00CB44D6"/>
    <w:rsid w:val="00CB4BA8"/>
    <w:rsid w:val="00CB52D7"/>
    <w:rsid w:val="00CB72A3"/>
    <w:rsid w:val="00CC6732"/>
    <w:rsid w:val="00CD5686"/>
    <w:rsid w:val="00CE3C96"/>
    <w:rsid w:val="00CE51A8"/>
    <w:rsid w:val="00CE54D3"/>
    <w:rsid w:val="00CF369B"/>
    <w:rsid w:val="00CF4F06"/>
    <w:rsid w:val="00CF647F"/>
    <w:rsid w:val="00D00E28"/>
    <w:rsid w:val="00D0269E"/>
    <w:rsid w:val="00D07910"/>
    <w:rsid w:val="00D07CD9"/>
    <w:rsid w:val="00D15810"/>
    <w:rsid w:val="00D16D4E"/>
    <w:rsid w:val="00D16FE3"/>
    <w:rsid w:val="00D27F41"/>
    <w:rsid w:val="00D36441"/>
    <w:rsid w:val="00D4064E"/>
    <w:rsid w:val="00D44E9B"/>
    <w:rsid w:val="00D47AEB"/>
    <w:rsid w:val="00D50DB9"/>
    <w:rsid w:val="00D51302"/>
    <w:rsid w:val="00D52C43"/>
    <w:rsid w:val="00D6507F"/>
    <w:rsid w:val="00D67EC2"/>
    <w:rsid w:val="00D706DB"/>
    <w:rsid w:val="00D730BC"/>
    <w:rsid w:val="00D73912"/>
    <w:rsid w:val="00D74EE7"/>
    <w:rsid w:val="00D7674C"/>
    <w:rsid w:val="00D85226"/>
    <w:rsid w:val="00D8610E"/>
    <w:rsid w:val="00D87B94"/>
    <w:rsid w:val="00D92D49"/>
    <w:rsid w:val="00D92EC1"/>
    <w:rsid w:val="00D96DEA"/>
    <w:rsid w:val="00DA4E41"/>
    <w:rsid w:val="00DB117A"/>
    <w:rsid w:val="00DB46B7"/>
    <w:rsid w:val="00DB5173"/>
    <w:rsid w:val="00DB7873"/>
    <w:rsid w:val="00DC187B"/>
    <w:rsid w:val="00DC5C14"/>
    <w:rsid w:val="00DC6C03"/>
    <w:rsid w:val="00DD1BFC"/>
    <w:rsid w:val="00DD73C2"/>
    <w:rsid w:val="00DE2E50"/>
    <w:rsid w:val="00DE319B"/>
    <w:rsid w:val="00DF0BA7"/>
    <w:rsid w:val="00DF34FE"/>
    <w:rsid w:val="00DF55C8"/>
    <w:rsid w:val="00DF56AA"/>
    <w:rsid w:val="00DF56AF"/>
    <w:rsid w:val="00DF78E7"/>
    <w:rsid w:val="00E01920"/>
    <w:rsid w:val="00E110E0"/>
    <w:rsid w:val="00E1331D"/>
    <w:rsid w:val="00E15371"/>
    <w:rsid w:val="00E24104"/>
    <w:rsid w:val="00E302D0"/>
    <w:rsid w:val="00E3066D"/>
    <w:rsid w:val="00E35707"/>
    <w:rsid w:val="00E36AA1"/>
    <w:rsid w:val="00E41ECB"/>
    <w:rsid w:val="00E43BEE"/>
    <w:rsid w:val="00E43F40"/>
    <w:rsid w:val="00E54FDB"/>
    <w:rsid w:val="00E5617D"/>
    <w:rsid w:val="00E563D7"/>
    <w:rsid w:val="00E61A2D"/>
    <w:rsid w:val="00E63156"/>
    <w:rsid w:val="00E657B5"/>
    <w:rsid w:val="00E661ED"/>
    <w:rsid w:val="00E663F4"/>
    <w:rsid w:val="00E666F2"/>
    <w:rsid w:val="00E66DD4"/>
    <w:rsid w:val="00E748CC"/>
    <w:rsid w:val="00E75415"/>
    <w:rsid w:val="00E775B1"/>
    <w:rsid w:val="00E80CAB"/>
    <w:rsid w:val="00E8152A"/>
    <w:rsid w:val="00E87300"/>
    <w:rsid w:val="00E93629"/>
    <w:rsid w:val="00E93B5C"/>
    <w:rsid w:val="00E94CEC"/>
    <w:rsid w:val="00E97C05"/>
    <w:rsid w:val="00EA028A"/>
    <w:rsid w:val="00EA04EF"/>
    <w:rsid w:val="00EA43A0"/>
    <w:rsid w:val="00EA6F19"/>
    <w:rsid w:val="00EB7090"/>
    <w:rsid w:val="00EC1BBE"/>
    <w:rsid w:val="00EC5CD7"/>
    <w:rsid w:val="00EE4256"/>
    <w:rsid w:val="00EE5FB3"/>
    <w:rsid w:val="00EE7F79"/>
    <w:rsid w:val="00EF3D84"/>
    <w:rsid w:val="00EF715A"/>
    <w:rsid w:val="00EF789B"/>
    <w:rsid w:val="00F05197"/>
    <w:rsid w:val="00F06E14"/>
    <w:rsid w:val="00F11CA4"/>
    <w:rsid w:val="00F1475E"/>
    <w:rsid w:val="00F169C3"/>
    <w:rsid w:val="00F179D4"/>
    <w:rsid w:val="00F33C56"/>
    <w:rsid w:val="00F347C7"/>
    <w:rsid w:val="00F34848"/>
    <w:rsid w:val="00F42D46"/>
    <w:rsid w:val="00F4496C"/>
    <w:rsid w:val="00F44F3A"/>
    <w:rsid w:val="00F47AE8"/>
    <w:rsid w:val="00F51F10"/>
    <w:rsid w:val="00F529A5"/>
    <w:rsid w:val="00F60F00"/>
    <w:rsid w:val="00F614C0"/>
    <w:rsid w:val="00F70ABB"/>
    <w:rsid w:val="00F748DB"/>
    <w:rsid w:val="00F83848"/>
    <w:rsid w:val="00F975E9"/>
    <w:rsid w:val="00FA1B7D"/>
    <w:rsid w:val="00FB0106"/>
    <w:rsid w:val="00FC07B9"/>
    <w:rsid w:val="00FC12AB"/>
    <w:rsid w:val="00FC4E21"/>
    <w:rsid w:val="00FC5F6D"/>
    <w:rsid w:val="00FD0107"/>
    <w:rsid w:val="00FD2C2F"/>
    <w:rsid w:val="00FD3B31"/>
    <w:rsid w:val="00FE1145"/>
    <w:rsid w:val="00FE1823"/>
    <w:rsid w:val="00FE487A"/>
    <w:rsid w:val="00FE6C7F"/>
    <w:rsid w:val="00FF0569"/>
    <w:rsid w:val="00FF206E"/>
    <w:rsid w:val="00FF2725"/>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CE32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4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A325C9"/>
    <w:pPr>
      <w:spacing w:before="12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rsid w:val="00451524"/>
    <w:pPr>
      <w:spacing w:line="200" w:lineRule="atLeast"/>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semiHidden/>
    <w:rsid w:val="00EE7F79"/>
    <w:pPr>
      <w:spacing w:line="240" w:lineRule="auto"/>
    </w:pPr>
    <w:rPr>
      <w:szCs w:val="20"/>
    </w:rPr>
  </w:style>
  <w:style w:type="character" w:customStyle="1" w:styleId="CommentTextChar">
    <w:name w:val="Comment Text Char"/>
    <w:basedOn w:val="DefaultParagraphFont"/>
    <w:link w:val="CommentText"/>
    <w:uiPriority w:val="4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paragraph" w:styleId="ListParagraph">
    <w:name w:val="List Paragraph"/>
    <w:aliases w:val="List Paragraph1,Recommendation,bullet point list,List Paragraph11"/>
    <w:basedOn w:val="Normal"/>
    <w:link w:val="ListParagraphChar"/>
    <w:uiPriority w:val="34"/>
    <w:qFormat/>
    <w:rsid w:val="004D0DEA"/>
    <w:pPr>
      <w:spacing w:after="0"/>
      <w:ind w:left="720"/>
      <w:contextualSpacing/>
    </w:pPr>
  </w:style>
  <w:style w:type="character" w:customStyle="1" w:styleId="ListParagraphChar">
    <w:name w:val="List Paragraph Char"/>
    <w:aliases w:val="List Paragraph1 Char,Recommendation Char,bullet point list Char,List Paragraph11 Char"/>
    <w:basedOn w:val="DefaultParagraphFont"/>
    <w:link w:val="ListParagraph"/>
    <w:uiPriority w:val="34"/>
    <w:locked/>
    <w:rsid w:val="004D0DEA"/>
    <w:rPr>
      <w:rFonts w:ascii="Arial" w:hAnsi="Arial"/>
      <w:sz w:val="20"/>
    </w:rPr>
  </w:style>
  <w:style w:type="paragraph" w:customStyle="1" w:styleId="ACMABodyText">
    <w:name w:val="ACMA Body Text"/>
    <w:link w:val="ACMABodyTextChar"/>
    <w:rsid w:val="004D0DEA"/>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4D0DEA"/>
    <w:rPr>
      <w:snapToGrid w:val="0"/>
      <w:szCs w:val="20"/>
      <w:lang w:eastAsia="en-US"/>
    </w:rPr>
  </w:style>
  <w:style w:type="paragraph" w:customStyle="1" w:styleId="ExecSummaryHeading">
    <w:name w:val="Exec Summary Heading"/>
    <w:basedOn w:val="Normal"/>
    <w:rsid w:val="004D0DEA"/>
    <w:pPr>
      <w:spacing w:after="1440" w:line="550" w:lineRule="exact"/>
    </w:pPr>
    <w:rPr>
      <w:b/>
      <w:color w:val="4D4D4F"/>
      <w:spacing w:val="-18"/>
      <w:sz w:val="53"/>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rsid w:val="00451524"/>
    <w:rPr>
      <w:rFonts w:ascii="Arial" w:hAnsi="Arial"/>
      <w:sz w:val="16"/>
      <w:szCs w:val="16"/>
    </w:rPr>
  </w:style>
  <w:style w:type="paragraph" w:customStyle="1" w:styleId="ACMABodyText0">
    <w:name w:val="ACMA_BodyText"/>
    <w:qFormat/>
    <w:rsid w:val="004D0DEA"/>
    <w:pPr>
      <w:suppressAutoHyphens/>
      <w:spacing w:after="80" w:line="280" w:lineRule="atLeast"/>
    </w:pPr>
    <w:rPr>
      <w:rFonts w:ascii="Arial" w:hAnsi="Arial"/>
      <w:snapToGrid w:val="0"/>
      <w:sz w:val="19"/>
      <w:szCs w:val="20"/>
      <w:lang w:eastAsia="en-US"/>
    </w:rPr>
  </w:style>
  <w:style w:type="paragraph" w:styleId="NormalWeb">
    <w:name w:val="Normal (Web)"/>
    <w:basedOn w:val="Normal"/>
    <w:uiPriority w:val="99"/>
    <w:unhideWhenUsed/>
    <w:rsid w:val="004D0DEA"/>
    <w:pPr>
      <w:spacing w:line="240" w:lineRule="auto"/>
    </w:pPr>
    <w:rPr>
      <w:rFonts w:ascii="Times New Roman" w:hAnsi="Times New Roman"/>
      <w:sz w:val="24"/>
    </w:rPr>
  </w:style>
  <w:style w:type="table" w:styleId="MediumGrid1-Accent5">
    <w:name w:val="Medium Grid 1 Accent 5"/>
    <w:basedOn w:val="TableNormal"/>
    <w:uiPriority w:val="67"/>
    <w:rsid w:val="004D0DEA"/>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character" w:customStyle="1" w:styleId="Heading2Char">
    <w:name w:val="Heading 2 Char"/>
    <w:basedOn w:val="DefaultParagraphFont"/>
    <w:link w:val="Heading2"/>
    <w:rsid w:val="004D0DEA"/>
    <w:rPr>
      <w:rFonts w:ascii="Arial" w:hAnsi="Arial" w:cs="Arial"/>
      <w:b/>
      <w:bCs/>
      <w:iCs/>
      <w:sz w:val="28"/>
      <w:szCs w:val="28"/>
    </w:rPr>
  </w:style>
  <w:style w:type="character" w:customStyle="1" w:styleId="Heading3Char">
    <w:name w:val="Heading 3 Char"/>
    <w:basedOn w:val="DefaultParagraphFont"/>
    <w:link w:val="Heading3"/>
    <w:rsid w:val="004D0DEA"/>
    <w:rPr>
      <w:rFonts w:ascii="Arial" w:hAnsi="Arial" w:cs="Arial"/>
      <w:b/>
      <w:bCs/>
      <w:sz w:val="20"/>
      <w:szCs w:val="26"/>
    </w:rPr>
  </w:style>
  <w:style w:type="paragraph" w:customStyle="1" w:styleId="ReportTitle">
    <w:name w:val="Report Title"/>
    <w:basedOn w:val="Normal"/>
    <w:rsid w:val="004D0DEA"/>
    <w:pPr>
      <w:spacing w:after="0" w:line="560" w:lineRule="exact"/>
    </w:pPr>
    <w:rPr>
      <w:b/>
      <w:color w:val="4D4D4F"/>
      <w:spacing w:val="-28"/>
      <w:sz w:val="53"/>
    </w:rPr>
  </w:style>
  <w:style w:type="paragraph" w:customStyle="1" w:styleId="ReportSubtitle">
    <w:name w:val="Report Sub title"/>
    <w:basedOn w:val="Normal"/>
    <w:rsid w:val="004D0DEA"/>
    <w:pPr>
      <w:spacing w:after="0" w:line="560" w:lineRule="exact"/>
    </w:pPr>
    <w:rPr>
      <w:color w:val="808285"/>
      <w:spacing w:val="-28"/>
      <w:sz w:val="53"/>
    </w:rPr>
  </w:style>
  <w:style w:type="paragraph" w:customStyle="1" w:styleId="ReportDate">
    <w:name w:val="Report Date"/>
    <w:basedOn w:val="ReportSubtitle"/>
    <w:rsid w:val="004D0DEA"/>
    <w:pPr>
      <w:spacing w:line="240" w:lineRule="auto"/>
    </w:pPr>
    <w:rPr>
      <w:caps/>
      <w:spacing w:val="-10"/>
      <w:sz w:val="20"/>
    </w:rPr>
  </w:style>
  <w:style w:type="paragraph" w:customStyle="1" w:styleId="Bodysubheader0">
    <w:name w:val="Body sub header"/>
    <w:basedOn w:val="Normal"/>
    <w:next w:val="Normal"/>
    <w:rsid w:val="004D0DEA"/>
    <w:pPr>
      <w:spacing w:after="0"/>
    </w:pPr>
    <w:rPr>
      <w:b/>
      <w:i/>
    </w:rPr>
  </w:style>
  <w:style w:type="paragraph" w:styleId="TOC9">
    <w:name w:val="toc 9"/>
    <w:aliases w:val="TOC ExecSumm"/>
    <w:basedOn w:val="Normal"/>
    <w:next w:val="Normal"/>
    <w:uiPriority w:val="39"/>
    <w:rsid w:val="004D0DEA"/>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4D0DEA"/>
    <w:pPr>
      <w:spacing w:after="0" w:line="560" w:lineRule="exact"/>
    </w:pPr>
    <w:rPr>
      <w:color w:val="808285"/>
      <w:spacing w:val="-28"/>
      <w:sz w:val="53"/>
    </w:rPr>
  </w:style>
  <w:style w:type="character" w:customStyle="1" w:styleId="apple-style-span">
    <w:name w:val="apple-style-span"/>
    <w:basedOn w:val="DefaultParagraphFont"/>
    <w:rsid w:val="004D0DEA"/>
  </w:style>
  <w:style w:type="table" w:customStyle="1" w:styleId="TableGrid1">
    <w:name w:val="Table Grid1"/>
    <w:basedOn w:val="TableNormal"/>
    <w:next w:val="TableGrid"/>
    <w:uiPriority w:val="59"/>
    <w:rsid w:val="004D0DEA"/>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D0DEA"/>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4D0DEA"/>
    <w:rPr>
      <w:rFonts w:ascii="Calibri" w:eastAsia="Calibri" w:hAnsi="Calibri"/>
      <w:sz w:val="22"/>
      <w:szCs w:val="22"/>
      <w:lang w:eastAsia="en-US"/>
    </w:rPr>
  </w:style>
  <w:style w:type="paragraph" w:styleId="Revision">
    <w:name w:val="Revision"/>
    <w:hidden/>
    <w:uiPriority w:val="99"/>
    <w:semiHidden/>
    <w:rsid w:val="004D0DEA"/>
    <w:rPr>
      <w:rFonts w:ascii="Arial" w:hAnsi="Arial"/>
      <w:sz w:val="20"/>
    </w:rPr>
  </w:style>
  <w:style w:type="character" w:customStyle="1" w:styleId="CaptionChar">
    <w:name w:val="Caption Char"/>
    <w:aliases w:val="Caption table Char"/>
    <w:basedOn w:val="DefaultParagraphFont"/>
    <w:link w:val="Caption"/>
    <w:rsid w:val="004D0DEA"/>
    <w:rPr>
      <w:rFonts w:ascii="Arial" w:hAnsi="Arial"/>
      <w:b/>
      <w:bCs/>
      <w:color w:val="323232"/>
      <w:sz w:val="20"/>
      <w:szCs w:val="20"/>
    </w:rPr>
  </w:style>
  <w:style w:type="character" w:customStyle="1" w:styleId="NoSpacingChar">
    <w:name w:val="No Spacing Char"/>
    <w:link w:val="NoSpacing"/>
    <w:uiPriority w:val="1"/>
    <w:locked/>
    <w:rsid w:val="004D0DEA"/>
    <w:rPr>
      <w:rFonts w:ascii="Calibri" w:eastAsia="Calibri" w:hAnsi="Calibri"/>
      <w:sz w:val="22"/>
      <w:szCs w:val="22"/>
      <w:lang w:eastAsia="en-US"/>
    </w:rPr>
  </w:style>
  <w:style w:type="paragraph" w:customStyle="1" w:styleId="StyleListParagraphListParagraph1ListParagraph11Recommendatio">
    <w:name w:val="Style List ParagraphList Paragraph1List Paragraph11Recommendatio..."/>
    <w:basedOn w:val="ListParagraph"/>
    <w:rsid w:val="004D0DEA"/>
    <w:pPr>
      <w:spacing w:after="240" w:line="240" w:lineRule="auto"/>
      <w:ind w:left="1134" w:hanging="567"/>
    </w:pPr>
    <w:rPr>
      <w:rFonts w:asciiTheme="minorHAnsi" w:hAnsiTheme="minorHAnsi"/>
      <w:sz w:val="22"/>
      <w:szCs w:val="20"/>
      <w:lang w:eastAsia="en-US"/>
    </w:rPr>
  </w:style>
  <w:style w:type="paragraph" w:customStyle="1" w:styleId="ACMAHeading3">
    <w:name w:val="ACMA Heading 3"/>
    <w:next w:val="ACMABodyText"/>
    <w:rsid w:val="004D0DEA"/>
    <w:pPr>
      <w:keepNext/>
      <w:tabs>
        <w:tab w:val="num" w:pos="720"/>
      </w:tabs>
      <w:suppressAutoHyphens/>
      <w:spacing w:before="240"/>
      <w:outlineLvl w:val="3"/>
    </w:pPr>
    <w:rPr>
      <w:rFonts w:ascii="Arial" w:hAnsi="Arial"/>
      <w:b/>
      <w:szCs w:val="20"/>
      <w:lang w:val="en-US" w:eastAsia="en-US"/>
    </w:rPr>
  </w:style>
  <w:style w:type="paragraph" w:customStyle="1" w:styleId="ACMANumberedList">
    <w:name w:val="ACMA Numbered List"/>
    <w:rsid w:val="004D0DEA"/>
    <w:pPr>
      <w:tabs>
        <w:tab w:val="num" w:pos="360"/>
      </w:tabs>
      <w:spacing w:before="20" w:after="20"/>
    </w:pPr>
    <w:rPr>
      <w:szCs w:val="20"/>
      <w:lang w:eastAsia="en-US"/>
    </w:rPr>
  </w:style>
  <w:style w:type="paragraph" w:customStyle="1" w:styleId="Summary">
    <w:name w:val="Summary"/>
    <w:basedOn w:val="Normal"/>
    <w:next w:val="Normal"/>
    <w:autoRedefine/>
    <w:rsid w:val="004D0DEA"/>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character" w:customStyle="1" w:styleId="Heading1Char">
    <w:name w:val="Heading 1 Char"/>
    <w:basedOn w:val="DefaultParagraphFont"/>
    <w:link w:val="Heading1"/>
    <w:rsid w:val="004D0DEA"/>
    <w:rPr>
      <w:rFonts w:ascii="Arial" w:hAnsi="Arial" w:cs="Arial"/>
      <w:bCs/>
      <w:color w:val="323232"/>
      <w:kern w:val="32"/>
      <w:sz w:val="53"/>
      <w:szCs w:val="32"/>
    </w:rPr>
  </w:style>
  <w:style w:type="paragraph" w:customStyle="1" w:styleId="Default">
    <w:name w:val="Default"/>
    <w:rsid w:val="004D0DEA"/>
    <w:pPr>
      <w:autoSpaceDE w:val="0"/>
      <w:autoSpaceDN w:val="0"/>
      <w:adjustRightInd w:val="0"/>
    </w:pPr>
    <w:rPr>
      <w:rFonts w:ascii="Arial" w:hAnsi="Arial" w:cs="Arial"/>
      <w:color w:val="000000"/>
    </w:rPr>
  </w:style>
  <w:style w:type="paragraph" w:customStyle="1" w:styleId="ACMABulletLevel1">
    <w:name w:val="ACMA Bullet Level 1"/>
    <w:rsid w:val="004D0DEA"/>
    <w:pPr>
      <w:numPr>
        <w:numId w:val="65"/>
      </w:numPr>
      <w:spacing w:after="120"/>
    </w:pPr>
    <w:rPr>
      <w:szCs w:val="20"/>
      <w:lang w:eastAsia="en-US"/>
    </w:rPr>
  </w:style>
  <w:style w:type="paragraph" w:customStyle="1" w:styleId="enumlev1">
    <w:name w:val="enumlev1"/>
    <w:basedOn w:val="Normal"/>
    <w:rsid w:val="004D0DEA"/>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PlainText">
    <w:name w:val="Plain Text"/>
    <w:basedOn w:val="Normal"/>
    <w:link w:val="PlainTextChar"/>
    <w:uiPriority w:val="99"/>
    <w:semiHidden/>
    <w:unhideWhenUsed/>
    <w:rsid w:val="004D0DEA"/>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4D0DEA"/>
    <w:rPr>
      <w:rFonts w:ascii="Calibri" w:eastAsiaTheme="minorHAnsi" w:hAnsi="Calibri" w:cstheme="minorBidi"/>
      <w:sz w:val="22"/>
      <w:szCs w:val="21"/>
      <w:lang w:eastAsia="en-US"/>
    </w:rPr>
  </w:style>
  <w:style w:type="paragraph" w:styleId="BodyTextIndent3">
    <w:name w:val="Body Text Indent 3"/>
    <w:basedOn w:val="Normal"/>
    <w:link w:val="BodyTextIndent3Char"/>
    <w:rsid w:val="004D0DEA"/>
    <w:pPr>
      <w:spacing w:after="120"/>
      <w:ind w:left="283"/>
    </w:pPr>
    <w:rPr>
      <w:sz w:val="16"/>
      <w:szCs w:val="16"/>
    </w:rPr>
  </w:style>
  <w:style w:type="character" w:customStyle="1" w:styleId="BodyTextIndent3Char">
    <w:name w:val="Body Text Indent 3 Char"/>
    <w:basedOn w:val="DefaultParagraphFont"/>
    <w:link w:val="BodyTextIndent3"/>
    <w:rsid w:val="004D0DEA"/>
    <w:rPr>
      <w:rFonts w:ascii="Arial" w:hAnsi="Arial"/>
      <w:sz w:val="16"/>
      <w:szCs w:val="16"/>
    </w:rPr>
  </w:style>
  <w:style w:type="character" w:customStyle="1" w:styleId="tgc">
    <w:name w:val="_tgc"/>
    <w:basedOn w:val="DefaultParagraphFont"/>
    <w:rsid w:val="009427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1000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8.xml"/><Relationship Id="rId117" Type="http://schemas.openxmlformats.org/officeDocument/2006/relationships/hyperlink" Target="http://www.acma.gov.au/privacypolicy" TargetMode="External"/><Relationship Id="rId21" Type="http://schemas.openxmlformats.org/officeDocument/2006/relationships/footer" Target="footer5.xml"/><Relationship Id="rId42" Type="http://schemas.openxmlformats.org/officeDocument/2006/relationships/image" Target="media/image7.jpg"/><Relationship Id="rId47" Type="http://schemas.openxmlformats.org/officeDocument/2006/relationships/image" Target="media/image8.jpg"/><Relationship Id="rId63" Type="http://schemas.openxmlformats.org/officeDocument/2006/relationships/hyperlink" Target="http://www.acma.gov.au/~/media/Spectrum%20Transformation%20and%20Government/Issue%20for%20comment/IFC%2022%202015/Mobile%20broadband%20work%20programFebruary%202016%20update%20docx.docx" TargetMode="External"/><Relationship Id="rId68" Type="http://schemas.openxmlformats.org/officeDocument/2006/relationships/hyperlink" Target="http://www.acma.gov.au/theacma/internet-of-things-and-the-acmas-areas-of-focus-occasional-paper" TargetMode="External"/><Relationship Id="rId84" Type="http://schemas.openxmlformats.org/officeDocument/2006/relationships/hyperlink" Target="https://www.legislation.gov.au/Details/F2009C01061" TargetMode="External"/><Relationship Id="rId89"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112" Type="http://schemas.openxmlformats.org/officeDocument/2006/relationships/hyperlink" Target="http://www.acma.gov.au/theACMA/About/Corporate/Responsibilities/acma-evidenceinformed-regulation-and-effective-consultation" TargetMode="External"/><Relationship Id="rId16" Type="http://schemas.openxmlformats.org/officeDocument/2006/relationships/hyperlink" Target="http://creativecommons.org/licenses/by/3.0/au/" TargetMode="External"/><Relationship Id="rId107" Type="http://schemas.openxmlformats.org/officeDocument/2006/relationships/hyperlink" Target="http://www.acma.gov.au/theACMA/review-of-the-803-960-mhz-band" TargetMode="Externa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yperlink" Target="http://www.acma.gov.au/~/media/Spectrum%20Transformation%20and%20Government/Issue%20for%20comment/IFC%2023-2015/Madhulika%20Tripathi%20%20Response%20to%20ACMAs%20five%20year%20spectrum%20outlook%20docx.docx" TargetMode="External"/><Relationship Id="rId37" Type="http://schemas.openxmlformats.org/officeDocument/2006/relationships/header" Target="header9.xml"/><Relationship Id="rId40" Type="http://schemas.openxmlformats.org/officeDocument/2006/relationships/image" Target="media/image5.jpg"/><Relationship Id="rId45" Type="http://schemas.openxmlformats.org/officeDocument/2006/relationships/hyperlink" Target="http://www.acma.gov.au/theACMA/About/The-ACMA-story/Facilitating/decisionmaking-process-fyso-25-1" TargetMode="External"/><Relationship Id="rId53" Type="http://schemas.openxmlformats.org/officeDocument/2006/relationships/hyperlink" Target="http://www.apt.int/" TargetMode="External"/><Relationship Id="rId58" Type="http://schemas.openxmlformats.org/officeDocument/2006/relationships/hyperlink" Target="http://www.acma.gov.au/Industry/Spectrum/Spectrum-planning/International-planning-ITU-and-other-international-planning-bodies/preparatory-group-wrc-19" TargetMode="External"/><Relationship Id="rId66" Type="http://schemas.openxmlformats.org/officeDocument/2006/relationships/hyperlink" Target="https://ec.europa.eu/digital-single-market/en/news/communication-5g-europe-action-plan-and-accompanying-staff-working-document" TargetMode="External"/><Relationship Id="rId74" Type="http://schemas.openxmlformats.org/officeDocument/2006/relationships/hyperlink" Target="http://www.3gpp.org/news-events/3gpp-news/1628-rel13" TargetMode="External"/><Relationship Id="rId79" Type="http://schemas.openxmlformats.org/officeDocument/2006/relationships/hyperlink" Target="http://www.acma.gov.au/Industry/Suppliers/Product-supply-and-compliance/Priority-compliance-areas/priority-compliance-areas-2016-17" TargetMode="External"/><Relationship Id="rId87" Type="http://schemas.openxmlformats.org/officeDocument/2006/relationships/hyperlink" Target="http://www.acma.gov.au/tvreception" TargetMode="External"/><Relationship Id="rId102" Type="http://schemas.openxmlformats.org/officeDocument/2006/relationships/hyperlink" Target="http://rspg-spectrum.eu/2016/06/public-consultation-on-5g-launched/" TargetMode="External"/><Relationship Id="rId110" Type="http://schemas.openxmlformats.org/officeDocument/2006/relationships/hyperlink" Target="mailto:spectrumlicensingpolicy@acma.gov.au" TargetMode="External"/><Relationship Id="rId115" Type="http://schemas.openxmlformats.org/officeDocument/2006/relationships/hyperlink" Target="http://www.comlaw.gov.au/Series/C2004A03712" TargetMode="External"/><Relationship Id="rId5" Type="http://schemas.openxmlformats.org/officeDocument/2006/relationships/webSettings" Target="webSettings.xml"/><Relationship Id="rId61" Type="http://schemas.openxmlformats.org/officeDocument/2006/relationships/hyperlink" Target="http://www.acma.gov.au/~/media/Spectrum%20Transformation%20and%20Government/Issue%20for%20comment/Word%20Document/IFC%2022%202015%20MBB%20Strategy%20consultation%20paper%20docx.docx" TargetMode="External"/><Relationship Id="rId82" Type="http://schemas.openxmlformats.org/officeDocument/2006/relationships/hyperlink" Target="http://www.acma.gov.au/theACMA/review-of-the-803-960-mhz-band" TargetMode="External"/><Relationship Id="rId90" Type="http://schemas.openxmlformats.org/officeDocument/2006/relationships/header" Target="header10.xml"/><Relationship Id="rId95" Type="http://schemas.openxmlformats.org/officeDocument/2006/relationships/hyperlink" Target="http://ec.europa.eu/smart-regulation/roadmaps/docs/2015_cnect_017_uhf_en.pdf" TargetMode="External"/><Relationship Id="rId19" Type="http://schemas.openxmlformats.org/officeDocument/2006/relationships/header" Target="header5.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www.acma.gov.au/~/media/Spectrum%20Transformation%20and%20Government/Issue%20for%20comment/IFC%2023-2015/Final%20ASTRA%20submission%20ACMA%20FYSO%20171215%20pdf.pdf" TargetMode="External"/><Relationship Id="rId30" Type="http://schemas.openxmlformats.org/officeDocument/2006/relationships/hyperlink" Target="http://www.acma.gov.au/~/media/Spectrum%20Transformation%20and%20Government/Issue%20for%20comment/IFC%2023-2015/Inmarsat%20response_sent%20docx.docx" TargetMode="External"/><Relationship Id="rId35" Type="http://schemas.openxmlformats.org/officeDocument/2006/relationships/hyperlink" Target="http://www.acma.gov.au/~/media/Spectrum%20Transformation%20and%20Government/Issue%20for%20comment/IFC%2023-2015/Telstra%20submission%20-%20Spectrum%20Outlook%202015-19%20-%20final%20pdf.pdf" TargetMode="External"/><Relationship Id="rId43" Type="http://schemas.openxmlformats.org/officeDocument/2006/relationships/hyperlink" Target="http://www.acma.gov.au/Industry/Spectrum/Spectrum-projects/Mobile-broadband/mobile-broadband-strategy-and-work-plan" TargetMode="External"/><Relationship Id="rId48"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56" Type="http://schemas.openxmlformats.org/officeDocument/2006/relationships/hyperlink" Target="http://www.itu.int/en/ITU-R/Pages/default.aspx" TargetMode="External"/><Relationship Id="rId64" Type="http://schemas.openxmlformats.org/officeDocument/2006/relationships/hyperlink" Target="http://www.acma.gov.au/~/media/Spectrum%20Transformation%20and%20Government/Issue%20for%20comment/IFC%2022%202015/Beyond%202020Summary%20of%20and%20response%20to%20submissions%20docx.docx" TargetMode="External"/><Relationship Id="rId69" Type="http://schemas.openxmlformats.org/officeDocument/2006/relationships/image" Target="media/image10.jpg"/><Relationship Id="rId77" Type="http://schemas.openxmlformats.org/officeDocument/2006/relationships/hyperlink" Target="http://www.acma.gov.au/Industry/Spectrum/Spectrum-projects/Mobile-broadband/mobile-broadband-strategy-and-work-plan" TargetMode="External"/><Relationship Id="rId100" Type="http://schemas.openxmlformats.org/officeDocument/2006/relationships/chart" Target="charts/chart1.xml"/><Relationship Id="rId105" Type="http://schemas.openxmlformats.org/officeDocument/2006/relationships/hyperlink" Target="http://www.acma.gov.au/~/media/Spectrum%20Licensing%20Policy/Information/Word%20Document/The%20ACMAs%20long-term%20strategy%20for%20the%20803960%20MHz%20band_decision%20paper%20docx.docx" TargetMode="External"/><Relationship Id="rId113" Type="http://schemas.openxmlformats.org/officeDocument/2006/relationships/hyperlink" Target="https://www.comlaw.gov.au/Series/C2004A02562" TargetMode="External"/><Relationship Id="rId118"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www.acma.gov.au/theACMA/engage-blogs/engage-blogs/Interference/Area-wide-special-licence-conditions" TargetMode="External"/><Relationship Id="rId72" Type="http://schemas.openxmlformats.org/officeDocument/2006/relationships/hyperlink" Target="http://stakeholders.ofcom.org.uk/consultations/manually-configurable-wsds/" TargetMode="External"/><Relationship Id="rId80" Type="http://schemas.openxmlformats.org/officeDocument/2006/relationships/hyperlink" Target="http://www.acma.gov.au/Citizen/Consumer-info/All-about-spectrum/High-risk-devices/priority-compliance-areas-2014-15" TargetMode="External"/><Relationship Id="rId85" Type="http://schemas.openxmlformats.org/officeDocument/2006/relationships/hyperlink" Target="http://www.acma.gov.au/theACMA/Consultations/Consultations/Sunsetting" TargetMode="External"/><Relationship Id="rId93" Type="http://schemas.openxmlformats.org/officeDocument/2006/relationships/footer" Target="footer10.xml"/><Relationship Id="rId98" Type="http://schemas.openxmlformats.org/officeDocument/2006/relationships/hyperlink" Target="http://www.itu.int/md/R00-CA-CIR-0226/en"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mailto:candinfo@acma.gov.au" TargetMode="External"/><Relationship Id="rId25" Type="http://schemas.openxmlformats.org/officeDocument/2006/relationships/footer" Target="footer7.xml"/><Relationship Id="rId33" Type="http://schemas.openxmlformats.org/officeDocument/2006/relationships/hyperlink" Target="http://www.acma.gov.au/~/media/Spectrum%20Transformation%20and%20Government/Issue%20for%20comment/IFC%2023-2015/Mississippi%20Consulting%20ACMA%20FYSO2015_19%20Submission%20docx.docx" TargetMode="External"/><Relationship Id="rId38"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46" Type="http://schemas.openxmlformats.org/officeDocument/2006/relationships/hyperlink" Target="http://www.acma.gov.au/Industry/Spectrum/Spectrum-planning/About-spectrum-planning/australian-spectrum-management-principles-spectrum-planning-acma" TargetMode="External"/><Relationship Id="rId59" Type="http://schemas.openxmlformats.org/officeDocument/2006/relationships/image" Target="media/image9.jpg"/><Relationship Id="rId67" Type="http://schemas.openxmlformats.org/officeDocument/2006/relationships/hyperlink" Target="http://www.acma.gov.au/~/media/Licence%20Issue%20and%20Allocation/Advice/pdf/Dealing%20with%20Applications%20for%20Apparatus%20Licences%20for%20the%20Trial%20of%20New%20Radiocommunications%20Technologies%20pdf.pdf" TargetMode="External"/><Relationship Id="rId103" Type="http://schemas.openxmlformats.org/officeDocument/2006/relationships/hyperlink" Target="http://rspg-spectrum.eu/2016/09/responses-to-the-public-consultation-on-5g-published/" TargetMode="External"/><Relationship Id="rId108" Type="http://schemas.openxmlformats.org/officeDocument/2006/relationships/hyperlink" Target="http://www.acma.gov.au/~/media/Spectrum%20Licensing%20Policy/Information/Word%20Document/The%20ACMAs%20long-term%20strategy%20for%20the%20803960%20MHz%20band_decision%20paper%20docx.docx" TargetMode="External"/><Relationship Id="rId116" Type="http://schemas.openxmlformats.org/officeDocument/2006/relationships/hyperlink" Target="http://www.oaic.gov.au/privacy/privacy-resources/privacy-fact-sheets/other/privacy-fact-sheet-17-australian-privacy-principles" TargetMode="External"/><Relationship Id="rId20" Type="http://schemas.openxmlformats.org/officeDocument/2006/relationships/footer" Target="footer4.xml"/><Relationship Id="rId41" Type="http://schemas.openxmlformats.org/officeDocument/2006/relationships/image" Target="media/image6.png"/><Relationship Id="rId54" Type="http://schemas.openxmlformats.org/officeDocument/2006/relationships/hyperlink" Target="https://www.citel.oas.org/en/Pages/default.aspx" TargetMode="External"/><Relationship Id="rId62"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70" Type="http://schemas.openxmlformats.org/officeDocument/2006/relationships/hyperlink" Target="http://www.ecfr.gov/cgi-bin/text-idx?SID=64bfd1445831a34d710caca4028c2cd6&amp;mc=true&amp;node=pt47.1.15&amp;rgn=div5" TargetMode="External"/><Relationship Id="rId75" Type="http://schemas.openxmlformats.org/officeDocument/2006/relationships/hyperlink" Target="https://www.fcc.gov/rulemaking/12-354" TargetMode="External"/><Relationship Id="rId83" Type="http://schemas.openxmlformats.org/officeDocument/2006/relationships/hyperlink" Target="http://www.acma.gov.au/~/media/Spectrum%20Licensing%20Policy/Information/Word%20Document/The%20ACMAs%20long-term%20strategy%20for%20the%20803960%20MHz%20band_decision%20paper%20docx.docx" TargetMode="External"/><Relationship Id="rId88" Type="http://schemas.openxmlformats.org/officeDocument/2006/relationships/hyperlink" Target="http://www.acma.gov.au/~/media/Spectrum%20Transformation%20and%20Government/Issue%20for%20comment/IFC%2022%202015/MBB%20strategyThe%20ACMAs%20spectrum%20management%20strategy%20to%20address%20the%20growth%20in%20mobile%20broadband%20capacity%20docx.docx" TargetMode="External"/><Relationship Id="rId91" Type="http://schemas.openxmlformats.org/officeDocument/2006/relationships/header" Target="header11.xml"/><Relationship Id="rId96" Type="http://schemas.openxmlformats.org/officeDocument/2006/relationships/hyperlink" Target="https://www.comlaw.gov.au/Series/F2015L01438" TargetMode="External"/><Relationship Id="rId111" Type="http://schemas.openxmlformats.org/officeDocument/2006/relationships/hyperlink" Target="mailto:media@acma.gov.a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header" Target="header7.xml"/><Relationship Id="rId28" Type="http://schemas.openxmlformats.org/officeDocument/2006/relationships/hyperlink" Target="http://www.acma.gov.au/~/media/Spectrum%20Transformation%20and%20Government/Issue%20for%20comment/IFC%2023-2015/CA%20response%20to%20ACMA%20Five-year%20spectrum%20outlook%20201519%20pdf.pdf" TargetMode="External"/><Relationship Id="rId36" Type="http://schemas.openxmlformats.org/officeDocument/2006/relationships/header" Target="header8.xml"/><Relationship Id="rId49" Type="http://schemas.openxmlformats.org/officeDocument/2006/relationships/hyperlink" Target="http://www.acma.gov.au/~/media/Spectrum%20Transformation%20and%20Government/Issue%20for%20comment/IFC%2022%202015/Mobile%20broadband%20work%20programFebruary%202016%20update%20docx.docx" TargetMode="External"/><Relationship Id="rId57" Type="http://schemas.openxmlformats.org/officeDocument/2006/relationships/hyperlink" Target="http://www.acma.gov.au/Industry/Spectrum/Spectrum-planning/International-planning-ITU-and-other-international-planning-bodies/australian-radiocommunications-study-groups-spectrum-planning-acma" TargetMode="External"/><Relationship Id="rId106" Type="http://schemas.openxmlformats.org/officeDocument/2006/relationships/hyperlink" Target="http://www.acma.gov.au/Industry/Spectrum/Radiocomms-licensing/Apparatus-licences/radiocommunications-services-in-broadcasting-bands" TargetMode="External"/><Relationship Id="rId114" Type="http://schemas.openxmlformats.org/officeDocument/2006/relationships/hyperlink" Target="https://www.comlaw.gov.au/Series/C2005A00044" TargetMode="External"/><Relationship Id="rId119" Type="http://schemas.openxmlformats.org/officeDocument/2006/relationships/theme" Target="theme/theme1.xml"/><Relationship Id="rId10" Type="http://schemas.openxmlformats.org/officeDocument/2006/relationships/footer" Target="footer1.xml"/><Relationship Id="rId31" Type="http://schemas.openxmlformats.org/officeDocument/2006/relationships/hyperlink" Target="http://www.acma.gov.au/~/media/Spectrum%20Transformation%20and%20Government/Issue%20for%20comment/IFC%2023-2015/2016-01-29%20O3b%20comments%20ACMA%205YSO%20FINAL%20signed%20docx.docx" TargetMode="External"/><Relationship Id="rId44" Type="http://schemas.openxmlformats.org/officeDocument/2006/relationships/hyperlink" Target="http://www.acma.gov.au/Industry/Spectrum/Spectrum-projects/5-Year-Spectrum-Outlook/five-year-spectrum-outlook-2015-19" TargetMode="External"/><Relationship Id="rId52" Type="http://schemas.openxmlformats.org/officeDocument/2006/relationships/hyperlink" Target="http://www.acma.gov.au/theACMA/variations-to-the-lipd-class-licence-1" TargetMode="External"/><Relationship Id="rId60" Type="http://schemas.openxmlformats.org/officeDocument/2006/relationships/hyperlink" Target="https://www.communications.gov.au/what-we-do/television/media/acma-review" TargetMode="External"/><Relationship Id="rId65" Type="http://schemas.openxmlformats.org/officeDocument/2006/relationships/hyperlink" Target="http://www.acma.gov.au/theACMA/5g-and-mobile-network-developments" TargetMode="External"/><Relationship Id="rId73" Type="http://schemas.openxmlformats.org/officeDocument/2006/relationships/hyperlink" Target="http://www.erodocdb.dk/Docs/doc98/official/pdf/ECCREP205.PDF" TargetMode="External"/><Relationship Id="rId78" Type="http://schemas.openxmlformats.org/officeDocument/2006/relationships/hyperlink" Target="http://www.acma.gov.au/~/media/Licence%20Issue%20and%20Allocation/Advice/pdf/Dealing%20with%20Applications%20for%20Apparatus%20Licences%20for%20the%20Trial%20of%20New%20Radiocommunications%20Technologies%20pdf.pdf" TargetMode="External"/><Relationship Id="rId81" Type="http://schemas.openxmlformats.org/officeDocument/2006/relationships/hyperlink" Target="http://www.acma.gov.au/Industry/Spectrum/Spectrum-projects/400-MHz-band/overview" TargetMode="External"/><Relationship Id="rId86" Type="http://schemas.openxmlformats.org/officeDocument/2006/relationships/hyperlink" Target="http://www.acma.gov.au/Industry/Spectrum/Spectrum-planning/About-spectrum-planning/radiofrequency-planning-framework-spectrum-planning-acma" TargetMode="External"/><Relationship Id="rId94" Type="http://schemas.openxmlformats.org/officeDocument/2006/relationships/hyperlink" Target="http://rspg-spectrum.eu/wp-content/uploads/2014/03/RSPG14-555final_Request-for-Opinion-UHF-band.pdf" TargetMode="External"/><Relationship Id="rId99" Type="http://schemas.openxmlformats.org/officeDocument/2006/relationships/hyperlink" Target="http://rspg-spectrum.eu/2016/06/public-consultation-on-5g-launched/" TargetMode="External"/><Relationship Id="rId101" Type="http://schemas.openxmlformats.org/officeDocument/2006/relationships/hyperlink" Target="https://www.comlaw.gov.au/Details/F2012L00731"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eader" Target="header4.xml"/><Relationship Id="rId39" Type="http://schemas.openxmlformats.org/officeDocument/2006/relationships/hyperlink" Target="mailto:spectrumlicensingpolicy@acma.gov.au" TargetMode="External"/><Relationship Id="rId109" Type="http://schemas.openxmlformats.org/officeDocument/2006/relationships/hyperlink" Target="http://www.acma.gov.au/theACMA/Consultations/Consultations" TargetMode="External"/><Relationship Id="rId34" Type="http://schemas.openxmlformats.org/officeDocument/2006/relationships/hyperlink" Target="http://www.acma.gov.au/~/media/Spectrum%20Transformation%20and%20Government/Issue%20for%20comment/IFC%2023-2015/AU%20Motorola%20Response%20to%20FYSO_2015-2019%20pdf.pdf" TargetMode="External"/><Relationship Id="rId50" Type="http://schemas.openxmlformats.org/officeDocument/2006/relationships/hyperlink" Target="http://www.acma.gov.au/theACMA/proposed-updates-to-rali-fx-16-and-fx-20-1" TargetMode="External"/><Relationship Id="rId55" Type="http://schemas.openxmlformats.org/officeDocument/2006/relationships/hyperlink" Target="http://www.ero.dk/" TargetMode="External"/><Relationship Id="rId76" Type="http://schemas.openxmlformats.org/officeDocument/2006/relationships/hyperlink" Target="http://stakeholders.ofcom.org.uk/binaries/consultations/opportunities-for-spectrum-sharing-innovation/summary/condoc.pdf" TargetMode="External"/><Relationship Id="rId97" Type="http://schemas.openxmlformats.org/officeDocument/2006/relationships/hyperlink" Target="https://www.comlaw.gov.au/Details/F2013L00827" TargetMode="External"/><Relationship Id="rId104" Type="http://schemas.openxmlformats.org/officeDocument/2006/relationships/hyperlink" Target="https://www.communications.gov.au/have-your-say/draft-ministerial-direction-unsold-700-mhz-spectrum" TargetMode="External"/><Relationship Id="rId7" Type="http://schemas.openxmlformats.org/officeDocument/2006/relationships/endnotes" Target="endnotes.xml"/><Relationship Id="rId71" Type="http://schemas.openxmlformats.org/officeDocument/2006/relationships/hyperlink" Target="http://stakeholders.ofcom.org.uk/consultations/white-space-coexistence/statement" TargetMode="External"/><Relationship Id="rId92" Type="http://schemas.openxmlformats.org/officeDocument/2006/relationships/footer" Target="footer9.xml"/><Relationship Id="rId2" Type="http://schemas.openxmlformats.org/officeDocument/2006/relationships/numbering" Target="numbering.xml"/><Relationship Id="rId29" Type="http://schemas.openxmlformats.org/officeDocument/2006/relationships/hyperlink" Target="http://www.acma.gov.au/~/media/Spectrum%20Transformation%20and%20Government/Issue%20for%20comment/IFC%2023-2015/20151028%20Defence%20Spectrum%20Strategy%20V10%20pdf.pdf"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8" Type="http://schemas.openxmlformats.org/officeDocument/2006/relationships/hyperlink" Target="http://exchange.telstra.com.au/2016/02/22/five-world-class-mobile-technologies-coming-your-way/" TargetMode="External"/><Relationship Id="rId13" Type="http://schemas.openxmlformats.org/officeDocument/2006/relationships/hyperlink" Target="http://stakeholders.ofcom.org.uk/consultations/white-space-coexistence/statement" TargetMode="External"/><Relationship Id="rId18" Type="http://schemas.openxmlformats.org/officeDocument/2006/relationships/hyperlink" Target="https://www.fcc.gov/rulemaking/12-354" TargetMode="External"/><Relationship Id="rId26" Type="http://schemas.openxmlformats.org/officeDocument/2006/relationships/hyperlink" Target="http://www.wimax-industry.com/ar/7c.htm" TargetMode="External"/><Relationship Id="rId3" Type="http://schemas.openxmlformats.org/officeDocument/2006/relationships/hyperlink" Target="https://www.itu.int/rec/T-REC-Y.2060-201206-I" TargetMode="External"/><Relationship Id="rId21" Type="http://schemas.openxmlformats.org/officeDocument/2006/relationships/hyperlink" Target="http://www.acma.gov.au/~/media/Spectrum%20Engineering/Information/Word%20Document/RALI%20MS39%20final%20docx.docx" TargetMode="External"/><Relationship Id="rId34" Type="http://schemas.openxmlformats.org/officeDocument/2006/relationships/hyperlink" Target="http://www.acma.gov.au/~/media/Spectrum%20Engineering/Regulation/pdf/Embargo%20No%2023.pdf" TargetMode="External"/><Relationship Id="rId7" Type="http://schemas.openxmlformats.org/officeDocument/2006/relationships/hyperlink" Target="http://www.3gpp.org/images/presentations/optimised_poster.pdf" TargetMode="External"/><Relationship Id="rId12" Type="http://schemas.openxmlformats.org/officeDocument/2006/relationships/hyperlink" Target="http://www.ecfr.gov/cgi-bin/text-idx?SID=64bfd1445831a34d710caca4028c2cd6&amp;mc=true&amp;node=pt47.1.15&amp;rgn=div5" TargetMode="External"/><Relationship Id="rId17" Type="http://schemas.openxmlformats.org/officeDocument/2006/relationships/hyperlink" Target="http://www.3gpp.org/news-events/3gpp-news/1628-rel13" TargetMode="External"/><Relationship Id="rId25" Type="http://schemas.openxmlformats.org/officeDocument/2006/relationships/hyperlink" Target="https://www.fcc.gov/document/forward-auction-auction-1002-qualified-bidders" TargetMode="External"/><Relationship Id="rId33" Type="http://schemas.openxmlformats.org/officeDocument/2006/relationships/hyperlink" Target="http://www.acma.gov.au/theACMA/25-ghz-band-review" TargetMode="External"/><Relationship Id="rId2" Type="http://schemas.openxmlformats.org/officeDocument/2006/relationships/hyperlink" Target="http://www.acma.gov.au/theACMA/About/The-ACMA-story/Facilitating/decisionmaking-process-fyso-25-1" TargetMode="External"/><Relationship Id="rId16" Type="http://schemas.openxmlformats.org/officeDocument/2006/relationships/hyperlink" Target="http://www.cept.org/ecc/topics/lsa-implementation/" TargetMode="External"/><Relationship Id="rId20" Type="http://schemas.openxmlformats.org/officeDocument/2006/relationships/hyperlink" Target="https://www.legislation.gov.au/Details/F2015L00729" TargetMode="External"/><Relationship Id="rId29" Type="http://schemas.openxmlformats.org/officeDocument/2006/relationships/hyperlink" Target="https://apps.fcc.gov/edocs_public/Query.do?numberFld=&amp;numberFld2=&amp;docket=14-177&amp;dateFld=&amp;docTitleDesc=" TargetMode="External"/><Relationship Id="rId1" Type="http://schemas.openxmlformats.org/officeDocument/2006/relationships/hyperlink" Target="http://cuttingredtape.gov.au/sites/default/files/documents/australian_government_guide_regulation.pdf" TargetMode="External"/><Relationship Id="rId6" Type="http://schemas.openxmlformats.org/officeDocument/2006/relationships/hyperlink" Target="http://www.acma.gov.au/theacma/internet-of-things-and-the-acmas-areas-of-focus-occasional-paper" TargetMode="External"/><Relationship Id="rId11" Type="http://schemas.openxmlformats.org/officeDocument/2006/relationships/hyperlink" Target="http://newsroom.sprint.com/blogs/sprint-perspectives/paving-the-road-to-5g.htm" TargetMode="External"/><Relationship Id="rId24" Type="http://schemas.openxmlformats.org/officeDocument/2006/relationships/hyperlink" Target="http://www.malcolmturnbull.com.au/media/radcomms-2014-spectrum-in-the-age-of-digital-innovation" TargetMode="External"/><Relationship Id="rId32" Type="http://schemas.openxmlformats.org/officeDocument/2006/relationships/hyperlink" Target="http://www.acma.gov.au/Industry/Spectrum/Spectrum-planning/About-spectrum-planning/ifc-152012-planning-for-mobile-broadband-within-the-15-ghz-mobile-band" TargetMode="External"/><Relationship Id="rId5" Type="http://schemas.openxmlformats.org/officeDocument/2006/relationships/hyperlink" Target="https://gsmaintelligence.com/research/?file=141208-5g.pdf&amp;download" TargetMode="External"/><Relationship Id="rId15" Type="http://schemas.openxmlformats.org/officeDocument/2006/relationships/hyperlink" Target="http://www.erodocdb.dk/Docs/doc98/official/pdf/ECCREP205.PDF" TargetMode="External"/><Relationship Id="rId23" Type="http://schemas.openxmlformats.org/officeDocument/2006/relationships/hyperlink" Target="http://www.acma.gov.au/theACMA/About/Making-payments/Apparatus-licence-fees/apparatus-licence-fees-acma" TargetMode="External"/><Relationship Id="rId28" Type="http://schemas.openxmlformats.org/officeDocument/2006/relationships/hyperlink" Target="http://rspg-spectrum.eu/2016/09/responses-to-the-public-consultation-on-5g-published/" TargetMode="External"/><Relationship Id="rId36" Type="http://schemas.openxmlformats.org/officeDocument/2006/relationships/hyperlink" Target="http://www.erodocdb.dk/Docs/doc98/official/pdf/ECCDEC1106.PDF" TargetMode="External"/><Relationship Id="rId10" Type="http://schemas.openxmlformats.org/officeDocument/2006/relationships/hyperlink" Target="http://www.wwrf.ch/files/wwrf/content/files/5GHuddles/2ndhuddle/Eric%20Fournier.pdf" TargetMode="External"/><Relationship Id="rId19" Type="http://schemas.openxmlformats.org/officeDocument/2006/relationships/hyperlink" Target="http://stakeholders.ofcom.org.uk/binaries/consultations/opportunities-for-spectrum-sharing-innovation/summary/condoc.pdf" TargetMode="External"/><Relationship Id="rId31" Type="http://schemas.openxmlformats.org/officeDocument/2006/relationships/hyperlink" Target="https://www.itu.int/md/dologin_md.asp?lang=en&amp;id=R15-WRC15-C-0102!A21-A1!MSW-E" TargetMode="External"/><Relationship Id="rId4" Type="http://schemas.openxmlformats.org/officeDocument/2006/relationships/hyperlink" Target="http://www.acma.gov.au/Industry/Spectrum/Spectrum-planning/International-planning-ITU-and-other-international-planning-bodies/preparatory-group-wrc-19%20" TargetMode="External"/><Relationship Id="rId9" Type="http://schemas.openxmlformats.org/officeDocument/2006/relationships/hyperlink" Target="https://circabc.europa.eu/d/a/workspace/SpacesStore/1a40dd19-c8a8-4ed0-bc9c-6cc5a7755f7d/RSPG16-031Final_Opinion_5G_for_public_consultation.pdf" TargetMode="External"/><Relationship Id="rId14" Type="http://schemas.openxmlformats.org/officeDocument/2006/relationships/hyperlink" Target="http://stakeholders.ofcom.org.uk/consultations/manually-configurable-wsds/" TargetMode="External"/><Relationship Id="rId22" Type="http://schemas.openxmlformats.org/officeDocument/2006/relationships/hyperlink" Target="http://www.acma.gov.au/Industry/Spectrum/Spectrum-projects/400-MHz-band" TargetMode="External"/><Relationship Id="rId27" Type="http://schemas.openxmlformats.org/officeDocument/2006/relationships/hyperlink" Target="http://www.acma.gov.au/theACMA/variations-to-the-lipd-class-licence-1" TargetMode="External"/><Relationship Id="rId30" Type="http://schemas.openxmlformats.org/officeDocument/2006/relationships/hyperlink" Target="https://apps.fcc.gov/edocs_public/Query.do?numberFld=&amp;numberFld2=&amp;docket=14-177&amp;dateFld=&amp;docTitleDesc=" TargetMode="External"/><Relationship Id="rId35" Type="http://schemas.openxmlformats.org/officeDocument/2006/relationships/hyperlink" Target="https://www.itu.int/rec/R-REC-M.1036/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acact01srvp2\SPT$\Bridget\Mobile%20Broadband\FYSO%20picture%20WRC-19%20agenda%20item%201.13.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spPr>
            <a:solidFill>
              <a:schemeClr val="accent1"/>
            </a:solidFill>
            <a:ln>
              <a:noFill/>
            </a:ln>
            <a:effectLst/>
          </c:spPr>
          <c:invertIfNegative val="0"/>
          <c:cat>
            <c:strRef>
              <c:f>Sheet1!$C$12:$C$14</c:f>
              <c:strCache>
                <c:ptCount val="3"/>
                <c:pt idx="0">
                  <c:v>Korea</c:v>
                </c:pt>
                <c:pt idx="1">
                  <c:v>United States</c:v>
                </c:pt>
                <c:pt idx="2">
                  <c:v>WRC-19 Agenda item 1.13</c:v>
                </c:pt>
              </c:strCache>
            </c:strRef>
          </c:cat>
          <c:val>
            <c:numRef>
              <c:f>Sheet1!$D$12:$D$14</c:f>
              <c:numCache>
                <c:formatCode>General</c:formatCode>
                <c:ptCount val="3"/>
                <c:pt idx="0">
                  <c:v>0</c:v>
                </c:pt>
                <c:pt idx="1">
                  <c:v>0</c:v>
                </c:pt>
                <c:pt idx="2">
                  <c:v>0</c:v>
                </c:pt>
              </c:numCache>
            </c:numRef>
          </c:val>
          <c:extLst>
            <c:ext xmlns:c16="http://schemas.microsoft.com/office/drawing/2014/chart" uri="{C3380CC4-5D6E-409C-BE32-E72D297353CC}">
              <c16:uniqueId val="{00000000-32BE-4BEF-AF9A-49788C3538A3}"/>
            </c:ext>
          </c:extLst>
        </c:ser>
        <c:ser>
          <c:idx val="1"/>
          <c:order val="1"/>
          <c:spPr>
            <a:noFill/>
            <a:ln>
              <a:noFill/>
            </a:ln>
            <a:effectLst/>
          </c:spPr>
          <c:invertIfNegative val="0"/>
          <c:cat>
            <c:strRef>
              <c:f>Sheet1!$C$12:$C$14</c:f>
              <c:strCache>
                <c:ptCount val="3"/>
                <c:pt idx="0">
                  <c:v>Korea</c:v>
                </c:pt>
                <c:pt idx="1">
                  <c:v>United States</c:v>
                </c:pt>
                <c:pt idx="2">
                  <c:v>WRC-19 Agenda item 1.13</c:v>
                </c:pt>
              </c:strCache>
            </c:strRef>
          </c:cat>
          <c:val>
            <c:numRef>
              <c:f>Sheet1!$E$12:$E$14</c:f>
              <c:numCache>
                <c:formatCode>General</c:formatCode>
                <c:ptCount val="3"/>
                <c:pt idx="0">
                  <c:v>24.25</c:v>
                </c:pt>
                <c:pt idx="1">
                  <c:v>24.25</c:v>
                </c:pt>
                <c:pt idx="2">
                  <c:v>24.25</c:v>
                </c:pt>
              </c:numCache>
            </c:numRef>
          </c:val>
          <c:extLst>
            <c:ext xmlns:c16="http://schemas.microsoft.com/office/drawing/2014/chart" uri="{C3380CC4-5D6E-409C-BE32-E72D297353CC}">
              <c16:uniqueId val="{00000001-32BE-4BEF-AF9A-49788C3538A3}"/>
            </c:ext>
          </c:extLst>
        </c:ser>
        <c:ser>
          <c:idx val="2"/>
          <c:order val="2"/>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Sheet1!$F$12:$F$14</c:f>
              <c:numCache>
                <c:formatCode>General</c:formatCode>
                <c:ptCount val="3"/>
                <c:pt idx="0">
                  <c:v>0.19999999999999929</c:v>
                </c:pt>
                <c:pt idx="1">
                  <c:v>0.19999999999999929</c:v>
                </c:pt>
                <c:pt idx="2">
                  <c:v>0.19999999999999929</c:v>
                </c:pt>
              </c:numCache>
            </c:numRef>
          </c:val>
          <c:extLst>
            <c:ext xmlns:c16="http://schemas.microsoft.com/office/drawing/2014/chart" uri="{C3380CC4-5D6E-409C-BE32-E72D297353CC}">
              <c16:uniqueId val="{00000002-32BE-4BEF-AF9A-49788C3538A3}"/>
            </c:ext>
          </c:extLst>
        </c:ser>
        <c:ser>
          <c:idx val="3"/>
          <c:order val="3"/>
          <c:spPr>
            <a:noFill/>
            <a:ln>
              <a:noFill/>
            </a:ln>
            <a:effectLst/>
          </c:spPr>
          <c:invertIfNegative val="0"/>
          <c:cat>
            <c:strRef>
              <c:f>Sheet1!$C$12:$C$14</c:f>
              <c:strCache>
                <c:ptCount val="3"/>
                <c:pt idx="0">
                  <c:v>Korea</c:v>
                </c:pt>
                <c:pt idx="1">
                  <c:v>United States</c:v>
                </c:pt>
                <c:pt idx="2">
                  <c:v>WRC-19 Agenda item 1.13</c:v>
                </c:pt>
              </c:strCache>
            </c:strRef>
          </c:cat>
          <c:val>
            <c:numRef>
              <c:f>Sheet1!$G$12:$G$14</c:f>
              <c:numCache>
                <c:formatCode>General</c:formatCode>
                <c:ptCount val="3"/>
                <c:pt idx="0">
                  <c:v>0</c:v>
                </c:pt>
                <c:pt idx="1">
                  <c:v>0.30000000000000071</c:v>
                </c:pt>
                <c:pt idx="2">
                  <c:v>0</c:v>
                </c:pt>
              </c:numCache>
            </c:numRef>
          </c:val>
          <c:extLst>
            <c:ext xmlns:c16="http://schemas.microsoft.com/office/drawing/2014/chart" uri="{C3380CC4-5D6E-409C-BE32-E72D297353CC}">
              <c16:uniqueId val="{00000003-32BE-4BEF-AF9A-49788C3538A3}"/>
            </c:ext>
          </c:extLst>
        </c:ser>
        <c:ser>
          <c:idx val="4"/>
          <c:order val="4"/>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Sheet1!$H$12:$H$14</c:f>
              <c:numCache>
                <c:formatCode>General</c:formatCode>
                <c:ptCount val="3"/>
                <c:pt idx="0">
                  <c:v>3.0500000000000007</c:v>
                </c:pt>
                <c:pt idx="1">
                  <c:v>0.5</c:v>
                </c:pt>
                <c:pt idx="2">
                  <c:v>3.0500000000000007</c:v>
                </c:pt>
              </c:numCache>
            </c:numRef>
          </c:val>
          <c:extLst>
            <c:ext xmlns:c16="http://schemas.microsoft.com/office/drawing/2014/chart" uri="{C3380CC4-5D6E-409C-BE32-E72D297353CC}">
              <c16:uniqueId val="{00000004-32BE-4BEF-AF9A-49788C3538A3}"/>
            </c:ext>
          </c:extLst>
        </c:ser>
        <c:ser>
          <c:idx val="5"/>
          <c:order val="5"/>
          <c:spPr>
            <a:noFill/>
            <a:ln>
              <a:noFill/>
            </a:ln>
            <a:effectLst/>
          </c:spPr>
          <c:invertIfNegative val="0"/>
          <c:cat>
            <c:strRef>
              <c:f>Sheet1!$C$12:$C$14</c:f>
              <c:strCache>
                <c:ptCount val="3"/>
                <c:pt idx="0">
                  <c:v>Korea</c:v>
                </c:pt>
                <c:pt idx="1">
                  <c:v>United States</c:v>
                </c:pt>
                <c:pt idx="2">
                  <c:v>WRC-19 Agenda item 1.13</c:v>
                </c:pt>
              </c:strCache>
            </c:strRef>
          </c:cat>
          <c:val>
            <c:numRef>
              <c:f>Sheet1!$I$12:$I$14</c:f>
              <c:numCache>
                <c:formatCode>General</c:formatCode>
                <c:ptCount val="3"/>
                <c:pt idx="0">
                  <c:v>0</c:v>
                </c:pt>
                <c:pt idx="1">
                  <c:v>2.25</c:v>
                </c:pt>
                <c:pt idx="2">
                  <c:v>0</c:v>
                </c:pt>
              </c:numCache>
            </c:numRef>
          </c:val>
          <c:extLst>
            <c:ext xmlns:c16="http://schemas.microsoft.com/office/drawing/2014/chart" uri="{C3380CC4-5D6E-409C-BE32-E72D297353CC}">
              <c16:uniqueId val="{00000005-32BE-4BEF-AF9A-49788C3538A3}"/>
            </c:ext>
          </c:extLst>
        </c:ser>
        <c:ser>
          <c:idx val="6"/>
          <c:order val="6"/>
          <c:spPr>
            <a:solidFill>
              <a:srgbClr val="00B0F0"/>
            </a:solidFill>
            <a:ln>
              <a:noFill/>
            </a:ln>
            <a:effectLst/>
          </c:spPr>
          <c:invertIfNegative val="0"/>
          <c:dPt>
            <c:idx val="1"/>
            <c:invertIfNegative val="0"/>
            <c:bubble3D val="0"/>
            <c:spPr>
              <a:pattFill prst="wdUpDiag">
                <a:fgClr>
                  <a:srgbClr val="00B0F0"/>
                </a:fgClr>
                <a:bgClr>
                  <a:schemeClr val="bg1"/>
                </a:bgClr>
              </a:pattFill>
              <a:ln>
                <a:solidFill>
                  <a:srgbClr val="00B0F0"/>
                </a:solidFill>
              </a:ln>
              <a:effectLst/>
            </c:spPr>
            <c:extLst>
              <c:ext xmlns:c16="http://schemas.microsoft.com/office/drawing/2014/chart" uri="{C3380CC4-5D6E-409C-BE32-E72D297353CC}">
                <c16:uniqueId val="{00000007-32BE-4BEF-AF9A-49788C3538A3}"/>
              </c:ext>
            </c:extLst>
          </c:dPt>
          <c:cat>
            <c:strRef>
              <c:f>Sheet1!$C$12:$C$14</c:f>
              <c:strCache>
                <c:ptCount val="3"/>
                <c:pt idx="0">
                  <c:v>Korea</c:v>
                </c:pt>
                <c:pt idx="1">
                  <c:v>United States</c:v>
                </c:pt>
                <c:pt idx="2">
                  <c:v>WRC-19 Agenda item 1.13</c:v>
                </c:pt>
              </c:strCache>
            </c:strRef>
          </c:cat>
          <c:val>
            <c:numRef>
              <c:f>Sheet1!$J$12:$J$14</c:f>
              <c:numCache>
                <c:formatCode>General</c:formatCode>
                <c:ptCount val="3"/>
                <c:pt idx="0">
                  <c:v>2</c:v>
                </c:pt>
                <c:pt idx="1">
                  <c:v>0.85000000000000142</c:v>
                </c:pt>
                <c:pt idx="2">
                  <c:v>0</c:v>
                </c:pt>
              </c:numCache>
            </c:numRef>
          </c:val>
          <c:extLst>
            <c:ext xmlns:c16="http://schemas.microsoft.com/office/drawing/2014/chart" uri="{C3380CC4-5D6E-409C-BE32-E72D297353CC}">
              <c16:uniqueId val="{00000008-32BE-4BEF-AF9A-49788C3538A3}"/>
            </c:ext>
          </c:extLst>
        </c:ser>
        <c:ser>
          <c:idx val="7"/>
          <c:order val="7"/>
          <c:spPr>
            <a:noFill/>
            <a:ln>
              <a:noFill/>
            </a:ln>
            <a:effectLst/>
          </c:spPr>
          <c:invertIfNegative val="0"/>
          <c:cat>
            <c:strRef>
              <c:f>Sheet1!$C$12:$C$14</c:f>
              <c:strCache>
                <c:ptCount val="3"/>
                <c:pt idx="0">
                  <c:v>Korea</c:v>
                </c:pt>
                <c:pt idx="1">
                  <c:v>United States</c:v>
                </c:pt>
                <c:pt idx="2">
                  <c:v>WRC-19 Agenda item 1.13</c:v>
                </c:pt>
              </c:strCache>
            </c:strRef>
          </c:cat>
          <c:val>
            <c:numRef>
              <c:f>Sheet1!$K$12:$K$14</c:f>
              <c:numCache>
                <c:formatCode>General</c:formatCode>
                <c:ptCount val="3"/>
                <c:pt idx="0">
                  <c:v>2.3000000000000007</c:v>
                </c:pt>
                <c:pt idx="1">
                  <c:v>3.4499999999999993</c:v>
                </c:pt>
                <c:pt idx="2">
                  <c:v>4.3000000000000007</c:v>
                </c:pt>
              </c:numCache>
            </c:numRef>
          </c:val>
          <c:extLst>
            <c:ext xmlns:c16="http://schemas.microsoft.com/office/drawing/2014/chart" uri="{C3380CC4-5D6E-409C-BE32-E72D297353CC}">
              <c16:uniqueId val="{00000009-32BE-4BEF-AF9A-49788C3538A3}"/>
            </c:ext>
          </c:extLst>
        </c:ser>
        <c:ser>
          <c:idx val="8"/>
          <c:order val="8"/>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Sheet1!$L$12:$L$14</c:f>
              <c:numCache>
                <c:formatCode>General</c:formatCode>
                <c:ptCount val="3"/>
                <c:pt idx="0">
                  <c:v>1.5999999999999979</c:v>
                </c:pt>
                <c:pt idx="1">
                  <c:v>1.5999999999999979</c:v>
                </c:pt>
                <c:pt idx="2">
                  <c:v>1.5999999999999979</c:v>
                </c:pt>
              </c:numCache>
            </c:numRef>
          </c:val>
          <c:extLst>
            <c:ext xmlns:c16="http://schemas.microsoft.com/office/drawing/2014/chart" uri="{C3380CC4-5D6E-409C-BE32-E72D297353CC}">
              <c16:uniqueId val="{0000000A-32BE-4BEF-AF9A-49788C3538A3}"/>
            </c:ext>
          </c:extLst>
        </c:ser>
        <c:ser>
          <c:idx val="9"/>
          <c:order val="9"/>
          <c:spPr>
            <a:noFill/>
            <a:ln>
              <a:noFill/>
            </a:ln>
            <a:effectLst/>
          </c:spPr>
          <c:invertIfNegative val="0"/>
          <c:cat>
            <c:strRef>
              <c:f>Sheet1!$C$12:$C$14</c:f>
              <c:strCache>
                <c:ptCount val="3"/>
                <c:pt idx="0">
                  <c:v>Korea</c:v>
                </c:pt>
                <c:pt idx="1">
                  <c:v>United States</c:v>
                </c:pt>
                <c:pt idx="2">
                  <c:v>WRC-19 Agenda item 1.13</c:v>
                </c:pt>
              </c:strCache>
            </c:strRef>
          </c:cat>
          <c:val>
            <c:numRef>
              <c:f>Sheet1!$M$12:$M$14</c:f>
              <c:numCache>
                <c:formatCode>General</c:formatCode>
                <c:ptCount val="3"/>
                <c:pt idx="0">
                  <c:v>3.6000000000000014</c:v>
                </c:pt>
                <c:pt idx="1">
                  <c:v>3.6000000000000014</c:v>
                </c:pt>
                <c:pt idx="2">
                  <c:v>3.6000000000000014</c:v>
                </c:pt>
              </c:numCache>
            </c:numRef>
          </c:val>
          <c:extLst>
            <c:ext xmlns:c16="http://schemas.microsoft.com/office/drawing/2014/chart" uri="{C3380CC4-5D6E-409C-BE32-E72D297353CC}">
              <c16:uniqueId val="{0000000B-32BE-4BEF-AF9A-49788C3538A3}"/>
            </c:ext>
          </c:extLst>
        </c:ser>
        <c:ser>
          <c:idx val="10"/>
          <c:order val="10"/>
          <c:spPr>
            <a:solidFill>
              <a:schemeClr val="accent2">
                <a:lumMod val="60000"/>
                <a:lumOff val="40000"/>
              </a:schemeClr>
            </a:solidFill>
            <a:ln>
              <a:noFill/>
            </a:ln>
            <a:effectLst/>
          </c:spPr>
          <c:invertIfNegative val="0"/>
          <c:dPt>
            <c:idx val="1"/>
            <c:invertIfNegative val="0"/>
            <c:bubble3D val="0"/>
            <c:spPr>
              <a:pattFill prst="wdUpDiag">
                <a:fgClr>
                  <a:schemeClr val="accent2">
                    <a:lumMod val="60000"/>
                    <a:lumOff val="40000"/>
                  </a:schemeClr>
                </a:fgClr>
                <a:bgClr>
                  <a:schemeClr val="bg1"/>
                </a:bgClr>
              </a:pattFill>
              <a:ln>
                <a:solidFill>
                  <a:schemeClr val="accent2">
                    <a:lumMod val="60000"/>
                    <a:lumOff val="40000"/>
                  </a:schemeClr>
                </a:solidFill>
              </a:ln>
              <a:effectLst/>
            </c:spPr>
            <c:extLst>
              <c:ext xmlns:c16="http://schemas.microsoft.com/office/drawing/2014/chart" uri="{C3380CC4-5D6E-409C-BE32-E72D297353CC}">
                <c16:uniqueId val="{0000000D-32BE-4BEF-AF9A-49788C3538A3}"/>
              </c:ext>
            </c:extLst>
          </c:dPt>
          <c:cat>
            <c:strRef>
              <c:f>Sheet1!$C$12:$C$14</c:f>
              <c:strCache>
                <c:ptCount val="3"/>
                <c:pt idx="0">
                  <c:v>Korea</c:v>
                </c:pt>
                <c:pt idx="1">
                  <c:v>United States</c:v>
                </c:pt>
                <c:pt idx="2">
                  <c:v>WRC-19 Agenda item 1.13</c:v>
                </c:pt>
              </c:strCache>
            </c:strRef>
          </c:cat>
          <c:val>
            <c:numRef>
              <c:f>Sheet1!$N$12:$N$14</c:f>
              <c:numCache>
                <c:formatCode>General</c:formatCode>
                <c:ptCount val="3"/>
                <c:pt idx="0">
                  <c:v>3.5</c:v>
                </c:pt>
                <c:pt idx="1">
                  <c:v>3</c:v>
                </c:pt>
                <c:pt idx="2">
                  <c:v>3.5</c:v>
                </c:pt>
              </c:numCache>
            </c:numRef>
          </c:val>
          <c:extLst>
            <c:ext xmlns:c16="http://schemas.microsoft.com/office/drawing/2014/chart" uri="{C3380CC4-5D6E-409C-BE32-E72D297353CC}">
              <c16:uniqueId val="{0000000E-32BE-4BEF-AF9A-49788C3538A3}"/>
            </c:ext>
          </c:extLst>
        </c:ser>
        <c:ser>
          <c:idx val="11"/>
          <c:order val="11"/>
          <c:spPr>
            <a:noFill/>
            <a:ln>
              <a:noFill/>
            </a:ln>
            <a:effectLst/>
          </c:spPr>
          <c:invertIfNegative val="0"/>
          <c:cat>
            <c:strRef>
              <c:f>Sheet1!$C$12:$C$14</c:f>
              <c:strCache>
                <c:ptCount val="3"/>
                <c:pt idx="0">
                  <c:v>Korea</c:v>
                </c:pt>
                <c:pt idx="1">
                  <c:v>United States</c:v>
                </c:pt>
                <c:pt idx="2">
                  <c:v>WRC-19 Agenda item 1.13</c:v>
                </c:pt>
              </c:strCache>
            </c:strRef>
          </c:cat>
          <c:val>
            <c:numRef>
              <c:f>Sheet1!$O$12:$O$14</c:f>
              <c:numCache>
                <c:formatCode>General</c:formatCode>
                <c:ptCount val="3"/>
                <c:pt idx="0">
                  <c:v>0</c:v>
                </c:pt>
                <c:pt idx="1">
                  <c:v>2</c:v>
                </c:pt>
                <c:pt idx="2">
                  <c:v>0</c:v>
                </c:pt>
              </c:numCache>
            </c:numRef>
          </c:val>
          <c:extLst>
            <c:ext xmlns:c16="http://schemas.microsoft.com/office/drawing/2014/chart" uri="{C3380CC4-5D6E-409C-BE32-E72D297353CC}">
              <c16:uniqueId val="{0000000F-32BE-4BEF-AF9A-49788C3538A3}"/>
            </c:ext>
          </c:extLst>
        </c:ser>
        <c:ser>
          <c:idx val="12"/>
          <c:order val="12"/>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Sheet1!$P$12:$P$14</c:f>
              <c:numCache>
                <c:formatCode>General</c:formatCode>
                <c:ptCount val="3"/>
                <c:pt idx="0">
                  <c:v>0</c:v>
                </c:pt>
                <c:pt idx="1">
                  <c:v>0.5</c:v>
                </c:pt>
                <c:pt idx="2">
                  <c:v>2</c:v>
                </c:pt>
              </c:numCache>
            </c:numRef>
          </c:val>
          <c:extLst>
            <c:ext xmlns:c16="http://schemas.microsoft.com/office/drawing/2014/chart" uri="{C3380CC4-5D6E-409C-BE32-E72D297353CC}">
              <c16:uniqueId val="{00000010-32BE-4BEF-AF9A-49788C3538A3}"/>
            </c:ext>
          </c:extLst>
        </c:ser>
        <c:ser>
          <c:idx val="13"/>
          <c:order val="13"/>
          <c:spPr>
            <a:noFill/>
            <a:ln>
              <a:noFill/>
            </a:ln>
            <a:effectLst/>
          </c:spPr>
          <c:invertIfNegative val="0"/>
          <c:cat>
            <c:strRef>
              <c:f>Sheet1!$C$12:$C$14</c:f>
              <c:strCache>
                <c:ptCount val="3"/>
                <c:pt idx="0">
                  <c:v>Korea</c:v>
                </c:pt>
                <c:pt idx="1">
                  <c:v>United States</c:v>
                </c:pt>
                <c:pt idx="2">
                  <c:v>WRC-19 Agenda item 1.13</c:v>
                </c:pt>
              </c:strCache>
            </c:strRef>
          </c:cat>
          <c:val>
            <c:numRef>
              <c:f>Sheet1!$Q$12:$Q$14</c:f>
              <c:numCache>
                <c:formatCode>General</c:formatCode>
                <c:ptCount val="3"/>
                <c:pt idx="0">
                  <c:v>0</c:v>
                </c:pt>
                <c:pt idx="1">
                  <c:v>0</c:v>
                </c:pt>
                <c:pt idx="2">
                  <c:v>0</c:v>
                </c:pt>
              </c:numCache>
            </c:numRef>
          </c:val>
          <c:extLst>
            <c:ext xmlns:c16="http://schemas.microsoft.com/office/drawing/2014/chart" uri="{C3380CC4-5D6E-409C-BE32-E72D297353CC}">
              <c16:uniqueId val="{00000011-32BE-4BEF-AF9A-49788C3538A3}"/>
            </c:ext>
          </c:extLst>
        </c:ser>
        <c:ser>
          <c:idx val="14"/>
          <c:order val="14"/>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Sheet1!$R$12:$R$14</c:f>
              <c:numCache>
                <c:formatCode>General</c:formatCode>
                <c:ptCount val="3"/>
                <c:pt idx="0">
                  <c:v>0</c:v>
                </c:pt>
                <c:pt idx="1">
                  <c:v>0</c:v>
                </c:pt>
                <c:pt idx="2">
                  <c:v>1</c:v>
                </c:pt>
              </c:numCache>
            </c:numRef>
          </c:val>
          <c:extLst>
            <c:ext xmlns:c16="http://schemas.microsoft.com/office/drawing/2014/chart" uri="{C3380CC4-5D6E-409C-BE32-E72D297353CC}">
              <c16:uniqueId val="{00000012-32BE-4BEF-AF9A-49788C3538A3}"/>
            </c:ext>
          </c:extLst>
        </c:ser>
        <c:ser>
          <c:idx val="15"/>
          <c:order val="15"/>
          <c:spPr>
            <a:noFill/>
            <a:ln>
              <a:noFill/>
            </a:ln>
            <a:effectLst/>
          </c:spPr>
          <c:invertIfNegative val="0"/>
          <c:cat>
            <c:strRef>
              <c:f>Sheet1!$C$12:$C$14</c:f>
              <c:strCache>
                <c:ptCount val="3"/>
                <c:pt idx="0">
                  <c:v>Korea</c:v>
                </c:pt>
                <c:pt idx="1">
                  <c:v>United States</c:v>
                </c:pt>
                <c:pt idx="2">
                  <c:v>WRC-19 Agenda item 1.13</c:v>
                </c:pt>
              </c:strCache>
            </c:strRef>
          </c:cat>
          <c:val>
            <c:numRef>
              <c:f>Sheet1!$S$12:$S$14</c:f>
              <c:numCache>
                <c:formatCode>General</c:formatCode>
                <c:ptCount val="3"/>
                <c:pt idx="0">
                  <c:v>0</c:v>
                </c:pt>
                <c:pt idx="1">
                  <c:v>0</c:v>
                </c:pt>
                <c:pt idx="2">
                  <c:v>2</c:v>
                </c:pt>
              </c:numCache>
            </c:numRef>
          </c:val>
          <c:extLst>
            <c:ext xmlns:c16="http://schemas.microsoft.com/office/drawing/2014/chart" uri="{C3380CC4-5D6E-409C-BE32-E72D297353CC}">
              <c16:uniqueId val="{00000013-32BE-4BEF-AF9A-49788C3538A3}"/>
            </c:ext>
          </c:extLst>
        </c:ser>
        <c:ser>
          <c:idx val="16"/>
          <c:order val="16"/>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Sheet1!$T$12:$T$14</c:f>
              <c:numCache>
                <c:formatCode>General</c:formatCode>
                <c:ptCount val="3"/>
                <c:pt idx="0">
                  <c:v>0</c:v>
                </c:pt>
                <c:pt idx="1">
                  <c:v>0</c:v>
                </c:pt>
                <c:pt idx="2">
                  <c:v>1.5</c:v>
                </c:pt>
              </c:numCache>
            </c:numRef>
          </c:val>
          <c:extLst>
            <c:ext xmlns:c16="http://schemas.microsoft.com/office/drawing/2014/chart" uri="{C3380CC4-5D6E-409C-BE32-E72D297353CC}">
              <c16:uniqueId val="{00000014-32BE-4BEF-AF9A-49788C3538A3}"/>
            </c:ext>
          </c:extLst>
        </c:ser>
        <c:ser>
          <c:idx val="17"/>
          <c:order val="17"/>
          <c:spPr>
            <a:noFill/>
            <a:ln>
              <a:noFill/>
            </a:ln>
            <a:effectLst/>
          </c:spPr>
          <c:invertIfNegative val="0"/>
          <c:cat>
            <c:strRef>
              <c:f>Sheet1!$C$12:$C$14</c:f>
              <c:strCache>
                <c:ptCount val="3"/>
                <c:pt idx="0">
                  <c:v>Korea</c:v>
                </c:pt>
                <c:pt idx="1">
                  <c:v>United States</c:v>
                </c:pt>
                <c:pt idx="2">
                  <c:v>WRC-19 Agenda item 1.13</c:v>
                </c:pt>
              </c:strCache>
            </c:strRef>
          </c:cat>
          <c:val>
            <c:numRef>
              <c:f>Sheet1!$U$12:$U$14</c:f>
              <c:numCache>
                <c:formatCode>General</c:formatCode>
                <c:ptCount val="3"/>
                <c:pt idx="0">
                  <c:v>0</c:v>
                </c:pt>
                <c:pt idx="1">
                  <c:v>0</c:v>
                </c:pt>
                <c:pt idx="2">
                  <c:v>0</c:v>
                </c:pt>
              </c:numCache>
            </c:numRef>
          </c:val>
          <c:extLst>
            <c:ext xmlns:c16="http://schemas.microsoft.com/office/drawing/2014/chart" uri="{C3380CC4-5D6E-409C-BE32-E72D297353CC}">
              <c16:uniqueId val="{00000015-32BE-4BEF-AF9A-49788C3538A3}"/>
            </c:ext>
          </c:extLst>
        </c:ser>
        <c:ser>
          <c:idx val="18"/>
          <c:order val="18"/>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Sheet1!$V$12:$V$14</c:f>
              <c:numCache>
                <c:formatCode>General</c:formatCode>
                <c:ptCount val="3"/>
                <c:pt idx="0">
                  <c:v>0</c:v>
                </c:pt>
                <c:pt idx="1">
                  <c:v>0</c:v>
                </c:pt>
                <c:pt idx="2">
                  <c:v>0.20000000000000284</c:v>
                </c:pt>
              </c:numCache>
            </c:numRef>
          </c:val>
          <c:extLst>
            <c:ext xmlns:c16="http://schemas.microsoft.com/office/drawing/2014/chart" uri="{C3380CC4-5D6E-409C-BE32-E72D297353CC}">
              <c16:uniqueId val="{00000016-32BE-4BEF-AF9A-49788C3538A3}"/>
            </c:ext>
          </c:extLst>
        </c:ser>
        <c:ser>
          <c:idx val="19"/>
          <c:order val="19"/>
          <c:spPr>
            <a:noFill/>
            <a:ln>
              <a:noFill/>
            </a:ln>
            <a:effectLst/>
          </c:spPr>
          <c:invertIfNegative val="0"/>
          <c:cat>
            <c:strRef>
              <c:f>Sheet1!$C$12:$C$14</c:f>
              <c:strCache>
                <c:ptCount val="3"/>
                <c:pt idx="0">
                  <c:v>Korea</c:v>
                </c:pt>
                <c:pt idx="1">
                  <c:v>United States</c:v>
                </c:pt>
                <c:pt idx="2">
                  <c:v>WRC-19 Agenda item 1.13</c:v>
                </c:pt>
              </c:strCache>
            </c:strRef>
          </c:cat>
          <c:val>
            <c:numRef>
              <c:f>Sheet1!$W$12:$W$14</c:f>
              <c:numCache>
                <c:formatCode>General</c:formatCode>
                <c:ptCount val="3"/>
                <c:pt idx="0">
                  <c:v>0</c:v>
                </c:pt>
                <c:pt idx="1">
                  <c:v>4.7000000000000028</c:v>
                </c:pt>
                <c:pt idx="2">
                  <c:v>0</c:v>
                </c:pt>
              </c:numCache>
            </c:numRef>
          </c:val>
          <c:extLst>
            <c:ext xmlns:c16="http://schemas.microsoft.com/office/drawing/2014/chart" uri="{C3380CC4-5D6E-409C-BE32-E72D297353CC}">
              <c16:uniqueId val="{00000017-32BE-4BEF-AF9A-49788C3538A3}"/>
            </c:ext>
          </c:extLst>
        </c:ser>
        <c:ser>
          <c:idx val="20"/>
          <c:order val="20"/>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Sheet1!$X$12:$X$14</c:f>
              <c:numCache>
                <c:formatCode>General</c:formatCode>
                <c:ptCount val="3"/>
                <c:pt idx="0">
                  <c:v>0</c:v>
                </c:pt>
                <c:pt idx="1">
                  <c:v>3</c:v>
                </c:pt>
                <c:pt idx="2">
                  <c:v>3</c:v>
                </c:pt>
              </c:numCache>
            </c:numRef>
          </c:val>
          <c:extLst>
            <c:ext xmlns:c16="http://schemas.microsoft.com/office/drawing/2014/chart" uri="{C3380CC4-5D6E-409C-BE32-E72D297353CC}">
              <c16:uniqueId val="{00000018-32BE-4BEF-AF9A-49788C3538A3}"/>
            </c:ext>
          </c:extLst>
        </c:ser>
        <c:ser>
          <c:idx val="21"/>
          <c:order val="21"/>
          <c:spPr>
            <a:noFill/>
            <a:ln>
              <a:noFill/>
            </a:ln>
            <a:effectLst/>
          </c:spPr>
          <c:invertIfNegative val="0"/>
          <c:cat>
            <c:strRef>
              <c:f>Sheet1!$C$12:$C$14</c:f>
              <c:strCache>
                <c:ptCount val="3"/>
                <c:pt idx="0">
                  <c:v>Korea</c:v>
                </c:pt>
                <c:pt idx="1">
                  <c:v>United States</c:v>
                </c:pt>
                <c:pt idx="2">
                  <c:v>WRC-19 Agenda item 1.13</c:v>
                </c:pt>
              </c:strCache>
            </c:strRef>
          </c:cat>
          <c:val>
            <c:numRef>
              <c:f>Sheet1!$Y$12:$Y$14</c:f>
              <c:numCache>
                <c:formatCode>General</c:formatCode>
                <c:ptCount val="3"/>
                <c:pt idx="0">
                  <c:v>0</c:v>
                </c:pt>
                <c:pt idx="1">
                  <c:v>0.19999999999999574</c:v>
                </c:pt>
                <c:pt idx="2">
                  <c:v>0.19999999999999574</c:v>
                </c:pt>
              </c:numCache>
            </c:numRef>
          </c:val>
          <c:extLst>
            <c:ext xmlns:c16="http://schemas.microsoft.com/office/drawing/2014/chart" uri="{C3380CC4-5D6E-409C-BE32-E72D297353CC}">
              <c16:uniqueId val="{00000019-32BE-4BEF-AF9A-49788C3538A3}"/>
            </c:ext>
          </c:extLst>
        </c:ser>
        <c:ser>
          <c:idx val="22"/>
          <c:order val="22"/>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Sheet1!$Z$12:$Z$14</c:f>
              <c:numCache>
                <c:formatCode>General</c:formatCode>
                <c:ptCount val="3"/>
                <c:pt idx="0">
                  <c:v>0</c:v>
                </c:pt>
                <c:pt idx="1">
                  <c:v>2.2000000000000028</c:v>
                </c:pt>
                <c:pt idx="2">
                  <c:v>2.2000000000000028</c:v>
                </c:pt>
              </c:numCache>
            </c:numRef>
          </c:val>
          <c:extLst>
            <c:ext xmlns:c16="http://schemas.microsoft.com/office/drawing/2014/chart" uri="{C3380CC4-5D6E-409C-BE32-E72D297353CC}">
              <c16:uniqueId val="{0000001A-32BE-4BEF-AF9A-49788C3538A3}"/>
            </c:ext>
          </c:extLst>
        </c:ser>
        <c:ser>
          <c:idx val="23"/>
          <c:order val="23"/>
          <c:spPr>
            <a:noFill/>
            <a:ln>
              <a:noFill/>
            </a:ln>
            <a:effectLst/>
          </c:spPr>
          <c:invertIfNegative val="0"/>
          <c:cat>
            <c:strRef>
              <c:f>Sheet1!$C$12:$C$14</c:f>
              <c:strCache>
                <c:ptCount val="3"/>
                <c:pt idx="0">
                  <c:v>Korea</c:v>
                </c:pt>
                <c:pt idx="1">
                  <c:v>United States</c:v>
                </c:pt>
                <c:pt idx="2">
                  <c:v>WRC-19 Agenda item 1.13</c:v>
                </c:pt>
              </c:strCache>
            </c:strRef>
          </c:cat>
          <c:val>
            <c:numRef>
              <c:f>Sheet1!$AA$12:$AA$14</c:f>
              <c:numCache>
                <c:formatCode>General</c:formatCode>
                <c:ptCount val="3"/>
                <c:pt idx="0">
                  <c:v>0</c:v>
                </c:pt>
                <c:pt idx="1">
                  <c:v>11.399999999999999</c:v>
                </c:pt>
                <c:pt idx="2">
                  <c:v>0</c:v>
                </c:pt>
              </c:numCache>
            </c:numRef>
          </c:val>
          <c:extLst>
            <c:ext xmlns:c16="http://schemas.microsoft.com/office/drawing/2014/chart" uri="{C3380CC4-5D6E-409C-BE32-E72D297353CC}">
              <c16:uniqueId val="{0000001B-32BE-4BEF-AF9A-49788C3538A3}"/>
            </c:ext>
          </c:extLst>
        </c:ser>
        <c:ser>
          <c:idx val="24"/>
          <c:order val="24"/>
          <c:spPr>
            <a:pattFill prst="wdUpDiag">
              <a:fgClr>
                <a:srgbClr val="00B0F0"/>
              </a:fgClr>
              <a:bgClr>
                <a:schemeClr val="bg1"/>
              </a:bgClr>
            </a:pattFill>
            <a:ln>
              <a:solidFill>
                <a:srgbClr val="00B0F0"/>
              </a:solidFill>
            </a:ln>
            <a:effectLst/>
          </c:spPr>
          <c:invertIfNegative val="0"/>
          <c:cat>
            <c:strRef>
              <c:f>Sheet1!$C$12:$C$14</c:f>
              <c:strCache>
                <c:ptCount val="3"/>
                <c:pt idx="0">
                  <c:v>Korea</c:v>
                </c:pt>
                <c:pt idx="1">
                  <c:v>United States</c:v>
                </c:pt>
                <c:pt idx="2">
                  <c:v>WRC-19 Agenda item 1.13</c:v>
                </c:pt>
              </c:strCache>
            </c:strRef>
          </c:cat>
          <c:val>
            <c:numRef>
              <c:f>Sheet1!$AB$12:$AB$14</c:f>
              <c:numCache>
                <c:formatCode>General</c:formatCode>
                <c:ptCount val="3"/>
                <c:pt idx="0">
                  <c:v>0</c:v>
                </c:pt>
                <c:pt idx="1">
                  <c:v>2</c:v>
                </c:pt>
                <c:pt idx="2">
                  <c:v>0</c:v>
                </c:pt>
              </c:numCache>
            </c:numRef>
          </c:val>
          <c:extLst>
            <c:ext xmlns:c16="http://schemas.microsoft.com/office/drawing/2014/chart" uri="{C3380CC4-5D6E-409C-BE32-E72D297353CC}">
              <c16:uniqueId val="{0000001C-32BE-4BEF-AF9A-49788C3538A3}"/>
            </c:ext>
          </c:extLst>
        </c:ser>
        <c:ser>
          <c:idx val="25"/>
          <c:order val="25"/>
          <c:spPr>
            <a:noFill/>
            <a:ln>
              <a:noFill/>
            </a:ln>
            <a:effectLst/>
          </c:spPr>
          <c:invertIfNegative val="0"/>
          <c:cat>
            <c:strRef>
              <c:f>Sheet1!$C$12:$C$14</c:f>
              <c:strCache>
                <c:ptCount val="3"/>
                <c:pt idx="0">
                  <c:v>Korea</c:v>
                </c:pt>
                <c:pt idx="1">
                  <c:v>United States</c:v>
                </c:pt>
                <c:pt idx="2">
                  <c:v>WRC-19 Agenda item 1.13</c:v>
                </c:pt>
              </c:strCache>
            </c:strRef>
          </c:cat>
          <c:val>
            <c:numRef>
              <c:f>Sheet1!$AC$12:$AC$14</c:f>
              <c:numCache>
                <c:formatCode>General</c:formatCode>
                <c:ptCount val="3"/>
                <c:pt idx="0">
                  <c:v>0</c:v>
                </c:pt>
                <c:pt idx="1">
                  <c:v>0</c:v>
                </c:pt>
                <c:pt idx="2">
                  <c:v>13.399999999999999</c:v>
                </c:pt>
              </c:numCache>
            </c:numRef>
          </c:val>
          <c:extLst>
            <c:ext xmlns:c16="http://schemas.microsoft.com/office/drawing/2014/chart" uri="{C3380CC4-5D6E-409C-BE32-E72D297353CC}">
              <c16:uniqueId val="{0000001D-32BE-4BEF-AF9A-49788C3538A3}"/>
            </c:ext>
          </c:extLst>
        </c:ser>
        <c:ser>
          <c:idx val="26"/>
          <c:order val="26"/>
          <c:spPr>
            <a:solidFill>
              <a:schemeClr val="accent2">
                <a:lumMod val="60000"/>
                <a:lumOff val="40000"/>
              </a:schemeClr>
            </a:solidFill>
            <a:ln>
              <a:noFill/>
            </a:ln>
            <a:effectLst/>
          </c:spPr>
          <c:invertIfNegative val="0"/>
          <c:dPt>
            <c:idx val="1"/>
            <c:invertIfNegative val="0"/>
            <c:bubble3D val="0"/>
            <c:spPr>
              <a:pattFill prst="wdUpDiag">
                <a:fgClr>
                  <a:schemeClr val="accent2">
                    <a:lumMod val="60000"/>
                    <a:lumOff val="40000"/>
                  </a:schemeClr>
                </a:fgClr>
                <a:bgClr>
                  <a:schemeClr val="bg1"/>
                </a:bgClr>
              </a:pattFill>
              <a:ln>
                <a:solidFill>
                  <a:schemeClr val="accent2">
                    <a:lumMod val="60000"/>
                    <a:lumOff val="40000"/>
                  </a:schemeClr>
                </a:solidFill>
              </a:ln>
              <a:effectLst/>
            </c:spPr>
            <c:extLst>
              <c:ext xmlns:c16="http://schemas.microsoft.com/office/drawing/2014/chart" uri="{C3380CC4-5D6E-409C-BE32-E72D297353CC}">
                <c16:uniqueId val="{0000001F-32BE-4BEF-AF9A-49788C3538A3}"/>
              </c:ext>
            </c:extLst>
          </c:dPt>
          <c:cat>
            <c:strRef>
              <c:f>Sheet1!$C$12:$C$14</c:f>
              <c:strCache>
                <c:ptCount val="3"/>
                <c:pt idx="0">
                  <c:v>Korea</c:v>
                </c:pt>
                <c:pt idx="1">
                  <c:v>United States</c:v>
                </c:pt>
                <c:pt idx="2">
                  <c:v>WRC-19 Agenda item 1.13</c:v>
                </c:pt>
              </c:strCache>
            </c:strRef>
          </c:cat>
          <c:val>
            <c:numRef>
              <c:f>Sheet1!$AD$12:$AD$14</c:f>
              <c:numCache>
                <c:formatCode>General</c:formatCode>
                <c:ptCount val="3"/>
                <c:pt idx="0">
                  <c:v>0</c:v>
                </c:pt>
                <c:pt idx="1">
                  <c:v>5</c:v>
                </c:pt>
                <c:pt idx="2">
                  <c:v>5</c:v>
                </c:pt>
              </c:numCache>
            </c:numRef>
          </c:val>
          <c:extLst>
            <c:ext xmlns:c16="http://schemas.microsoft.com/office/drawing/2014/chart" uri="{C3380CC4-5D6E-409C-BE32-E72D297353CC}">
              <c16:uniqueId val="{00000020-32BE-4BEF-AF9A-49788C3538A3}"/>
            </c:ext>
          </c:extLst>
        </c:ser>
        <c:ser>
          <c:idx val="27"/>
          <c:order val="27"/>
          <c:spPr>
            <a:noFill/>
            <a:ln>
              <a:noFill/>
            </a:ln>
            <a:effectLst/>
          </c:spPr>
          <c:invertIfNegative val="0"/>
          <c:cat>
            <c:strRef>
              <c:f>Sheet1!$C$12:$C$14</c:f>
              <c:strCache>
                <c:ptCount val="3"/>
                <c:pt idx="0">
                  <c:v>Korea</c:v>
                </c:pt>
                <c:pt idx="1">
                  <c:v>United States</c:v>
                </c:pt>
                <c:pt idx="2">
                  <c:v>WRC-19 Agenda item 1.13</c:v>
                </c:pt>
              </c:strCache>
            </c:strRef>
          </c:cat>
          <c:val>
            <c:numRef>
              <c:f>Sheet1!$AE$12:$AE$14</c:f>
              <c:numCache>
                <c:formatCode>General</c:formatCode>
                <c:ptCount val="3"/>
                <c:pt idx="0">
                  <c:v>0</c:v>
                </c:pt>
                <c:pt idx="1">
                  <c:v>0</c:v>
                </c:pt>
                <c:pt idx="2">
                  <c:v>0</c:v>
                </c:pt>
              </c:numCache>
            </c:numRef>
          </c:val>
          <c:extLst>
            <c:ext xmlns:c16="http://schemas.microsoft.com/office/drawing/2014/chart" uri="{C3380CC4-5D6E-409C-BE32-E72D297353CC}">
              <c16:uniqueId val="{00000021-32BE-4BEF-AF9A-49788C3538A3}"/>
            </c:ext>
          </c:extLst>
        </c:ser>
        <c:ser>
          <c:idx val="28"/>
          <c:order val="28"/>
          <c:spPr>
            <a:solidFill>
              <a:schemeClr val="accent2">
                <a:lumMod val="60000"/>
                <a:lumOff val="40000"/>
              </a:schemeClr>
            </a:solidFill>
            <a:ln>
              <a:noFill/>
            </a:ln>
            <a:effectLst/>
          </c:spPr>
          <c:invertIfNegative val="0"/>
          <c:cat>
            <c:strRef>
              <c:f>Sheet1!$C$12:$C$14</c:f>
              <c:strCache>
                <c:ptCount val="3"/>
                <c:pt idx="0">
                  <c:v>Korea</c:v>
                </c:pt>
                <c:pt idx="1">
                  <c:v>United States</c:v>
                </c:pt>
                <c:pt idx="2">
                  <c:v>WRC-19 Agenda item 1.13</c:v>
                </c:pt>
              </c:strCache>
            </c:strRef>
          </c:cat>
          <c:val>
            <c:numRef>
              <c:f>Sheet1!$AF$12:$AF$14</c:f>
              <c:numCache>
                <c:formatCode>General</c:formatCode>
                <c:ptCount val="3"/>
                <c:pt idx="0">
                  <c:v>0</c:v>
                </c:pt>
                <c:pt idx="1">
                  <c:v>5</c:v>
                </c:pt>
                <c:pt idx="2">
                  <c:v>5</c:v>
                </c:pt>
              </c:numCache>
            </c:numRef>
          </c:val>
          <c:extLst>
            <c:ext xmlns:c16="http://schemas.microsoft.com/office/drawing/2014/chart" uri="{C3380CC4-5D6E-409C-BE32-E72D297353CC}">
              <c16:uniqueId val="{00000022-32BE-4BEF-AF9A-49788C3538A3}"/>
            </c:ext>
          </c:extLst>
        </c:ser>
        <c:ser>
          <c:idx val="29"/>
          <c:order val="29"/>
          <c:tx>
            <c:strRef>
              <c:f>Sheet1!$AG$12:$AG$14</c:f>
              <c:strCache>
                <c:ptCount val="3"/>
                <c:pt idx="0">
                  <c:v>0</c:v>
                </c:pt>
                <c:pt idx="1">
                  <c:v>5</c:v>
                </c:pt>
                <c:pt idx="2">
                  <c:v>5</c:v>
                </c:pt>
              </c:strCache>
            </c:strRef>
          </c:tx>
          <c:spPr>
            <a:noFill/>
            <a:ln>
              <a:noFill/>
            </a:ln>
            <a:effectLst/>
          </c:spPr>
          <c:invertIfNegative val="0"/>
          <c:val>
            <c:numRef>
              <c:f>Sheet1!$AG$12:$AG$14</c:f>
              <c:numCache>
                <c:formatCode>General</c:formatCode>
                <c:ptCount val="3"/>
                <c:pt idx="0">
                  <c:v>0</c:v>
                </c:pt>
                <c:pt idx="1">
                  <c:v>5</c:v>
                </c:pt>
                <c:pt idx="2">
                  <c:v>5</c:v>
                </c:pt>
              </c:numCache>
            </c:numRef>
          </c:val>
          <c:extLst>
            <c:ext xmlns:c16="http://schemas.microsoft.com/office/drawing/2014/chart" uri="{C3380CC4-5D6E-409C-BE32-E72D297353CC}">
              <c16:uniqueId val="{00000023-32BE-4BEF-AF9A-49788C3538A3}"/>
            </c:ext>
          </c:extLst>
        </c:ser>
        <c:ser>
          <c:idx val="30"/>
          <c:order val="30"/>
          <c:spPr>
            <a:solidFill>
              <a:schemeClr val="accent2">
                <a:lumMod val="60000"/>
                <a:lumOff val="40000"/>
              </a:schemeClr>
            </a:solidFill>
            <a:ln>
              <a:noFill/>
            </a:ln>
            <a:effectLst/>
          </c:spPr>
          <c:invertIfNegative val="0"/>
          <c:val>
            <c:numRef>
              <c:f>Sheet1!$AH$12:$AH$14</c:f>
              <c:numCache>
                <c:formatCode>General</c:formatCode>
                <c:ptCount val="3"/>
                <c:pt idx="0">
                  <c:v>0</c:v>
                </c:pt>
                <c:pt idx="1">
                  <c:v>5</c:v>
                </c:pt>
                <c:pt idx="2">
                  <c:v>5</c:v>
                </c:pt>
              </c:numCache>
            </c:numRef>
          </c:val>
          <c:extLst>
            <c:ext xmlns:c16="http://schemas.microsoft.com/office/drawing/2014/chart" uri="{C3380CC4-5D6E-409C-BE32-E72D297353CC}">
              <c16:uniqueId val="{00000024-32BE-4BEF-AF9A-49788C3538A3}"/>
            </c:ext>
          </c:extLst>
        </c:ser>
        <c:ser>
          <c:idx val="31"/>
          <c:order val="31"/>
          <c:spPr>
            <a:noFill/>
            <a:ln>
              <a:noFill/>
            </a:ln>
            <a:effectLst/>
          </c:spPr>
          <c:invertIfNegative val="0"/>
          <c:val>
            <c:numRef>
              <c:f>Sheet1!$AI$12:$AI$14</c:f>
              <c:numCache>
                <c:formatCode>General</c:formatCode>
                <c:ptCount val="3"/>
                <c:pt idx="0">
                  <c:v>0</c:v>
                </c:pt>
                <c:pt idx="1">
                  <c:v>9</c:v>
                </c:pt>
                <c:pt idx="2">
                  <c:v>0</c:v>
                </c:pt>
              </c:numCache>
            </c:numRef>
          </c:val>
          <c:extLst>
            <c:ext xmlns:c16="http://schemas.microsoft.com/office/drawing/2014/chart" uri="{C3380CC4-5D6E-409C-BE32-E72D297353CC}">
              <c16:uniqueId val="{00000025-32BE-4BEF-AF9A-49788C3538A3}"/>
            </c:ext>
          </c:extLst>
        </c:ser>
        <c:ser>
          <c:idx val="32"/>
          <c:order val="32"/>
          <c:spPr>
            <a:solidFill>
              <a:srgbClr val="00B0F0"/>
            </a:solidFill>
            <a:ln>
              <a:noFill/>
            </a:ln>
            <a:effectLst/>
          </c:spPr>
          <c:invertIfNegative val="0"/>
          <c:val>
            <c:numRef>
              <c:f>Sheet1!$AJ$12:$AJ$14</c:f>
              <c:numCache>
                <c:formatCode>General</c:formatCode>
                <c:ptCount val="3"/>
                <c:pt idx="0">
                  <c:v>0</c:v>
                </c:pt>
                <c:pt idx="1">
                  <c:v>5</c:v>
                </c:pt>
                <c:pt idx="2">
                  <c:v>0</c:v>
                </c:pt>
              </c:numCache>
            </c:numRef>
          </c:val>
          <c:extLst>
            <c:ext xmlns:c16="http://schemas.microsoft.com/office/drawing/2014/chart" uri="{C3380CC4-5D6E-409C-BE32-E72D297353CC}">
              <c16:uniqueId val="{00000026-32BE-4BEF-AF9A-49788C3538A3}"/>
            </c:ext>
          </c:extLst>
        </c:ser>
        <c:dLbls>
          <c:showLegendKey val="0"/>
          <c:showVal val="0"/>
          <c:showCatName val="0"/>
          <c:showSerName val="0"/>
          <c:showPercent val="0"/>
          <c:showBubbleSize val="0"/>
        </c:dLbls>
        <c:gapWidth val="150"/>
        <c:overlap val="100"/>
        <c:axId val="322557480"/>
        <c:axId val="322557872"/>
      </c:barChart>
      <c:catAx>
        <c:axId val="32255748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22557872"/>
        <c:crosses val="autoZero"/>
        <c:auto val="1"/>
        <c:lblAlgn val="ctr"/>
        <c:lblOffset val="100"/>
        <c:noMultiLvlLbl val="0"/>
      </c:catAx>
      <c:valAx>
        <c:axId val="322557872"/>
        <c:scaling>
          <c:orientation val="minMax"/>
          <c:max val="100"/>
          <c:min val="2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Frequency (GHz)</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22557480"/>
        <c:crosses val="autoZero"/>
        <c:crossBetween val="between"/>
        <c:majorUnit val="5"/>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47F8C5-67C6-4319-8AC3-0E74062C2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29491</Words>
  <Characters>168104</Characters>
  <Application>Microsoft Office Word</Application>
  <DocSecurity>4</DocSecurity>
  <Lines>1400</Lines>
  <Paragraphs>394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197201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2019-07-22T02:43:00Z</dcterms:created>
  <dcterms:modified xsi:type="dcterms:W3CDTF">2019-07-22T02:43:00Z</dcterms:modified>
  <cp:category/>
</cp:coreProperties>
</file>