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2C187B" w14:textId="58688087" w:rsidR="00D349BA" w:rsidRDefault="001415ED" w:rsidP="002E2146">
      <w:pPr>
        <w:spacing w:before="360" w:after="0" w:line="240" w:lineRule="atLeast"/>
        <w:rPr>
          <w:rFonts w:cs="Arial"/>
          <w:bCs/>
          <w:i w:val="0"/>
          <w:iCs/>
          <w:color w:val="000000" w:themeColor="text1"/>
          <w:sz w:val="36"/>
          <w:szCs w:val="36"/>
          <w:lang w:eastAsia="en-AU"/>
        </w:rPr>
      </w:pPr>
      <w:r w:rsidRPr="006E31B1">
        <w:rPr>
          <w:rFonts w:cs="Arial"/>
          <w:bCs/>
          <w:i w:val="0"/>
          <w:iCs/>
          <w:color w:val="000000" w:themeColor="text1"/>
          <w:sz w:val="36"/>
          <w:szCs w:val="36"/>
          <w:lang w:eastAsia="en-AU"/>
        </w:rPr>
        <w:t xml:space="preserve">Speech </w:t>
      </w:r>
      <w:r w:rsidR="006E41D7">
        <w:rPr>
          <w:rFonts w:cs="Arial"/>
          <w:bCs/>
          <w:i w:val="0"/>
          <w:iCs/>
          <w:color w:val="000000" w:themeColor="text1"/>
          <w:sz w:val="36"/>
          <w:szCs w:val="36"/>
          <w:lang w:eastAsia="en-AU"/>
        </w:rPr>
        <w:t xml:space="preserve">to </w:t>
      </w:r>
      <w:r w:rsidR="002E2146">
        <w:rPr>
          <w:rFonts w:cs="Arial"/>
          <w:bCs/>
          <w:i w:val="0"/>
          <w:iCs/>
          <w:color w:val="000000" w:themeColor="text1"/>
          <w:sz w:val="36"/>
          <w:szCs w:val="36"/>
          <w:lang w:eastAsia="en-AU"/>
        </w:rPr>
        <w:t>Australasia Satellite Forum 2019</w:t>
      </w:r>
    </w:p>
    <w:p w14:paraId="3C179ED9" w14:textId="77777777" w:rsidR="002E2146" w:rsidRPr="002E2146" w:rsidRDefault="002E2146" w:rsidP="002E2146">
      <w:pPr>
        <w:pStyle w:val="ACMABodyText"/>
        <w:rPr>
          <w:lang w:eastAsia="en-AU"/>
        </w:rPr>
      </w:pPr>
    </w:p>
    <w:p w14:paraId="19B3EE2B" w14:textId="2F3F4CB8" w:rsidR="00457495" w:rsidRPr="006E31B1" w:rsidRDefault="002E2146" w:rsidP="00457495">
      <w:pPr>
        <w:spacing w:before="0" w:line="240" w:lineRule="atLeast"/>
        <w:rPr>
          <w:rFonts w:cs="Arial"/>
          <w:i w:val="0"/>
          <w:color w:val="000000" w:themeColor="text1"/>
          <w:sz w:val="36"/>
          <w:szCs w:val="36"/>
          <w:lang w:eastAsia="en-AU"/>
        </w:rPr>
      </w:pPr>
      <w:r>
        <w:rPr>
          <w:rFonts w:cs="Arial"/>
          <w:i w:val="0"/>
          <w:color w:val="000000" w:themeColor="text1"/>
          <w:sz w:val="36"/>
          <w:szCs w:val="36"/>
          <w:lang w:eastAsia="en-AU"/>
        </w:rPr>
        <w:t>James Cameron</w:t>
      </w:r>
      <w:r w:rsidR="00457495" w:rsidRPr="006E31B1">
        <w:rPr>
          <w:rFonts w:cs="Arial"/>
          <w:i w:val="0"/>
          <w:color w:val="000000" w:themeColor="text1"/>
          <w:sz w:val="36"/>
          <w:szCs w:val="36"/>
          <w:lang w:eastAsia="en-AU"/>
        </w:rPr>
        <w:t xml:space="preserve">, ACMA </w:t>
      </w:r>
      <w:r>
        <w:rPr>
          <w:rFonts w:cs="Arial"/>
          <w:i w:val="0"/>
          <w:color w:val="000000" w:themeColor="text1"/>
          <w:sz w:val="36"/>
          <w:szCs w:val="36"/>
          <w:lang w:eastAsia="en-AU"/>
        </w:rPr>
        <w:t>Authority Member</w:t>
      </w:r>
      <w:r w:rsidR="00457495" w:rsidRPr="006E31B1">
        <w:rPr>
          <w:rFonts w:cs="Arial"/>
          <w:i w:val="0"/>
          <w:color w:val="000000" w:themeColor="text1"/>
          <w:sz w:val="36"/>
          <w:szCs w:val="36"/>
          <w:lang w:eastAsia="en-AU"/>
        </w:rPr>
        <w:t xml:space="preserve"> </w:t>
      </w:r>
    </w:p>
    <w:p w14:paraId="26C4A60A" w14:textId="68686100" w:rsidR="004C17C5" w:rsidRPr="006E31B1" w:rsidRDefault="002E2146" w:rsidP="00457495">
      <w:pPr>
        <w:spacing w:before="0" w:after="480" w:line="240" w:lineRule="atLeast"/>
        <w:rPr>
          <w:rFonts w:cs="Arial"/>
          <w:bCs/>
          <w:i w:val="0"/>
          <w:iCs/>
          <w:color w:val="000000" w:themeColor="text1"/>
          <w:sz w:val="28"/>
          <w:szCs w:val="28"/>
          <w:lang w:eastAsia="en-AU"/>
        </w:rPr>
      </w:pPr>
      <w:r>
        <w:rPr>
          <w:rFonts w:cs="Arial"/>
          <w:bCs/>
          <w:i w:val="0"/>
          <w:iCs/>
          <w:color w:val="000000" w:themeColor="text1"/>
          <w:sz w:val="28"/>
          <w:szCs w:val="28"/>
          <w:lang w:eastAsia="en-AU"/>
        </w:rPr>
        <w:t>21 May 2019</w:t>
      </w:r>
    </w:p>
    <w:p w14:paraId="5FC32D1D" w14:textId="64D23190" w:rsidR="002E2146" w:rsidRPr="002E2146" w:rsidRDefault="002E2146" w:rsidP="002E2146">
      <w:pPr>
        <w:pStyle w:val="ACMABodyText"/>
        <w:spacing w:line="240" w:lineRule="auto"/>
        <w:rPr>
          <w:rFonts w:eastAsia="Calibri" w:cs="Arial"/>
        </w:rPr>
      </w:pPr>
      <w:r w:rsidRPr="002E2146">
        <w:rPr>
          <w:rFonts w:eastAsia="Calibri" w:cs="Arial"/>
        </w:rPr>
        <w:t>Thank you. I’d like to begin by acknowledging the traditional owners of the land on which we meet</w:t>
      </w:r>
      <w:r w:rsidR="00B07C93">
        <w:rPr>
          <w:rFonts w:eastAsia="Calibri" w:cs="Arial"/>
        </w:rPr>
        <w:t>—</w:t>
      </w:r>
      <w:r w:rsidRPr="002E2146">
        <w:rPr>
          <w:rFonts w:eastAsia="Calibri" w:cs="Arial"/>
        </w:rPr>
        <w:t>the Gadigal people of the Eora nation</w:t>
      </w:r>
      <w:r w:rsidR="00B07C93">
        <w:rPr>
          <w:rFonts w:eastAsia="Calibri" w:cs="Arial"/>
        </w:rPr>
        <w:t>—</w:t>
      </w:r>
      <w:r w:rsidRPr="002E2146">
        <w:rPr>
          <w:rFonts w:eastAsia="Calibri" w:cs="Arial"/>
        </w:rPr>
        <w:t>and pay my respects to their elders past, present and emerging.</w:t>
      </w:r>
      <w:bookmarkStart w:id="0" w:name="_GoBack"/>
      <w:bookmarkEnd w:id="0"/>
    </w:p>
    <w:p w14:paraId="5DA6AB5E" w14:textId="77777777" w:rsidR="002E2146" w:rsidRPr="002E2146" w:rsidRDefault="002E2146" w:rsidP="002E2146">
      <w:pPr>
        <w:pStyle w:val="ACMABodyText"/>
        <w:spacing w:line="240" w:lineRule="auto"/>
        <w:rPr>
          <w:rFonts w:eastAsia="Calibri" w:cs="Arial"/>
        </w:rPr>
      </w:pPr>
      <w:r w:rsidRPr="002E2146">
        <w:rPr>
          <w:rFonts w:eastAsia="Calibri" w:cs="Arial"/>
        </w:rPr>
        <w:t>I’m pleased to have this opportunity to speak to you today to outline some of our key priorities in managing the radiofrequency spectrum for satellite systems.</w:t>
      </w:r>
    </w:p>
    <w:p w14:paraId="5E091C53" w14:textId="77777777" w:rsidR="002E2146" w:rsidRPr="002E2146" w:rsidRDefault="002E2146" w:rsidP="002E2146">
      <w:pPr>
        <w:pStyle w:val="ACMABodyText"/>
        <w:spacing w:line="240" w:lineRule="auto"/>
        <w:rPr>
          <w:rFonts w:eastAsia="Calibri" w:cs="Arial"/>
        </w:rPr>
      </w:pPr>
      <w:r w:rsidRPr="002E2146">
        <w:rPr>
          <w:rFonts w:eastAsia="Calibri" w:cs="Arial"/>
        </w:rPr>
        <w:t xml:space="preserve">The ACMA is the Australian Government agency responsible for regulation of broadcasting, online content, telecommunications and radiocommunications. These industries are critical enablers of global commerce and the exchange of information, and their benefits flow throughout the economy and our broader society. The satellite industry is, of course, an important user of spectrum, providing a diverse and expanding range of communications services that drive progress for our economy, society and knowledge. </w:t>
      </w:r>
    </w:p>
    <w:p w14:paraId="1E907A90" w14:textId="699EBF54" w:rsidR="002E2146" w:rsidRPr="002E2146" w:rsidRDefault="002E2146" w:rsidP="002E2146">
      <w:pPr>
        <w:pStyle w:val="ACMABodyText"/>
        <w:spacing w:line="240" w:lineRule="auto"/>
        <w:rPr>
          <w:rFonts w:eastAsia="Calibri" w:cs="Arial"/>
        </w:rPr>
      </w:pPr>
      <w:r w:rsidRPr="002E2146">
        <w:rPr>
          <w:rFonts w:eastAsia="Calibri" w:cs="Arial"/>
        </w:rPr>
        <w:t>Satellite has played a critical role in Australia’s rollout of the National Broadband Network, underpinning greater connectivity than ever before across the Australian land</w:t>
      </w:r>
      <w:r w:rsidR="00D93E1C">
        <w:rPr>
          <w:rFonts w:eastAsia="Calibri" w:cs="Arial"/>
        </w:rPr>
        <w:t xml:space="preserve"> </w:t>
      </w:r>
      <w:r w:rsidRPr="002E2146">
        <w:rPr>
          <w:rFonts w:eastAsia="Calibri" w:cs="Arial"/>
        </w:rPr>
        <w:t xml:space="preserve">mass. Satellites are also increasingly delivering broadband internet across the skies and oceans to earth stations in motion. The radio silence that has been a hallmark of long-haul journeys is now consigned to the past. </w:t>
      </w:r>
    </w:p>
    <w:p w14:paraId="27BABB0F" w14:textId="77777777" w:rsidR="002E2146" w:rsidRPr="002E2146" w:rsidRDefault="002E2146" w:rsidP="002E2146">
      <w:pPr>
        <w:pStyle w:val="ACMABodyText"/>
        <w:spacing w:line="240" w:lineRule="auto"/>
        <w:rPr>
          <w:rFonts w:eastAsia="Calibri" w:cs="Arial"/>
        </w:rPr>
      </w:pPr>
      <w:r w:rsidRPr="002E2146">
        <w:rPr>
          <w:rFonts w:eastAsia="Calibri" w:cs="Arial"/>
        </w:rPr>
        <w:t xml:space="preserve">The remarkable convergence of satellite miniaturisation and competitive innovation in the launch industry is enabling the launch of vast low-earth-orbit satellite networks, whose operators aim to bring internet access to the entire planet. </w:t>
      </w:r>
    </w:p>
    <w:p w14:paraId="41A6F2A2" w14:textId="5FC3A9F5" w:rsidR="002E2146" w:rsidRPr="002E2146" w:rsidRDefault="002E2146" w:rsidP="002E2146">
      <w:pPr>
        <w:pStyle w:val="ACMABodyText"/>
        <w:spacing w:line="240" w:lineRule="auto"/>
        <w:rPr>
          <w:rFonts w:eastAsia="Calibri" w:cs="Arial"/>
        </w:rPr>
      </w:pPr>
      <w:r w:rsidRPr="002E2146">
        <w:rPr>
          <w:rFonts w:eastAsia="Calibri" w:cs="Arial"/>
        </w:rPr>
        <w:t xml:space="preserve">Direct-to-satellite IoT </w:t>
      </w:r>
      <w:r w:rsidR="00D93E1C">
        <w:rPr>
          <w:rFonts w:eastAsia="Calibri" w:cs="Arial"/>
        </w:rPr>
        <w:t xml:space="preserve">(Internet of Things) </w:t>
      </w:r>
      <w:r w:rsidRPr="002E2146">
        <w:rPr>
          <w:rFonts w:eastAsia="Calibri" w:cs="Arial"/>
        </w:rPr>
        <w:t>devices are dramatically lowering costs and expanding coverage for remote monitoring and asset tracking applications. Advances in data transmission technology are propelling ever-increasing throughput in traditional GSO networks. And the advent of Cube</w:t>
      </w:r>
      <w:r w:rsidR="00D93E1C">
        <w:rPr>
          <w:rFonts w:eastAsia="Calibri" w:cs="Arial"/>
        </w:rPr>
        <w:t>S</w:t>
      </w:r>
      <w:r w:rsidRPr="002E2146">
        <w:rPr>
          <w:rFonts w:eastAsia="Calibri" w:cs="Arial"/>
        </w:rPr>
        <w:t xml:space="preserve">ats has opened the industry to a new range of participants including scientific researchers and university students. </w:t>
      </w:r>
    </w:p>
    <w:p w14:paraId="3CB715EE" w14:textId="77777777" w:rsidR="002E2146" w:rsidRPr="002E2146" w:rsidRDefault="002E2146" w:rsidP="002E2146">
      <w:pPr>
        <w:pStyle w:val="ACMABodyText"/>
        <w:spacing w:line="240" w:lineRule="auto"/>
        <w:rPr>
          <w:rFonts w:eastAsia="Calibri" w:cs="Arial"/>
        </w:rPr>
      </w:pPr>
      <w:r w:rsidRPr="002E2146">
        <w:rPr>
          <w:rFonts w:eastAsia="Calibri" w:cs="Arial"/>
        </w:rPr>
        <w:t xml:space="preserve">Innovations such as these are driving the demand for spectrum not only within the satellite industry, but across the span of radiocommunications applications. As many of you know, there are considerable and often competing demands for access to spectrum, and if anything, the pressure for change seems to be intensifying. </w:t>
      </w:r>
    </w:p>
    <w:p w14:paraId="56D12693" w14:textId="77777777" w:rsidR="002E2146" w:rsidRPr="002E2146" w:rsidRDefault="002E2146" w:rsidP="002E2146">
      <w:pPr>
        <w:pStyle w:val="ACMABodyText"/>
        <w:spacing w:line="240" w:lineRule="auto"/>
        <w:rPr>
          <w:rFonts w:eastAsia="Calibri" w:cs="Arial"/>
        </w:rPr>
      </w:pPr>
      <w:r w:rsidRPr="002E2146">
        <w:rPr>
          <w:rFonts w:eastAsia="Calibri" w:cs="Arial"/>
        </w:rPr>
        <w:t>Accommodating changing demand for spectrum is a core element of the ACMA’s spectrum business. As Australia’s ‘town planner’ of the radiofrequency spectrum, our job is to identify changes in how spectrum will be used and ensure that spectrum is made available to meet the demand for new technologies and new services.</w:t>
      </w:r>
    </w:p>
    <w:p w14:paraId="30C1AA72" w14:textId="3C8F4156" w:rsidR="002E2146" w:rsidRPr="002E2146" w:rsidRDefault="002E2146" w:rsidP="002E2146">
      <w:pPr>
        <w:pStyle w:val="ACMABodyText"/>
        <w:spacing w:line="240" w:lineRule="auto"/>
        <w:rPr>
          <w:rFonts w:eastAsia="Calibri" w:cs="Arial"/>
        </w:rPr>
      </w:pPr>
      <w:r w:rsidRPr="002E2146">
        <w:rPr>
          <w:rFonts w:eastAsia="Calibri" w:cs="Arial"/>
        </w:rPr>
        <w:t>In undertaking our spectrum management responsibilities, we are guided by the statutory objectives of the Radiocommunications Act, the core of which is to maximis</w:t>
      </w:r>
      <w:r w:rsidR="00D93E1C">
        <w:rPr>
          <w:rFonts w:eastAsia="Calibri" w:cs="Arial"/>
        </w:rPr>
        <w:t>e</w:t>
      </w:r>
      <w:r w:rsidRPr="002E2146">
        <w:rPr>
          <w:rFonts w:eastAsia="Calibri" w:cs="Arial"/>
        </w:rPr>
        <w:t xml:space="preserve"> the public benefit derived from the allocation and use of spectrum. In today’s dynamic environment, with increasing pressures on valuable bands, this often involves complex and difficult decisions about the highest-value use of spectrum. Our transparent processes and careful consultation with stakeholders are vital tools that aid us in serving the public interest. We also maintain a keen focus on anticipating and responding to change, balanced by seeking to deliver predictability and investor confidence.</w:t>
      </w:r>
    </w:p>
    <w:p w14:paraId="10B4B77A" w14:textId="77777777" w:rsidR="002E2146" w:rsidRPr="002E2146" w:rsidRDefault="002E2146" w:rsidP="002E2146">
      <w:pPr>
        <w:pStyle w:val="ACMABodyText"/>
        <w:spacing w:line="240" w:lineRule="auto"/>
        <w:rPr>
          <w:rFonts w:eastAsia="Calibri" w:cs="Arial"/>
        </w:rPr>
      </w:pPr>
      <w:r w:rsidRPr="002E2146">
        <w:rPr>
          <w:rFonts w:eastAsia="Calibri" w:cs="Arial"/>
        </w:rPr>
        <w:t xml:space="preserve">I recognise it may appear to some that the demand for mobile broadband, or IMT, has taken a disproportionate amount of our time and attention at the expense of the satellite industry. Let me assure you now that this is not the case. </w:t>
      </w:r>
    </w:p>
    <w:p w14:paraId="7FEF718C" w14:textId="67F523F6" w:rsidR="002E2146" w:rsidRPr="002E2146" w:rsidRDefault="002E2146" w:rsidP="002E2146">
      <w:pPr>
        <w:pStyle w:val="ACMABodyText"/>
        <w:spacing w:line="240" w:lineRule="auto"/>
        <w:rPr>
          <w:rFonts w:eastAsia="Calibri" w:cs="Arial"/>
        </w:rPr>
      </w:pPr>
      <w:bookmarkStart w:id="1" w:name="_Hlk8390280"/>
      <w:r w:rsidRPr="002E2146">
        <w:rPr>
          <w:rFonts w:eastAsia="Calibri" w:cs="Arial"/>
        </w:rPr>
        <w:t>The Australian satellite industry comprises a great diversity of services</w:t>
      </w:r>
      <w:r w:rsidR="00D93E1C">
        <w:rPr>
          <w:rFonts w:eastAsia="Calibri" w:cs="Arial"/>
        </w:rPr>
        <w:t>—</w:t>
      </w:r>
      <w:r w:rsidRPr="002E2146">
        <w:rPr>
          <w:rFonts w:eastAsia="Calibri" w:cs="Arial"/>
        </w:rPr>
        <w:t xml:space="preserve">broadcast television, telephone, broadband internet, earth observation, radionavigation and space </w:t>
      </w:r>
      <w:r w:rsidRPr="002E2146">
        <w:rPr>
          <w:rFonts w:eastAsia="Calibri" w:cs="Arial"/>
        </w:rPr>
        <w:lastRenderedPageBreak/>
        <w:t>research</w:t>
      </w:r>
      <w:r w:rsidR="00D93E1C">
        <w:rPr>
          <w:rFonts w:eastAsia="Calibri" w:cs="Arial"/>
        </w:rPr>
        <w:t>,</w:t>
      </w:r>
      <w:r w:rsidRPr="002E2146">
        <w:rPr>
          <w:rFonts w:eastAsia="Calibri" w:cs="Arial"/>
        </w:rPr>
        <w:t xml:space="preserve"> to name just a few. Together, these services have access to a large quantity of spectrum Australia-wide with a significant quantity of dedicated spectrum (over 4 GHz) for </w:t>
      </w:r>
      <w:r w:rsidRPr="00126FCF">
        <w:rPr>
          <w:rFonts w:eastAsia="Calibri" w:cs="Arial"/>
        </w:rPr>
        <w:t>exclusive use by ubiquitous user terminal</w:t>
      </w:r>
      <w:r w:rsidR="00126FCF" w:rsidRPr="00126FCF">
        <w:rPr>
          <w:rFonts w:eastAsia="Calibri" w:cs="Arial"/>
        </w:rPr>
        <w:t>s</w:t>
      </w:r>
      <w:r w:rsidRPr="002E2146">
        <w:rPr>
          <w:rFonts w:eastAsia="Calibri" w:cs="Arial"/>
        </w:rPr>
        <w:t xml:space="preserve"> and around 4.5GHz available on shared coordinate basis between fixed point</w:t>
      </w:r>
      <w:r w:rsidR="00D93E1C">
        <w:rPr>
          <w:rFonts w:eastAsia="Calibri" w:cs="Arial"/>
        </w:rPr>
        <w:t>-</w:t>
      </w:r>
      <w:r w:rsidRPr="002E2146">
        <w:rPr>
          <w:rFonts w:eastAsia="Calibri" w:cs="Arial"/>
        </w:rPr>
        <w:t>to</w:t>
      </w:r>
      <w:r w:rsidR="00D93E1C">
        <w:rPr>
          <w:rFonts w:eastAsia="Calibri" w:cs="Arial"/>
        </w:rPr>
        <w:t>-</w:t>
      </w:r>
      <w:r w:rsidRPr="002E2146">
        <w:rPr>
          <w:rFonts w:eastAsia="Calibri" w:cs="Arial"/>
        </w:rPr>
        <w:t>point links and earth stations.</w:t>
      </w:r>
    </w:p>
    <w:bookmarkEnd w:id="1"/>
    <w:p w14:paraId="1FE40AD6" w14:textId="77777777" w:rsidR="002E2146" w:rsidRPr="002E2146" w:rsidRDefault="002E2146" w:rsidP="002E2146">
      <w:pPr>
        <w:pStyle w:val="ACMABodyText"/>
        <w:spacing w:line="240" w:lineRule="auto"/>
        <w:rPr>
          <w:rFonts w:eastAsia="Calibri" w:cs="Arial"/>
        </w:rPr>
      </w:pPr>
      <w:r w:rsidRPr="002E2146">
        <w:rPr>
          <w:rFonts w:eastAsia="Calibri" w:cs="Arial"/>
        </w:rPr>
        <w:t>And it is worth noting that satellite operators have never had to compete at auction for this critical business input, avoiding the demand-driven price escalations that have characterised the mobile industry over the last decade.</w:t>
      </w:r>
    </w:p>
    <w:p w14:paraId="0A807AB4" w14:textId="32D87A52" w:rsidR="002E2146" w:rsidRPr="002E2146" w:rsidRDefault="002E2146" w:rsidP="002E2146">
      <w:pPr>
        <w:pStyle w:val="ACMABodyText"/>
        <w:spacing w:line="240" w:lineRule="auto"/>
        <w:rPr>
          <w:rFonts w:eastAsia="Calibri" w:cs="Arial"/>
        </w:rPr>
      </w:pPr>
      <w:r w:rsidRPr="002E2146">
        <w:rPr>
          <w:rFonts w:eastAsia="Calibri" w:cs="Arial"/>
        </w:rPr>
        <w:t xml:space="preserve">Meeting the diverse needs of Australia’s satellite industry—while ensuring an environment of regulatory stability and investor confidence—represents a complex challenge for the ACMA, and we continue to devote considerable resources to it. </w:t>
      </w:r>
    </w:p>
    <w:p w14:paraId="7DEFFF63" w14:textId="77777777" w:rsidR="002E2146" w:rsidRPr="002E2146" w:rsidRDefault="002E2146" w:rsidP="002E2146">
      <w:pPr>
        <w:pStyle w:val="ACMABodyText"/>
        <w:spacing w:line="240" w:lineRule="auto"/>
        <w:rPr>
          <w:rFonts w:eastAsia="Calibri" w:cs="Arial"/>
        </w:rPr>
      </w:pPr>
      <w:r w:rsidRPr="002E2146">
        <w:rPr>
          <w:rFonts w:eastAsia="Calibri" w:cs="Arial"/>
        </w:rPr>
        <w:t xml:space="preserve">Understanding changes in technology and market demands, for new and emerging spectrum uses, informs the way that the ACMA plans and makes spectrum available. With continuing and increasing pressure on key bands, we also need to ensure that our spectrum allocation choices evolve and innovate. </w:t>
      </w:r>
    </w:p>
    <w:p w14:paraId="7B257B69" w14:textId="5454909C" w:rsidR="002E2146" w:rsidRPr="002E2146" w:rsidRDefault="002E2146" w:rsidP="002E2146">
      <w:pPr>
        <w:pStyle w:val="ACMABodyText"/>
        <w:spacing w:line="240" w:lineRule="auto"/>
        <w:rPr>
          <w:rFonts w:eastAsia="Calibri" w:cs="Arial"/>
        </w:rPr>
      </w:pPr>
      <w:r w:rsidRPr="002E2146">
        <w:rPr>
          <w:rFonts w:eastAsia="Calibri" w:cs="Arial"/>
        </w:rPr>
        <w:t>We need to think more broadly about sharing possibilities</w:t>
      </w:r>
      <w:r w:rsidR="00D93E1C">
        <w:rPr>
          <w:rFonts w:eastAsia="Calibri" w:cs="Arial"/>
        </w:rPr>
        <w:t>—</w:t>
      </w:r>
      <w:r w:rsidRPr="002E2146">
        <w:rPr>
          <w:rFonts w:eastAsia="Calibri" w:cs="Arial"/>
        </w:rPr>
        <w:t>geographically, spectrally, temporally, and potentially dynamically. We need to consider replanning processes across a broader spectral footprint so we move away—where we can—from binary choices between incumbent use and new sources of demand, to look at options that can meet the needs of as many sources of demand as possible. And we need to make sure that our administrative arrangements can respond to innovation and new demand as efficiently as possible.</w:t>
      </w:r>
    </w:p>
    <w:p w14:paraId="67FC747C" w14:textId="77777777" w:rsidR="002E2146" w:rsidRPr="002E2146" w:rsidRDefault="002E2146" w:rsidP="002E2146">
      <w:pPr>
        <w:pStyle w:val="ACMABodyText"/>
        <w:spacing w:line="240" w:lineRule="auto"/>
        <w:rPr>
          <w:rFonts w:eastAsia="Calibri" w:cs="Arial"/>
          <w:b/>
        </w:rPr>
      </w:pPr>
      <w:r w:rsidRPr="002E2146">
        <w:rPr>
          <w:rFonts w:eastAsia="Calibri" w:cs="Arial"/>
          <w:b/>
        </w:rPr>
        <w:t>FYSO</w:t>
      </w:r>
    </w:p>
    <w:p w14:paraId="5B0DB74D" w14:textId="3AC82E08" w:rsidR="002E2146" w:rsidRPr="002E2146" w:rsidRDefault="002E2146" w:rsidP="002E2146">
      <w:pPr>
        <w:pStyle w:val="ACMABodyText"/>
        <w:spacing w:line="240" w:lineRule="auto"/>
        <w:rPr>
          <w:rFonts w:eastAsia="Calibri" w:cs="Arial"/>
        </w:rPr>
      </w:pPr>
      <w:r w:rsidRPr="002E2146">
        <w:rPr>
          <w:rFonts w:eastAsia="Calibri" w:cs="Arial"/>
        </w:rPr>
        <w:t>Since 2009, the ACMA has consulted annually on its spectrum management priorities through the Five Year Spectrum Outlook, known as the FYSO. In recent years, the ACMA has released an annual FYSO which identifies both the emerging spectrum management challenges, and a work</w:t>
      </w:r>
      <w:r w:rsidR="008E3468">
        <w:rPr>
          <w:rFonts w:eastAsia="Calibri" w:cs="Arial"/>
        </w:rPr>
        <w:t xml:space="preserve"> </w:t>
      </w:r>
      <w:r w:rsidRPr="002E2146">
        <w:rPr>
          <w:rFonts w:eastAsia="Calibri" w:cs="Arial"/>
        </w:rPr>
        <w:t xml:space="preserve">plan for the coming financial year. </w:t>
      </w:r>
    </w:p>
    <w:p w14:paraId="383DE149" w14:textId="77777777" w:rsidR="002E2146" w:rsidRPr="002E2146" w:rsidRDefault="002E2146" w:rsidP="002E2146">
      <w:pPr>
        <w:pStyle w:val="ACMABodyText"/>
        <w:spacing w:line="240" w:lineRule="auto"/>
        <w:rPr>
          <w:rFonts w:eastAsia="Calibri" w:cs="Arial"/>
        </w:rPr>
      </w:pPr>
      <w:r w:rsidRPr="002E2146">
        <w:rPr>
          <w:rFonts w:eastAsia="Calibri" w:cs="Arial"/>
        </w:rPr>
        <w:t>Feedback on each year’s FYSO is a critical input to our spectrum management agenda, and we rely heavily on the community of spectrum users to keep us informed. So, for the second consecutive year, we recently released a draft FYSO for public consultation, which closed last week. I’d like to extend my thanks to those of you here who made a submission—your detailed analysis and suggestions for change will provide invaluable guidance as we work to finalise the FYSO for release early in the new financial year.</w:t>
      </w:r>
    </w:p>
    <w:p w14:paraId="38F87EF8" w14:textId="77777777" w:rsidR="002E2146" w:rsidRPr="002E2146" w:rsidRDefault="002E2146" w:rsidP="002E2146">
      <w:pPr>
        <w:pStyle w:val="ACMABodyText"/>
        <w:spacing w:line="240" w:lineRule="auto"/>
        <w:rPr>
          <w:rFonts w:eastAsia="Calibri" w:cs="Arial"/>
        </w:rPr>
      </w:pPr>
      <w:r w:rsidRPr="002E2146">
        <w:rPr>
          <w:rFonts w:eastAsia="Calibri" w:cs="Arial"/>
        </w:rPr>
        <w:t>As indicated in the FYSO, the ACMA continues to engage domestically and internationally on the coordination, development and implementation of measures to enhance spectrum usage for satellite communications and space research services. I’ll now examine some of our key spectrum planning priorities for satellite services over the next year.</w:t>
      </w:r>
    </w:p>
    <w:p w14:paraId="302BB494" w14:textId="77777777" w:rsidR="002E2146" w:rsidRPr="002E2146" w:rsidRDefault="002E2146" w:rsidP="002E2146">
      <w:pPr>
        <w:pStyle w:val="ACMABodyText"/>
        <w:spacing w:line="240" w:lineRule="auto"/>
        <w:rPr>
          <w:rFonts w:eastAsia="Calibri" w:cs="Arial"/>
          <w:b/>
        </w:rPr>
      </w:pPr>
      <w:r w:rsidRPr="002E2146">
        <w:rPr>
          <w:rFonts w:eastAsia="Calibri" w:cs="Arial"/>
          <w:b/>
        </w:rPr>
        <w:t xml:space="preserve">Earth stations in motion </w:t>
      </w:r>
    </w:p>
    <w:p w14:paraId="17BB6C5B" w14:textId="77777777" w:rsidR="002E2146" w:rsidRPr="002E2146" w:rsidRDefault="002E2146" w:rsidP="002E2146">
      <w:pPr>
        <w:pStyle w:val="ACMABodyText"/>
        <w:spacing w:line="240" w:lineRule="auto"/>
        <w:rPr>
          <w:rFonts w:eastAsia="Calibri" w:cs="Arial"/>
        </w:rPr>
      </w:pPr>
      <w:r w:rsidRPr="002E2146">
        <w:rPr>
          <w:rFonts w:eastAsia="Calibri" w:cs="Arial"/>
        </w:rPr>
        <w:t>For a number of years, the ACMA has recognised the increasing global interest for earth stations in motion to be used on planes, ships and land vehicles to deliver internet access via satellite. Building on our previous work in this area to facilitate ESIMs in Ka band (20/30 GHz), we’re now looking to establish further arrangements to support ESIMs in Ku band, specifically in the 11.7 to 12.75 GHz and 14 to 14.5 GHz bands. Last month, we released a consultation paper which concluded that our existing spectrum planning arrangements permit the operation of ESIMs in these bands, subject to clarification of our licensing procedures. The ACMA is currently considering submissions with a view to finalising arrangements soon.</w:t>
      </w:r>
    </w:p>
    <w:p w14:paraId="0C38A9B1" w14:textId="20E029D3" w:rsidR="002E2146" w:rsidRPr="002E2146" w:rsidRDefault="002E2146" w:rsidP="002E2146">
      <w:pPr>
        <w:pStyle w:val="ACMABodyText"/>
        <w:spacing w:line="240" w:lineRule="auto"/>
        <w:rPr>
          <w:rFonts w:eastAsia="Calibri" w:cs="Arial"/>
          <w:b/>
        </w:rPr>
      </w:pPr>
      <w:r w:rsidRPr="002E2146">
        <w:rPr>
          <w:rFonts w:eastAsia="Calibri" w:cs="Arial"/>
          <w:b/>
        </w:rPr>
        <w:t xml:space="preserve">Supporting ubiquitous earth stations in the 11 GHz band </w:t>
      </w:r>
      <w:r w:rsidR="008E3468">
        <w:rPr>
          <w:rFonts w:eastAsia="Calibri" w:cs="Arial"/>
        </w:rPr>
        <w:t>(</w:t>
      </w:r>
      <w:r w:rsidRPr="002E2146">
        <w:rPr>
          <w:rFonts w:eastAsia="Calibri" w:cs="Arial"/>
        </w:rPr>
        <w:t>10.7</w:t>
      </w:r>
      <w:r w:rsidR="008E3468">
        <w:rPr>
          <w:rFonts w:eastAsia="Calibri" w:cs="Arial"/>
        </w:rPr>
        <w:t>–</w:t>
      </w:r>
      <w:r w:rsidRPr="002E2146">
        <w:rPr>
          <w:rFonts w:eastAsia="Calibri" w:cs="Arial"/>
        </w:rPr>
        <w:t>11.7 GHz, Ku band</w:t>
      </w:r>
      <w:r w:rsidR="008E3468">
        <w:rPr>
          <w:rFonts w:eastAsia="Calibri" w:cs="Arial"/>
        </w:rPr>
        <w:t>)</w:t>
      </w:r>
    </w:p>
    <w:p w14:paraId="74D29B7A" w14:textId="77777777" w:rsidR="002E2146" w:rsidRPr="002E2146" w:rsidRDefault="002E2146" w:rsidP="002E2146">
      <w:pPr>
        <w:pStyle w:val="ACMABodyText"/>
        <w:spacing w:line="240" w:lineRule="auto"/>
        <w:rPr>
          <w:rFonts w:eastAsia="Calibri" w:cs="Arial"/>
        </w:rPr>
      </w:pPr>
      <w:r w:rsidRPr="002E2146">
        <w:rPr>
          <w:rFonts w:eastAsia="Calibri" w:cs="Arial"/>
        </w:rPr>
        <w:t xml:space="preserve">Another Ku band project is our investigation into supporting arrangements for ubiquitous earth stations in the 11 GHz band, which could provide an additional 1 GHz of downlink spectrum for ubiquitous satellite use including ESIMs. </w:t>
      </w:r>
    </w:p>
    <w:p w14:paraId="4EA38FA8" w14:textId="77777777" w:rsidR="002E2146" w:rsidRPr="002E2146" w:rsidRDefault="002E2146" w:rsidP="002E2146">
      <w:pPr>
        <w:pStyle w:val="ACMABodyText"/>
        <w:spacing w:line="240" w:lineRule="auto"/>
        <w:rPr>
          <w:rFonts w:eastAsia="Calibri" w:cs="Arial"/>
        </w:rPr>
      </w:pPr>
      <w:r w:rsidRPr="002E2146">
        <w:rPr>
          <w:rFonts w:eastAsia="Calibri" w:cs="Arial"/>
        </w:rPr>
        <w:t>Unlike the upper adjacent part of Ku band downlink, licensing arrangements do not currently support ubiquitous use of satellite receivers in this band. The possible use of ubiquitous user terminals, likely under a class licence regime, requires consideration of the impact on fixed links and investigation of any required technical restrictions on earth station receivers. We expect to release a consultation paper detailing our findings and proposals in this area by the end of June.</w:t>
      </w:r>
    </w:p>
    <w:p w14:paraId="73CAEF14" w14:textId="6CB48531" w:rsidR="002E2146" w:rsidRPr="002E2146" w:rsidRDefault="002E2146" w:rsidP="002E2146">
      <w:pPr>
        <w:pStyle w:val="ACMABodyText"/>
        <w:keepNext/>
        <w:keepLines/>
        <w:spacing w:line="240" w:lineRule="auto"/>
        <w:rPr>
          <w:rFonts w:eastAsia="Calibri" w:cs="Arial"/>
        </w:rPr>
      </w:pPr>
      <w:r w:rsidRPr="002E2146">
        <w:rPr>
          <w:rFonts w:eastAsia="Calibri" w:cs="Arial"/>
          <w:b/>
        </w:rPr>
        <w:lastRenderedPageBreak/>
        <w:t xml:space="preserve">28 GHz </w:t>
      </w:r>
      <w:r w:rsidR="005A5B6F">
        <w:rPr>
          <w:rFonts w:eastAsia="Calibri" w:cs="Arial"/>
        </w:rPr>
        <w:t>(</w:t>
      </w:r>
      <w:r w:rsidRPr="002E2146">
        <w:rPr>
          <w:rFonts w:eastAsia="Calibri" w:cs="Arial"/>
        </w:rPr>
        <w:t>27.5</w:t>
      </w:r>
      <w:r w:rsidR="005A5B6F">
        <w:rPr>
          <w:rFonts w:eastAsia="Calibri" w:cs="Arial"/>
        </w:rPr>
        <w:t>-</w:t>
      </w:r>
      <w:r w:rsidRPr="002E2146">
        <w:rPr>
          <w:rFonts w:eastAsia="Calibri" w:cs="Arial"/>
        </w:rPr>
        <w:t>29.5 GHz, Ka band</w:t>
      </w:r>
      <w:r w:rsidR="005A5B6F">
        <w:rPr>
          <w:rFonts w:eastAsia="Calibri" w:cs="Arial"/>
        </w:rPr>
        <w:t>)</w:t>
      </w:r>
    </w:p>
    <w:p w14:paraId="4B42C44E" w14:textId="15783F61" w:rsidR="002E2146" w:rsidRPr="002E2146" w:rsidRDefault="002E2146" w:rsidP="002E2146">
      <w:pPr>
        <w:pStyle w:val="ACMABodyText"/>
        <w:keepNext/>
        <w:keepLines/>
        <w:spacing w:line="240" w:lineRule="auto"/>
        <w:rPr>
          <w:rFonts w:eastAsia="Calibri" w:cs="Arial"/>
        </w:rPr>
      </w:pPr>
      <w:r w:rsidRPr="002E2146">
        <w:rPr>
          <w:rFonts w:eastAsia="Calibri" w:cs="Arial"/>
        </w:rPr>
        <w:t>Late last year, we commenced consultation on our review of the entire 28 GHz band. Feedback identified a wide set of interests including the satellite industry, 5G broadband proponents and point</w:t>
      </w:r>
      <w:r w:rsidR="005A5B6F">
        <w:rPr>
          <w:rFonts w:eastAsia="Calibri" w:cs="Arial"/>
        </w:rPr>
        <w:t>-</w:t>
      </w:r>
      <w:r w:rsidRPr="002E2146">
        <w:rPr>
          <w:rFonts w:eastAsia="Calibri" w:cs="Arial"/>
        </w:rPr>
        <w:t>to</w:t>
      </w:r>
      <w:r w:rsidR="005A5B6F">
        <w:rPr>
          <w:rFonts w:eastAsia="Calibri" w:cs="Arial"/>
        </w:rPr>
        <w:t>-</w:t>
      </w:r>
      <w:r w:rsidRPr="002E2146">
        <w:rPr>
          <w:rFonts w:eastAsia="Calibri" w:cs="Arial"/>
        </w:rPr>
        <w:t xml:space="preserve">multipoint users. Following that consultation, we have now progressed consideration of this band to the preliminary replanning stage, with the release of an options paper last month that canvassed a range of replanning scenarios. </w:t>
      </w:r>
    </w:p>
    <w:p w14:paraId="5B71CFDB" w14:textId="41243093" w:rsidR="002E2146" w:rsidRPr="002E2146" w:rsidRDefault="002E2146" w:rsidP="002E2146">
      <w:pPr>
        <w:pStyle w:val="ACMABodyText"/>
        <w:spacing w:line="240" w:lineRule="auto"/>
        <w:rPr>
          <w:rFonts w:eastAsia="Calibri" w:cs="Arial"/>
        </w:rPr>
      </w:pPr>
      <w:r w:rsidRPr="002E2146">
        <w:rPr>
          <w:rFonts w:eastAsia="Calibri" w:cs="Arial"/>
        </w:rPr>
        <w:t>Both of the ACMA’s preferred options identified in the paper provide important new opportunities for satellite use of the band. We have been able to do this while at the same time enabling significant spectrum for IMT in the neigh</w:t>
      </w:r>
      <w:r w:rsidR="005A5B6F">
        <w:rPr>
          <w:rFonts w:eastAsia="Calibri" w:cs="Arial"/>
        </w:rPr>
        <w:t>b</w:t>
      </w:r>
      <w:r w:rsidRPr="002E2146">
        <w:rPr>
          <w:rFonts w:eastAsia="Calibri" w:cs="Arial"/>
        </w:rPr>
        <w:t xml:space="preserve">ouring 26GHz band. Following careful consideration of submissions, we expect to announce a decision on which planning arrangements will be implemented early in the first quarter of the new financial year. </w:t>
      </w:r>
    </w:p>
    <w:p w14:paraId="383FF780" w14:textId="1A578D41" w:rsidR="002E2146" w:rsidRPr="002E2146" w:rsidRDefault="002E2146" w:rsidP="002E2146">
      <w:pPr>
        <w:pStyle w:val="ACMABodyText"/>
        <w:spacing w:line="240" w:lineRule="auto"/>
        <w:rPr>
          <w:rFonts w:eastAsia="Calibri" w:cs="Arial"/>
        </w:rPr>
      </w:pPr>
      <w:r w:rsidRPr="002E2146">
        <w:rPr>
          <w:rFonts w:eastAsia="Calibri" w:cs="Arial"/>
          <w:b/>
        </w:rPr>
        <w:t>C</w:t>
      </w:r>
      <w:r w:rsidR="005A5B6F">
        <w:rPr>
          <w:rFonts w:eastAsia="Calibri" w:cs="Arial"/>
          <w:b/>
        </w:rPr>
        <w:t>-B</w:t>
      </w:r>
      <w:r w:rsidRPr="002E2146">
        <w:rPr>
          <w:rFonts w:eastAsia="Calibri" w:cs="Arial"/>
          <w:b/>
        </w:rPr>
        <w:t xml:space="preserve">and </w:t>
      </w:r>
      <w:r w:rsidR="005A5B6F">
        <w:rPr>
          <w:rFonts w:eastAsia="Calibri" w:cs="Arial"/>
        </w:rPr>
        <w:t>(</w:t>
      </w:r>
      <w:r w:rsidRPr="002E2146">
        <w:rPr>
          <w:rFonts w:eastAsia="Calibri" w:cs="Arial"/>
        </w:rPr>
        <w:t>3.7</w:t>
      </w:r>
      <w:r w:rsidR="005A5B6F">
        <w:rPr>
          <w:rFonts w:eastAsia="Calibri" w:cs="Arial"/>
        </w:rPr>
        <w:t>–</w:t>
      </w:r>
      <w:r w:rsidRPr="002E2146">
        <w:rPr>
          <w:rFonts w:eastAsia="Calibri" w:cs="Arial"/>
        </w:rPr>
        <w:t>4.2 GHz</w:t>
      </w:r>
      <w:r w:rsidR="005A5B6F">
        <w:rPr>
          <w:rFonts w:eastAsia="Calibri" w:cs="Arial"/>
        </w:rPr>
        <w:t>)</w:t>
      </w:r>
    </w:p>
    <w:p w14:paraId="0906B568" w14:textId="2C91A753" w:rsidR="002E2146" w:rsidRPr="002E2146" w:rsidRDefault="002E2146" w:rsidP="002E2146">
      <w:pPr>
        <w:pStyle w:val="ACMABodyText"/>
        <w:spacing w:line="240" w:lineRule="auto"/>
        <w:rPr>
          <w:rFonts w:eastAsia="Calibri" w:cs="Arial"/>
        </w:rPr>
      </w:pPr>
      <w:r w:rsidRPr="002E2146">
        <w:rPr>
          <w:rFonts w:eastAsia="Calibri" w:cs="Arial"/>
        </w:rPr>
        <w:t>Spectrum in C</w:t>
      </w:r>
      <w:r w:rsidR="005A5B6F">
        <w:rPr>
          <w:rFonts w:eastAsia="Calibri" w:cs="Arial"/>
        </w:rPr>
        <w:t>-B</w:t>
      </w:r>
      <w:r w:rsidRPr="002E2146">
        <w:rPr>
          <w:rFonts w:eastAsia="Calibri" w:cs="Arial"/>
        </w:rPr>
        <w:t>and from 3.7 to 4.2 GHz has been the subject of considerable interest internationally, as well as domestically from satellite, large mobile network operators and fixed wireless operators. The ACMA is paying close attention to the global environment and will soon release a discussion paper to commence a broad review of arrangements in this band.</w:t>
      </w:r>
    </w:p>
    <w:p w14:paraId="616A0A55" w14:textId="716C342F" w:rsidR="002E2146" w:rsidRPr="002E2146" w:rsidRDefault="002E2146" w:rsidP="002E2146">
      <w:pPr>
        <w:pStyle w:val="ACMABodyText"/>
        <w:spacing w:line="240" w:lineRule="auto"/>
        <w:rPr>
          <w:rFonts w:eastAsia="Calibri" w:cs="Arial"/>
        </w:rPr>
      </w:pPr>
      <w:r w:rsidRPr="002E2146">
        <w:rPr>
          <w:rFonts w:eastAsia="Calibri" w:cs="Arial"/>
        </w:rPr>
        <w:t>We understand the needs of existing apparatus</w:t>
      </w:r>
      <w:r w:rsidR="005A5B6F">
        <w:rPr>
          <w:rFonts w:eastAsia="Calibri" w:cs="Arial"/>
        </w:rPr>
        <w:t>-</w:t>
      </w:r>
      <w:r w:rsidRPr="002E2146">
        <w:rPr>
          <w:rFonts w:eastAsia="Calibri" w:cs="Arial"/>
        </w:rPr>
        <w:t>licensed, coordinated fixed satellite and point-to-point users of the band, as well as the potential for both wide-area and site-based wireless broadband. Considering the whole band simultaneously will maximise the opportunity for balanced approaches that take appropriate account of all interests. Both our 26/28GHz projects and this C</w:t>
      </w:r>
      <w:r w:rsidR="005A5B6F">
        <w:rPr>
          <w:rFonts w:eastAsia="Calibri" w:cs="Arial"/>
        </w:rPr>
        <w:t>-B</w:t>
      </w:r>
      <w:r w:rsidRPr="002E2146">
        <w:rPr>
          <w:rFonts w:eastAsia="Calibri" w:cs="Arial"/>
        </w:rPr>
        <w:t>and review are good examples of the conscious decision I mentioned earlier to look at replanning exercises across a broader spectral footprint.</w:t>
      </w:r>
    </w:p>
    <w:p w14:paraId="3C1B3785" w14:textId="10E95BDD" w:rsidR="002E2146" w:rsidRPr="002E2146" w:rsidRDefault="002E2146" w:rsidP="002E2146">
      <w:pPr>
        <w:pStyle w:val="ACMABodyText"/>
        <w:spacing w:line="240" w:lineRule="auto"/>
        <w:rPr>
          <w:rFonts w:eastAsia="Calibri" w:cs="Arial"/>
          <w:b/>
        </w:rPr>
      </w:pPr>
      <w:r w:rsidRPr="002E2146">
        <w:rPr>
          <w:rFonts w:eastAsia="Calibri" w:cs="Arial"/>
          <w:b/>
        </w:rPr>
        <w:t xml:space="preserve">2 GHz </w:t>
      </w:r>
      <w:r w:rsidR="005A5B6F">
        <w:rPr>
          <w:rFonts w:eastAsia="Calibri" w:cs="Arial"/>
        </w:rPr>
        <w:t>(</w:t>
      </w:r>
      <w:r w:rsidRPr="002E2146">
        <w:rPr>
          <w:rFonts w:eastAsia="Calibri" w:cs="Arial"/>
        </w:rPr>
        <w:t>1980</w:t>
      </w:r>
      <w:r w:rsidR="005A5B6F">
        <w:rPr>
          <w:rFonts w:eastAsia="Calibri" w:cs="Arial"/>
        </w:rPr>
        <w:t>–</w:t>
      </w:r>
      <w:r w:rsidRPr="002E2146">
        <w:rPr>
          <w:rFonts w:eastAsia="Calibri" w:cs="Arial"/>
        </w:rPr>
        <w:t>2010 and 2170</w:t>
      </w:r>
      <w:r w:rsidR="005A5B6F">
        <w:rPr>
          <w:rFonts w:eastAsia="Calibri" w:cs="Arial"/>
        </w:rPr>
        <w:t>–</w:t>
      </w:r>
      <w:r w:rsidRPr="002E2146">
        <w:rPr>
          <w:rFonts w:eastAsia="Calibri" w:cs="Arial"/>
        </w:rPr>
        <w:t>2200 MHz, S-band</w:t>
      </w:r>
      <w:r w:rsidR="005A5B6F">
        <w:rPr>
          <w:rFonts w:eastAsia="Calibri" w:cs="Arial"/>
        </w:rPr>
        <w:t>)</w:t>
      </w:r>
    </w:p>
    <w:p w14:paraId="7B2DBE95" w14:textId="77777777" w:rsidR="002E2146" w:rsidRPr="002E2146" w:rsidRDefault="002E2146" w:rsidP="002E2146">
      <w:pPr>
        <w:pStyle w:val="ACMABodyText"/>
        <w:spacing w:line="240" w:lineRule="auto"/>
        <w:rPr>
          <w:rFonts w:eastAsia="Calibri" w:cs="Arial"/>
        </w:rPr>
      </w:pPr>
      <w:r w:rsidRPr="002E2146">
        <w:rPr>
          <w:rFonts w:eastAsia="Calibri" w:cs="Arial"/>
        </w:rPr>
        <w:t xml:space="preserve">The final project that I’ll discuss in our upcoming planning work relevant to satellite industry is the 2 GHz band and its potential use for mobile satellite services. For some years, this band been subject to an embargo which restricts its use to television outside broadcast. </w:t>
      </w:r>
    </w:p>
    <w:p w14:paraId="24F54F18" w14:textId="5E393C6F" w:rsidR="002E2146" w:rsidRPr="002E2146" w:rsidRDefault="002E2146" w:rsidP="002E2146">
      <w:pPr>
        <w:pStyle w:val="ACMABodyText"/>
        <w:spacing w:line="240" w:lineRule="auto"/>
        <w:rPr>
          <w:rFonts w:eastAsia="Calibri" w:cs="Arial"/>
        </w:rPr>
      </w:pPr>
      <w:r w:rsidRPr="002E2146">
        <w:rPr>
          <w:rFonts w:eastAsia="Calibri" w:cs="Arial"/>
        </w:rPr>
        <w:t>A range of interested parties representing satellite, television outside broadcasting, direct air-to-ground and wireless broadband users are seeking access for potential future services</w:t>
      </w:r>
      <w:r w:rsidR="00E71F24">
        <w:rPr>
          <w:rFonts w:eastAsia="Calibri" w:cs="Arial"/>
        </w:rPr>
        <w:t xml:space="preserve"> </w:t>
      </w:r>
      <w:r w:rsidRPr="002E2146">
        <w:rPr>
          <w:rFonts w:eastAsia="Calibri" w:cs="Arial"/>
        </w:rPr>
        <w:t xml:space="preserve">and have requested the ACMA to accelerate its planning work. </w:t>
      </w:r>
    </w:p>
    <w:p w14:paraId="71E81406" w14:textId="77777777" w:rsidR="002E2146" w:rsidRPr="002E2146" w:rsidRDefault="002E2146" w:rsidP="002E2146">
      <w:pPr>
        <w:pStyle w:val="ACMABodyText"/>
        <w:spacing w:line="240" w:lineRule="auto"/>
        <w:rPr>
          <w:rFonts w:eastAsia="Calibri" w:cs="Arial"/>
        </w:rPr>
      </w:pPr>
      <w:r w:rsidRPr="002E2146">
        <w:rPr>
          <w:rFonts w:eastAsia="Calibri" w:cs="Arial"/>
        </w:rPr>
        <w:t>We are currently developing a discussion paper seeking industry views on replanning considerations in this band, which we expect to release around mid-year.</w:t>
      </w:r>
    </w:p>
    <w:p w14:paraId="6F550EE1" w14:textId="77777777" w:rsidR="002E2146" w:rsidRPr="002E2146" w:rsidRDefault="002E2146" w:rsidP="002E2146">
      <w:pPr>
        <w:pStyle w:val="ACMABodyText"/>
        <w:spacing w:line="240" w:lineRule="auto"/>
        <w:rPr>
          <w:rFonts w:eastAsia="Calibri" w:cs="Arial"/>
          <w:b/>
        </w:rPr>
      </w:pPr>
      <w:r w:rsidRPr="002E2146">
        <w:rPr>
          <w:rFonts w:eastAsia="Calibri" w:cs="Arial"/>
          <w:b/>
        </w:rPr>
        <w:t>International</w:t>
      </w:r>
    </w:p>
    <w:p w14:paraId="2D28D2BD" w14:textId="77777777" w:rsidR="002E2146" w:rsidRPr="002E2146" w:rsidRDefault="002E2146" w:rsidP="002E2146">
      <w:pPr>
        <w:pStyle w:val="ACMABodyText"/>
        <w:spacing w:line="240" w:lineRule="auto"/>
        <w:rPr>
          <w:rFonts w:eastAsia="Calibri" w:cs="Arial"/>
        </w:rPr>
      </w:pPr>
      <w:r w:rsidRPr="002E2146">
        <w:rPr>
          <w:rFonts w:eastAsia="Calibri" w:cs="Arial"/>
        </w:rPr>
        <w:t xml:space="preserve">Australia’s international engagement activities leading up to and including the World Radiocommunication Conference 2019 are a high priority for the ACMA this year. </w:t>
      </w:r>
    </w:p>
    <w:p w14:paraId="12296006" w14:textId="77777777" w:rsidR="002E2146" w:rsidRPr="002E2146" w:rsidRDefault="002E2146" w:rsidP="002E2146">
      <w:pPr>
        <w:pStyle w:val="ACMABodyText"/>
        <w:spacing w:line="240" w:lineRule="auto"/>
        <w:rPr>
          <w:rFonts w:eastAsia="Calibri" w:cs="Arial"/>
        </w:rPr>
      </w:pPr>
      <w:r w:rsidRPr="002E2146">
        <w:rPr>
          <w:rFonts w:eastAsia="Calibri" w:cs="Arial"/>
        </w:rPr>
        <w:t xml:space="preserve">On our isolated island continent, we are relatively unrestricted in the way we manage the spectrum for terrestrial uses. By contrast, the nature of satellite services requires us to engage closely with the international community, which influences our range of spectrum management choices and mandates certain satellite-related coordination activities. </w:t>
      </w:r>
    </w:p>
    <w:p w14:paraId="585584F8" w14:textId="24AF5A77" w:rsidR="002E2146" w:rsidRPr="002E2146" w:rsidRDefault="002E2146" w:rsidP="002E2146">
      <w:pPr>
        <w:pStyle w:val="ACMABodyText"/>
        <w:spacing w:line="240" w:lineRule="auto"/>
        <w:rPr>
          <w:rFonts w:eastAsia="Calibri" w:cs="Arial"/>
        </w:rPr>
      </w:pPr>
      <w:r w:rsidRPr="002E2146">
        <w:rPr>
          <w:rFonts w:eastAsia="Calibri" w:cs="Arial"/>
        </w:rPr>
        <w:t>The international satellite regulatory environment is complex and constantly evolving. Under the ITU’s multilateral regulations, rapid changes are difficult to achieve. On the one hand this provides a stable, clear and robust regulatory environment conducive to long</w:t>
      </w:r>
      <w:r w:rsidR="00E87065">
        <w:rPr>
          <w:rFonts w:eastAsia="Calibri" w:cs="Arial"/>
        </w:rPr>
        <w:t>-</w:t>
      </w:r>
      <w:r w:rsidRPr="002E2146">
        <w:rPr>
          <w:rFonts w:eastAsia="Calibri" w:cs="Arial"/>
        </w:rPr>
        <w:t xml:space="preserve">term investment. On the other hand, this can be a hinderance where regulations and technology developments become misaligned. Broadly, we are continuing to advocate for increasing flexibility to smooth the regulatory hurdles faced by a growing and innovating industry. </w:t>
      </w:r>
    </w:p>
    <w:p w14:paraId="63DB002C" w14:textId="7C4555A1" w:rsidR="002E2146" w:rsidRPr="002E2146" w:rsidRDefault="002E2146" w:rsidP="002E2146">
      <w:pPr>
        <w:pStyle w:val="ACMABodyText"/>
        <w:spacing w:line="240" w:lineRule="auto"/>
        <w:rPr>
          <w:rFonts w:eastAsia="Calibri" w:cs="Arial"/>
        </w:rPr>
      </w:pPr>
      <w:r w:rsidRPr="002E2146">
        <w:rPr>
          <w:rFonts w:eastAsia="Calibri" w:cs="Arial"/>
        </w:rPr>
        <w:t>An Australian Government delegation, led by the Department of Communications and the Arts and supported by the ACMA, will participate in the International Telecommunication Union’s treaty-level World Radiocommunication Conference 2019 in Sharm El</w:t>
      </w:r>
      <w:r w:rsidR="00E87065">
        <w:rPr>
          <w:rFonts w:eastAsia="Calibri" w:cs="Arial"/>
        </w:rPr>
        <w:t>-</w:t>
      </w:r>
      <w:r w:rsidRPr="002E2146">
        <w:rPr>
          <w:rFonts w:eastAsia="Calibri" w:cs="Arial"/>
        </w:rPr>
        <w:t>Sheikh, Egypt in October to November this year. The conference outcomes will establish new arrangements for the regulation of radiofrequency spectrum around the world, as well as in Australia.</w:t>
      </w:r>
    </w:p>
    <w:p w14:paraId="63A28F45" w14:textId="77777777" w:rsidR="002E2146" w:rsidRPr="002E2146" w:rsidRDefault="002E2146" w:rsidP="002E2146">
      <w:pPr>
        <w:pStyle w:val="ACMABodyText"/>
        <w:spacing w:line="240" w:lineRule="auto"/>
        <w:rPr>
          <w:rFonts w:eastAsia="Calibri" w:cs="Arial"/>
        </w:rPr>
      </w:pPr>
      <w:r w:rsidRPr="002E2146">
        <w:rPr>
          <w:rFonts w:eastAsia="Calibri" w:cs="Arial"/>
        </w:rPr>
        <w:t>I’ll briefly mention three of the satellite-related agenda items that will be of interest to you.</w:t>
      </w:r>
    </w:p>
    <w:p w14:paraId="6E5F2A7F" w14:textId="77777777" w:rsidR="002E2146" w:rsidRPr="002E2146" w:rsidRDefault="002E2146" w:rsidP="002E2146">
      <w:pPr>
        <w:pStyle w:val="ACMABodyText"/>
        <w:spacing w:line="240" w:lineRule="auto"/>
        <w:rPr>
          <w:rFonts w:eastAsia="Calibri" w:cs="Arial"/>
        </w:rPr>
      </w:pPr>
      <w:r w:rsidRPr="002E2146">
        <w:rPr>
          <w:rFonts w:eastAsia="Calibri" w:cs="Arial"/>
        </w:rPr>
        <w:t xml:space="preserve">Firstly, arrangements for earth stations in motion in part of Ka band, which is 17.7 to 19.7 GHz for downlinks and 27.5 to 29.5 GHz for uplinks. Earth stations in motion—or ESIMs—serve a wide range of applications on board aircraft and ships as well as vehicles on land. </w:t>
      </w:r>
      <w:r w:rsidRPr="002E2146">
        <w:rPr>
          <w:rFonts w:eastAsia="Calibri" w:cs="Arial"/>
        </w:rPr>
        <w:lastRenderedPageBreak/>
        <w:t>The use of mobile applications in bands allocated for fixed satellite services (that is, where the earth station is intended to be operated at a fixed location) raises a number of technical and regulatory issues around how a planning framework that supports fixed stations can also accommodate moving stations.</w:t>
      </w:r>
    </w:p>
    <w:p w14:paraId="53EE4192" w14:textId="77777777" w:rsidR="002E2146" w:rsidRPr="002E2146" w:rsidRDefault="002E2146" w:rsidP="002E2146">
      <w:pPr>
        <w:pStyle w:val="ACMABodyText"/>
        <w:spacing w:line="240" w:lineRule="auto"/>
        <w:rPr>
          <w:rFonts w:eastAsia="Calibri" w:cs="Arial"/>
        </w:rPr>
      </w:pPr>
      <w:r w:rsidRPr="002E2146">
        <w:rPr>
          <w:rFonts w:eastAsia="Calibri" w:cs="Arial"/>
        </w:rPr>
        <w:t xml:space="preserve">The second item of interest is a number of possible new IMT identifications and mobile service spectrum allocations suitable for delivery of 5G terrestrial wireless broadband in parts of the spectrum between 24.25 and 86 GHz. As this range includes part of the Ka satellite band, as well as others, this is an agenda item the ACMA has been heavily involved in and, as always, we are working to ensure balanced representation of satellite and IMT interests. </w:t>
      </w:r>
    </w:p>
    <w:p w14:paraId="76566C8E" w14:textId="77777777" w:rsidR="002E2146" w:rsidRPr="002E2146" w:rsidRDefault="002E2146" w:rsidP="002E2146">
      <w:pPr>
        <w:pStyle w:val="ACMABodyText"/>
        <w:spacing w:line="240" w:lineRule="auto"/>
        <w:rPr>
          <w:rFonts w:eastAsia="Calibri" w:cs="Arial"/>
        </w:rPr>
      </w:pPr>
      <w:r w:rsidRPr="002E2146">
        <w:rPr>
          <w:rFonts w:eastAsia="Calibri" w:cs="Arial"/>
        </w:rPr>
        <w:t>And finally, the WRC will consider revising arrangements for bringing into use of frequency assignments for NGSO satellite systems. This agenda item examines the application of international regulations to NGSO systems that determine whether a satellite system has been brought into use and thereby qualifies for ongoing protection of frequency assignments. The focus is on mega constellations such as those in the early stages of production and launch from OneWeb, SpaceX and Telesat.</w:t>
      </w:r>
    </w:p>
    <w:p w14:paraId="6C8F80B7" w14:textId="77777777" w:rsidR="002E2146" w:rsidRPr="002E2146" w:rsidRDefault="002E2146" w:rsidP="002E2146">
      <w:pPr>
        <w:pStyle w:val="ACMABodyText"/>
        <w:spacing w:line="240" w:lineRule="auto"/>
        <w:rPr>
          <w:rFonts w:eastAsia="Calibri" w:cs="Arial"/>
          <w:b/>
        </w:rPr>
      </w:pPr>
      <w:r w:rsidRPr="002E2146">
        <w:rPr>
          <w:rFonts w:eastAsia="Calibri" w:cs="Arial"/>
          <w:b/>
        </w:rPr>
        <w:t>Earth station protection zones</w:t>
      </w:r>
    </w:p>
    <w:p w14:paraId="5849D381" w14:textId="77777777" w:rsidR="002E2146" w:rsidRPr="002E2146" w:rsidRDefault="002E2146" w:rsidP="002E2146">
      <w:pPr>
        <w:pStyle w:val="ACMABodyText"/>
        <w:spacing w:line="240" w:lineRule="auto"/>
        <w:rPr>
          <w:rFonts w:eastAsia="Calibri" w:cs="Arial"/>
        </w:rPr>
      </w:pPr>
      <w:r w:rsidRPr="002E2146">
        <w:rPr>
          <w:rFonts w:eastAsia="Calibri" w:cs="Arial"/>
        </w:rPr>
        <w:t xml:space="preserve">One of the perhaps less visible areas of the ACMA’s work is our efforts to foster and encourage earth station protection zones as a way of providing certainty to satellite operators and encouraging earth stations, in certain bands, to be located in lightly populated areas. This geographic sharing allows satellite services to be retained as a primary service in bands that are valuable and contested without denying opportunities for new terrestrial services in more populated markets. </w:t>
      </w:r>
    </w:p>
    <w:p w14:paraId="2343F2C7" w14:textId="77777777" w:rsidR="002E2146" w:rsidRPr="002E2146" w:rsidRDefault="002E2146" w:rsidP="002E2146">
      <w:pPr>
        <w:pStyle w:val="ACMABodyText"/>
        <w:spacing w:line="240" w:lineRule="auto"/>
        <w:rPr>
          <w:rFonts w:eastAsia="Calibri" w:cs="Arial"/>
        </w:rPr>
      </w:pPr>
      <w:r w:rsidRPr="002E2146">
        <w:rPr>
          <w:rFonts w:eastAsia="Calibri" w:cs="Arial"/>
        </w:rPr>
        <w:t xml:space="preserve">In 2009, the ACMA implemented a spectrum planning framework to protect satellite services from encroachment by other services in the area around Mingenew in Western Australia, encouraging investment in satellite infrastructure in the area. This has proved attractive, with a substantial number of earth station operators taking advantage of these arrangements over time. </w:t>
      </w:r>
    </w:p>
    <w:p w14:paraId="00C579E3" w14:textId="321C5724" w:rsidR="002E2146" w:rsidRPr="002E2146" w:rsidRDefault="002E2146" w:rsidP="002E2146">
      <w:pPr>
        <w:pStyle w:val="ACMABodyText"/>
        <w:spacing w:line="240" w:lineRule="auto"/>
        <w:rPr>
          <w:rFonts w:eastAsia="Calibri" w:cs="Arial"/>
        </w:rPr>
      </w:pPr>
      <w:r w:rsidRPr="002E2146">
        <w:rPr>
          <w:rFonts w:eastAsia="Calibri" w:cs="Arial"/>
        </w:rPr>
        <w:t xml:space="preserve">More recently, the ACMA developed earth protection zones for satellite facilities in </w:t>
      </w:r>
      <w:r w:rsidR="001350DB">
        <w:rPr>
          <w:rFonts w:eastAsia="Calibri" w:cs="Arial"/>
        </w:rPr>
        <w:t>e</w:t>
      </w:r>
      <w:r w:rsidRPr="002E2146">
        <w:rPr>
          <w:rFonts w:eastAsia="Calibri" w:cs="Arial"/>
        </w:rPr>
        <w:t>astern Australia. These zones are in areas around Moree and Quirindi in New South Wales, as well as Roma in Queensland. Many of the bands included in the protection zone are extensively used by microwave fixed point-to-point links. In the longer term, the ACMA is looking to rationalise the protection zones, and we are seeking industry views on a preferred east coast location, whether one or more of those identified</w:t>
      </w:r>
      <w:r w:rsidR="00DE2AA2">
        <w:rPr>
          <w:rFonts w:eastAsia="Calibri" w:cs="Arial"/>
        </w:rPr>
        <w:t>,</w:t>
      </w:r>
      <w:r w:rsidRPr="002E2146">
        <w:rPr>
          <w:rFonts w:eastAsia="Calibri" w:cs="Arial"/>
        </w:rPr>
        <w:t xml:space="preserve"> or in other locations.</w:t>
      </w:r>
    </w:p>
    <w:p w14:paraId="32E1B8C8" w14:textId="77777777" w:rsidR="002E2146" w:rsidRPr="002E2146" w:rsidRDefault="002E2146" w:rsidP="002E2146">
      <w:pPr>
        <w:pStyle w:val="ACMABodyText"/>
        <w:spacing w:line="240" w:lineRule="auto"/>
        <w:rPr>
          <w:rFonts w:eastAsia="Calibri" w:cs="Arial"/>
          <w:b/>
        </w:rPr>
      </w:pPr>
      <w:r w:rsidRPr="002E2146">
        <w:rPr>
          <w:rFonts w:eastAsia="Calibri" w:cs="Arial"/>
          <w:b/>
        </w:rPr>
        <w:t>Conclusion</w:t>
      </w:r>
    </w:p>
    <w:p w14:paraId="187A96CB" w14:textId="5D07E95B" w:rsidR="002E2146" w:rsidRPr="002E2146" w:rsidRDefault="002E2146" w:rsidP="002E2146">
      <w:pPr>
        <w:pStyle w:val="ACMABodyText"/>
        <w:spacing w:line="240" w:lineRule="auto"/>
        <w:rPr>
          <w:rFonts w:eastAsia="Calibri" w:cs="Arial"/>
        </w:rPr>
      </w:pPr>
      <w:r w:rsidRPr="002E2146">
        <w:rPr>
          <w:rFonts w:eastAsia="Calibri" w:cs="Arial"/>
        </w:rPr>
        <w:t>As I remarked at the beginning, the ACMA is guided by the objective of maximising the public benefit derived from the use of spectrum</w:t>
      </w:r>
      <w:r w:rsidR="00DE2AA2">
        <w:rPr>
          <w:rFonts w:eastAsia="Calibri" w:cs="Arial"/>
        </w:rPr>
        <w:t>—</w:t>
      </w:r>
      <w:r w:rsidRPr="002E2146">
        <w:rPr>
          <w:rFonts w:eastAsia="Calibri" w:cs="Arial"/>
        </w:rPr>
        <w:t>and our work program reflects our focus on enabling innovation and growth across all spectrum users. Over the coming months, you can look forward to a number of important announcements on our spectrum planning activities, including the finalised FYSO for 2019–23.</w:t>
      </w:r>
    </w:p>
    <w:p w14:paraId="31F7A953" w14:textId="501A363D" w:rsidR="002E2146" w:rsidRPr="002E2146" w:rsidRDefault="002E2146" w:rsidP="002E2146">
      <w:pPr>
        <w:pStyle w:val="ACMABodyText"/>
        <w:spacing w:line="240" w:lineRule="auto"/>
        <w:rPr>
          <w:rFonts w:eastAsia="Calibri" w:cs="Arial"/>
        </w:rPr>
      </w:pPr>
      <w:r w:rsidRPr="002E2146">
        <w:rPr>
          <w:rFonts w:eastAsia="Calibri" w:cs="Arial"/>
        </w:rPr>
        <w:t xml:space="preserve">As always, we greatly appreciate our ongoing collaboration with you all in </w:t>
      </w:r>
      <w:r w:rsidR="001D44B7">
        <w:rPr>
          <w:rFonts w:eastAsia="Calibri" w:cs="Arial"/>
        </w:rPr>
        <w:t xml:space="preserve">the </w:t>
      </w:r>
      <w:r w:rsidRPr="002E2146">
        <w:rPr>
          <w:rFonts w:eastAsia="Calibri" w:cs="Arial"/>
        </w:rPr>
        <w:t>satellite industry so that we continue to deliver spectrum where it is most needed, while ensuring that those allocations maximise the overall public benefit from its use.</w:t>
      </w:r>
    </w:p>
    <w:p w14:paraId="0527A07F" w14:textId="741B4755" w:rsidR="002E2146" w:rsidRPr="002E2146" w:rsidRDefault="002E2146" w:rsidP="002E2146">
      <w:pPr>
        <w:pStyle w:val="ACMABodyText"/>
        <w:spacing w:line="240" w:lineRule="auto"/>
        <w:rPr>
          <w:rFonts w:eastAsia="Calibri" w:cs="Arial"/>
        </w:rPr>
      </w:pPr>
      <w:r w:rsidRPr="002E2146">
        <w:rPr>
          <w:rFonts w:eastAsia="Calibri" w:cs="Arial"/>
        </w:rPr>
        <w:t xml:space="preserve">In this regard, Mark Arkell, </w:t>
      </w:r>
      <w:r w:rsidR="001B6379">
        <w:rPr>
          <w:rFonts w:eastAsia="Calibri" w:cs="Arial"/>
        </w:rPr>
        <w:t>m</w:t>
      </w:r>
      <w:r w:rsidRPr="002E2146">
        <w:rPr>
          <w:rFonts w:eastAsia="Calibri" w:cs="Arial"/>
        </w:rPr>
        <w:t>anager of the ACMA’s Spectrum Engineering &amp; Space section is here at this conference and I would encourage you to take the opportunity to speak with him if there are particular issues you would like to raise.</w:t>
      </w:r>
    </w:p>
    <w:p w14:paraId="5C44E0F8" w14:textId="77777777" w:rsidR="002E2146" w:rsidRPr="002E2146" w:rsidRDefault="002E2146" w:rsidP="002E2146">
      <w:pPr>
        <w:pStyle w:val="ACMABodyText"/>
        <w:spacing w:line="240" w:lineRule="auto"/>
        <w:rPr>
          <w:rFonts w:eastAsia="Calibri" w:cs="Arial"/>
        </w:rPr>
      </w:pPr>
      <w:r w:rsidRPr="002E2146">
        <w:rPr>
          <w:rFonts w:eastAsia="Calibri" w:cs="Arial"/>
        </w:rPr>
        <w:t>Thank you very much for your time.</w:t>
      </w:r>
    </w:p>
    <w:p w14:paraId="4AB98496" w14:textId="68F7E101" w:rsidR="00D668E3" w:rsidRPr="003A0B7F" w:rsidRDefault="00D668E3" w:rsidP="002E2146">
      <w:pPr>
        <w:pStyle w:val="ACMABodyText"/>
        <w:spacing w:line="240" w:lineRule="auto"/>
        <w:rPr>
          <w:rFonts w:cs="Arial"/>
          <w:sz w:val="20"/>
        </w:rPr>
      </w:pPr>
    </w:p>
    <w:sectPr w:rsidR="00D668E3" w:rsidRPr="003A0B7F" w:rsidSect="00013717">
      <w:headerReference w:type="even" r:id="rId8"/>
      <w:headerReference w:type="default" r:id="rId9"/>
      <w:footerReference w:type="even" r:id="rId10"/>
      <w:footerReference w:type="default" r:id="rId11"/>
      <w:headerReference w:type="first" r:id="rId12"/>
      <w:footerReference w:type="first" r:id="rId13"/>
      <w:pgSz w:w="11909" w:h="16834" w:code="9"/>
      <w:pgMar w:top="1945" w:right="2948" w:bottom="1560" w:left="1134" w:header="709"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69AF01" w14:textId="77777777" w:rsidR="006F7838" w:rsidRDefault="006F7838">
      <w:r>
        <w:separator/>
      </w:r>
    </w:p>
  </w:endnote>
  <w:endnote w:type="continuationSeparator" w:id="0">
    <w:p w14:paraId="5F961111" w14:textId="77777777" w:rsidR="006F7838" w:rsidRDefault="006F78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panose1 w:val="020B0403020202020204"/>
    <w:charset w:val="00"/>
    <w:family w:val="swiss"/>
    <w:notTrueType/>
    <w:pitch w:val="variable"/>
    <w:sig w:usb0="800000AF"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Vivaldi">
    <w:panose1 w:val="03020602050506090804"/>
    <w:charset w:val="00"/>
    <w:family w:val="script"/>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Lucida Grande">
    <w:altName w:val="Segoe UI"/>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802927" w14:textId="77777777" w:rsidR="00890304" w:rsidRDefault="00890304">
    <w:pPr>
      <w:framePr w:wrap="around" w:vAnchor="text" w:hAnchor="margin" w:xAlign="right" w:y="1"/>
    </w:pPr>
    <w:r>
      <w:fldChar w:fldCharType="begin"/>
    </w:r>
    <w:r>
      <w:instrText xml:space="preserve">PAGE  </w:instrText>
    </w:r>
    <w:r>
      <w:fldChar w:fldCharType="end"/>
    </w:r>
  </w:p>
  <w:p w14:paraId="0DB79A62" w14:textId="77777777" w:rsidR="00890304" w:rsidRDefault="00890304">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53486" w14:textId="77777777" w:rsidR="00890304" w:rsidRPr="00EE20DA" w:rsidRDefault="00890304" w:rsidP="006A3181">
    <w:pPr>
      <w:pStyle w:val="ACMAFooter"/>
      <w:jc w:val="right"/>
    </w:pPr>
    <w:r w:rsidRPr="00EE20DA">
      <w:fldChar w:fldCharType="begin"/>
    </w:r>
    <w:r w:rsidRPr="00EE20DA">
      <w:instrText xml:space="preserve"> PAGE </w:instrText>
    </w:r>
    <w:r w:rsidRPr="00EE20DA">
      <w:fldChar w:fldCharType="separate"/>
    </w:r>
    <w:r w:rsidR="006914A9">
      <w:rPr>
        <w:noProof/>
      </w:rPr>
      <w:t>3</w:t>
    </w:r>
    <w:r w:rsidRPr="00EE20DA">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222E77" w14:textId="77777777" w:rsidR="00890304" w:rsidRPr="00211185" w:rsidRDefault="00890304" w:rsidP="009B461B">
    <w:pPr>
      <w:pStyle w:val="Footer"/>
    </w:pPr>
    <w:r>
      <w:rPr>
        <w:noProof/>
        <w:lang w:eastAsia="en-AU"/>
      </w:rPr>
      <w:drawing>
        <wp:inline distT="0" distB="0" distL="0" distR="0" wp14:anchorId="08857AD4" wp14:editId="03C5C10E">
          <wp:extent cx="3483864" cy="249613"/>
          <wp:effectExtent l="0" t="0" r="0" b="0"/>
          <wp:docPr id="20" name="Picture 20"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203CF1" w14:textId="77777777" w:rsidR="006F7838" w:rsidRDefault="006F7838">
      <w:r>
        <w:separator/>
      </w:r>
    </w:p>
  </w:footnote>
  <w:footnote w:type="continuationSeparator" w:id="0">
    <w:p w14:paraId="0530393C" w14:textId="77777777" w:rsidR="006F7838" w:rsidRDefault="006F78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C7687B" w14:textId="77777777" w:rsidR="00890304" w:rsidRDefault="00890304">
    <w:r>
      <w:fldChar w:fldCharType="begin"/>
    </w:r>
    <w:r>
      <w:instrText xml:space="preserve"> REF ReportTitle \h </w:instrText>
    </w:r>
    <w:r>
      <w:fldChar w:fldCharType="separate"/>
    </w:r>
    <w:r w:rsidR="00FA4C74">
      <w:rPr>
        <w:b/>
        <w:bCs/>
        <w:lang w:val="en-US"/>
      </w:rPr>
      <w:t>Error! Reference source not found.</w:t>
    </w:r>
    <w:r>
      <w:fldChar w:fldCharType="end"/>
    </w:r>
  </w:p>
  <w:p w14:paraId="77001FCE" w14:textId="77777777" w:rsidR="00890304" w:rsidRDefault="0089030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2AD5EF" w14:textId="77777777" w:rsidR="00890304" w:rsidRDefault="00890304" w:rsidP="00285758">
    <w:pPr>
      <w:pStyle w:val="ACMABodyText"/>
    </w:pPr>
    <w:r w:rsidRPr="00962A0A">
      <w:rPr>
        <w:noProof/>
        <w:lang w:val="en-US"/>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7E40EF" w14:textId="77777777" w:rsidR="00890304" w:rsidRPr="005F22AA" w:rsidRDefault="00890304" w:rsidP="005F22AA">
    <w:pPr>
      <w:pStyle w:val="ACMAHeaderGraphicSpace"/>
    </w:pPr>
    <w:r>
      <w:rPr>
        <w:noProof/>
        <w:snapToGrid/>
        <w:lang w:eastAsia="en-AU"/>
      </w:rPr>
      <w:drawing>
        <wp:inline distT="0" distB="0" distL="0" distR="0" wp14:anchorId="63F1823F" wp14:editId="431E9D4D">
          <wp:extent cx="5308600" cy="520700"/>
          <wp:effectExtent l="0" t="0" r="0" b="12700"/>
          <wp:docPr id="17" name="Picture 17"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B25644C2"/>
    <w:lvl w:ilvl="0">
      <w:start w:val="1"/>
      <w:numFmt w:val="bullet"/>
      <w:lvlText w:val="&gt;"/>
      <w:lvlJc w:val="left"/>
      <w:pPr>
        <w:tabs>
          <w:tab w:val="num" w:pos="295"/>
        </w:tabs>
        <w:ind w:left="295" w:hanging="295"/>
      </w:pPr>
      <w:rPr>
        <w:rFonts w:ascii="HelveticaNeueLT Std Lt" w:hAnsi="HelveticaNeueLT Std Lt" w:hint="default"/>
        <w:sz w:val="20"/>
      </w:rPr>
    </w:lvl>
  </w:abstractNum>
  <w:abstractNum w:abstractNumId="1" w15:restartNumberingAfterBreak="0">
    <w:nsid w:val="00A601B9"/>
    <w:multiLevelType w:val="hybridMultilevel"/>
    <w:tmpl w:val="0EA8A8C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02002B"/>
    <w:multiLevelType w:val="hybridMultilevel"/>
    <w:tmpl w:val="4E3E1408"/>
    <w:lvl w:ilvl="0" w:tplc="DC76228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172859"/>
    <w:multiLevelType w:val="hybridMultilevel"/>
    <w:tmpl w:val="45BA8378"/>
    <w:lvl w:ilvl="0" w:tplc="DC76228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C2B123A"/>
    <w:multiLevelType w:val="hybridMultilevel"/>
    <w:tmpl w:val="D1100736"/>
    <w:lvl w:ilvl="0" w:tplc="17CC4916">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B151F1"/>
    <w:multiLevelType w:val="hybridMultilevel"/>
    <w:tmpl w:val="B6EC0F02"/>
    <w:lvl w:ilvl="0" w:tplc="17CC491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1E93DFE"/>
    <w:multiLevelType w:val="hybridMultilevel"/>
    <w:tmpl w:val="D97E516A"/>
    <w:lvl w:ilvl="0" w:tplc="DC76228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1EE1198"/>
    <w:multiLevelType w:val="hybridMultilevel"/>
    <w:tmpl w:val="47E473E0"/>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2BA16DE"/>
    <w:multiLevelType w:val="hybridMultilevel"/>
    <w:tmpl w:val="DC7AD37C"/>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6A61071"/>
    <w:multiLevelType w:val="hybridMultilevel"/>
    <w:tmpl w:val="03FA0BBA"/>
    <w:lvl w:ilvl="0" w:tplc="0C09000B">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191311D4"/>
    <w:multiLevelType w:val="hybridMultilevel"/>
    <w:tmpl w:val="7D081C68"/>
    <w:lvl w:ilvl="0" w:tplc="B40A75B8">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C7A3C85"/>
    <w:multiLevelType w:val="hybridMultilevel"/>
    <w:tmpl w:val="F8825422"/>
    <w:lvl w:ilvl="0" w:tplc="DC76228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FAD61A7"/>
    <w:multiLevelType w:val="hybridMultilevel"/>
    <w:tmpl w:val="FF761458"/>
    <w:lvl w:ilvl="0" w:tplc="68C6F3B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20063159"/>
    <w:multiLevelType w:val="hybridMultilevel"/>
    <w:tmpl w:val="CC94050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24F5DCF"/>
    <w:multiLevelType w:val="hybridMultilevel"/>
    <w:tmpl w:val="0C5451B4"/>
    <w:lvl w:ilvl="0" w:tplc="DC76228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8C841A5"/>
    <w:multiLevelType w:val="hybridMultilevel"/>
    <w:tmpl w:val="29F605AE"/>
    <w:lvl w:ilvl="0" w:tplc="DC76228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9765241"/>
    <w:multiLevelType w:val="hybridMultilevel"/>
    <w:tmpl w:val="87D0C402"/>
    <w:lvl w:ilvl="0" w:tplc="5B7E6A96">
      <w:start w:val="1"/>
      <w:numFmt w:val="bullet"/>
      <w:lvlText w:val="&gt;"/>
      <w:lvlJc w:val="left"/>
      <w:pPr>
        <w:ind w:left="720" w:hanging="360"/>
      </w:pPr>
      <w:rPr>
        <w:rFonts w:ascii="Vivaldi" w:hAnsi="Vival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ECD2D61"/>
    <w:multiLevelType w:val="hybridMultilevel"/>
    <w:tmpl w:val="89922D0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F5A5080"/>
    <w:multiLevelType w:val="hybridMultilevel"/>
    <w:tmpl w:val="CE2E4CFC"/>
    <w:lvl w:ilvl="0" w:tplc="C16243C2">
      <w:start w:val="1"/>
      <w:numFmt w:val="bullet"/>
      <w:pStyle w:val="ACMABulletLevel1"/>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9" w15:restartNumberingAfterBreak="0">
    <w:nsid w:val="3096181E"/>
    <w:multiLevelType w:val="hybridMultilevel"/>
    <w:tmpl w:val="E5601928"/>
    <w:lvl w:ilvl="0" w:tplc="DC76228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1931BD7"/>
    <w:multiLevelType w:val="hybridMultilevel"/>
    <w:tmpl w:val="8DC2DF9C"/>
    <w:lvl w:ilvl="0" w:tplc="324281F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37C5913"/>
    <w:multiLevelType w:val="hybridMultilevel"/>
    <w:tmpl w:val="CBE6DB30"/>
    <w:lvl w:ilvl="0" w:tplc="44EEC084">
      <w:start w:val="1"/>
      <w:numFmt w:val="bullet"/>
      <w:lvlText w:val="&gt;"/>
      <w:lvlJc w:val="left"/>
      <w:pPr>
        <w:ind w:left="720" w:hanging="360"/>
      </w:pPr>
      <w:rPr>
        <w:rFonts w:ascii="HelveticaNeueLT Std" w:hAnsi="HelveticaNeueLT Std"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5EA00F4"/>
    <w:multiLevelType w:val="hybridMultilevel"/>
    <w:tmpl w:val="DA2C5402"/>
    <w:lvl w:ilvl="0" w:tplc="AC50F08C">
      <w:start w:val="12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3" w15:restartNumberingAfterBreak="0">
    <w:nsid w:val="3B654BE4"/>
    <w:multiLevelType w:val="hybridMultilevel"/>
    <w:tmpl w:val="B9429C94"/>
    <w:lvl w:ilvl="0" w:tplc="6D18C896">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BC94110"/>
    <w:multiLevelType w:val="hybridMultilevel"/>
    <w:tmpl w:val="80FCBC20"/>
    <w:lvl w:ilvl="0" w:tplc="44EEC084">
      <w:start w:val="1"/>
      <w:numFmt w:val="bullet"/>
      <w:lvlText w:val="&gt;"/>
      <w:lvlJc w:val="left"/>
      <w:pPr>
        <w:ind w:left="720" w:hanging="360"/>
      </w:pPr>
      <w:rPr>
        <w:rFonts w:ascii="HelveticaNeueLT Std" w:hAnsi="HelveticaNeueLT Std"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BF09D0"/>
    <w:multiLevelType w:val="hybridMultilevel"/>
    <w:tmpl w:val="475282BC"/>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EB97C96"/>
    <w:multiLevelType w:val="hybridMultilevel"/>
    <w:tmpl w:val="C85019FE"/>
    <w:lvl w:ilvl="0" w:tplc="324281F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D97371"/>
    <w:multiLevelType w:val="hybridMultilevel"/>
    <w:tmpl w:val="F870A282"/>
    <w:lvl w:ilvl="0" w:tplc="44EEC084">
      <w:start w:val="1"/>
      <w:numFmt w:val="bullet"/>
      <w:lvlText w:val="&gt;"/>
      <w:lvlJc w:val="left"/>
      <w:pPr>
        <w:ind w:left="720" w:hanging="360"/>
      </w:pPr>
      <w:rPr>
        <w:rFonts w:ascii="HelveticaNeueLT Std" w:hAnsi="HelveticaNeueLT Std" w:hint="default"/>
      </w:rPr>
    </w:lvl>
    <w:lvl w:ilvl="1" w:tplc="44EEC084">
      <w:start w:val="1"/>
      <w:numFmt w:val="bullet"/>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75E21B1"/>
    <w:multiLevelType w:val="hybridMultilevel"/>
    <w:tmpl w:val="93D625B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9" w15:restartNumberingAfterBreak="0">
    <w:nsid w:val="47611D27"/>
    <w:multiLevelType w:val="hybridMultilevel"/>
    <w:tmpl w:val="2F067066"/>
    <w:lvl w:ilvl="0" w:tplc="DC76228C">
      <w:start w:val="1"/>
      <w:numFmt w:val="bullet"/>
      <w:lvlText w:val="&gt;"/>
      <w:lvlJc w:val="left"/>
      <w:pPr>
        <w:ind w:left="720" w:hanging="360"/>
      </w:pPr>
      <w:rPr>
        <w:rFonts w:ascii="Arial" w:hAnsi="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0" w15:restartNumberingAfterBreak="0">
    <w:nsid w:val="4AE15560"/>
    <w:multiLevelType w:val="hybridMultilevel"/>
    <w:tmpl w:val="0F104AFC"/>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C297468"/>
    <w:multiLevelType w:val="hybridMultilevel"/>
    <w:tmpl w:val="1CC87E7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4E8C0F59"/>
    <w:multiLevelType w:val="hybridMultilevel"/>
    <w:tmpl w:val="F7FE4E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98C26D6"/>
    <w:multiLevelType w:val="hybridMultilevel"/>
    <w:tmpl w:val="4E24513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4" w15:restartNumberingAfterBreak="0">
    <w:nsid w:val="5E7B702C"/>
    <w:multiLevelType w:val="hybridMultilevel"/>
    <w:tmpl w:val="3E326B80"/>
    <w:lvl w:ilvl="0" w:tplc="DC76228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32160C"/>
    <w:multiLevelType w:val="hybridMultilevel"/>
    <w:tmpl w:val="FFDC686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0DE5D01"/>
    <w:multiLevelType w:val="hybridMultilevel"/>
    <w:tmpl w:val="7CDC95BE"/>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1D453E8"/>
    <w:multiLevelType w:val="hybridMultilevel"/>
    <w:tmpl w:val="89922D0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9DC608B"/>
    <w:multiLevelType w:val="hybridMultilevel"/>
    <w:tmpl w:val="93D490BA"/>
    <w:lvl w:ilvl="0" w:tplc="7BB6806E">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C9F68AE"/>
    <w:multiLevelType w:val="hybridMultilevel"/>
    <w:tmpl w:val="5CD6D260"/>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EAA3C06"/>
    <w:multiLevelType w:val="hybridMultilevel"/>
    <w:tmpl w:val="C9A2CDAA"/>
    <w:lvl w:ilvl="0" w:tplc="DC76228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0833001"/>
    <w:multiLevelType w:val="hybridMultilevel"/>
    <w:tmpl w:val="B0600224"/>
    <w:lvl w:ilvl="0" w:tplc="DC76228C">
      <w:start w:val="1"/>
      <w:numFmt w:val="bullet"/>
      <w:lvlText w:val="&gt;"/>
      <w:lvlJc w:val="left"/>
      <w:pPr>
        <w:ind w:left="720" w:hanging="360"/>
      </w:pPr>
      <w:rPr>
        <w:rFonts w:ascii="Arial" w:hAnsi="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2" w15:restartNumberingAfterBreak="0">
    <w:nsid w:val="77AF542A"/>
    <w:multiLevelType w:val="hybridMultilevel"/>
    <w:tmpl w:val="89922D0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C187485"/>
    <w:multiLevelType w:val="hybridMultilevel"/>
    <w:tmpl w:val="A2A62C3C"/>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C910D1A"/>
    <w:multiLevelType w:val="hybridMultilevel"/>
    <w:tmpl w:val="90244B7C"/>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26"/>
  </w:num>
  <w:num w:numId="3">
    <w:abstractNumId w:val="20"/>
  </w:num>
  <w:num w:numId="4">
    <w:abstractNumId w:val="21"/>
  </w:num>
  <w:num w:numId="5">
    <w:abstractNumId w:val="7"/>
  </w:num>
  <w:num w:numId="6">
    <w:abstractNumId w:val="43"/>
  </w:num>
  <w:num w:numId="7">
    <w:abstractNumId w:val="27"/>
  </w:num>
  <w:num w:numId="8">
    <w:abstractNumId w:val="30"/>
  </w:num>
  <w:num w:numId="9">
    <w:abstractNumId w:val="8"/>
  </w:num>
  <w:num w:numId="10">
    <w:abstractNumId w:val="36"/>
  </w:num>
  <w:num w:numId="11">
    <w:abstractNumId w:val="24"/>
  </w:num>
  <w:num w:numId="12">
    <w:abstractNumId w:val="44"/>
  </w:num>
  <w:num w:numId="13">
    <w:abstractNumId w:val="16"/>
  </w:num>
  <w:num w:numId="14">
    <w:abstractNumId w:val="25"/>
  </w:num>
  <w:num w:numId="15">
    <w:abstractNumId w:val="39"/>
  </w:num>
  <w:num w:numId="16">
    <w:abstractNumId w:val="13"/>
  </w:num>
  <w:num w:numId="17">
    <w:abstractNumId w:val="10"/>
  </w:num>
  <w:num w:numId="18">
    <w:abstractNumId w:val="4"/>
  </w:num>
  <w:num w:numId="19">
    <w:abstractNumId w:val="31"/>
  </w:num>
  <w:num w:numId="20">
    <w:abstractNumId w:val="32"/>
  </w:num>
  <w:num w:numId="21">
    <w:abstractNumId w:val="23"/>
  </w:num>
  <w:num w:numId="22">
    <w:abstractNumId w:val="35"/>
  </w:num>
  <w:num w:numId="23">
    <w:abstractNumId w:val="38"/>
  </w:num>
  <w:num w:numId="24">
    <w:abstractNumId w:val="5"/>
  </w:num>
  <w:num w:numId="25">
    <w:abstractNumId w:val="37"/>
  </w:num>
  <w:num w:numId="26">
    <w:abstractNumId w:val="1"/>
  </w:num>
  <w:num w:numId="27">
    <w:abstractNumId w:val="42"/>
  </w:num>
  <w:num w:numId="28">
    <w:abstractNumId w:val="17"/>
  </w:num>
  <w:num w:numId="29">
    <w:abstractNumId w:val="22"/>
  </w:num>
  <w:num w:numId="30">
    <w:abstractNumId w:val="2"/>
  </w:num>
  <w:num w:numId="31">
    <w:abstractNumId w:val="15"/>
  </w:num>
  <w:num w:numId="32">
    <w:abstractNumId w:val="3"/>
  </w:num>
  <w:num w:numId="33">
    <w:abstractNumId w:val="19"/>
  </w:num>
  <w:num w:numId="34">
    <w:abstractNumId w:val="14"/>
  </w:num>
  <w:num w:numId="35">
    <w:abstractNumId w:val="11"/>
  </w:num>
  <w:num w:numId="36">
    <w:abstractNumId w:val="0"/>
  </w:num>
  <w:num w:numId="37">
    <w:abstractNumId w:val="28"/>
  </w:num>
  <w:num w:numId="38">
    <w:abstractNumId w:val="9"/>
  </w:num>
  <w:num w:numId="39">
    <w:abstractNumId w:val="12"/>
  </w:num>
  <w:num w:numId="4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9"/>
  </w:num>
  <w:num w:numId="42">
    <w:abstractNumId w:val="41"/>
  </w:num>
  <w:num w:numId="43">
    <w:abstractNumId w:val="34"/>
  </w:num>
  <w:num w:numId="44">
    <w:abstractNumId w:val="40"/>
  </w:num>
  <w:num w:numId="45">
    <w:abstractNumId w:val="12"/>
  </w:num>
  <w:num w:numId="46">
    <w:abstractNumId w:val="6"/>
  </w:num>
  <w:num w:numId="47">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removePersonalInformation/>
  <w:removeDateAndTime/>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370C"/>
    <w:rsid w:val="00004A0E"/>
    <w:rsid w:val="0000770B"/>
    <w:rsid w:val="00013717"/>
    <w:rsid w:val="000149B5"/>
    <w:rsid w:val="000351CA"/>
    <w:rsid w:val="00041613"/>
    <w:rsid w:val="00044D4B"/>
    <w:rsid w:val="00044DFB"/>
    <w:rsid w:val="00060A97"/>
    <w:rsid w:val="00081791"/>
    <w:rsid w:val="00084908"/>
    <w:rsid w:val="000918D2"/>
    <w:rsid w:val="00095C4D"/>
    <w:rsid w:val="000F3B86"/>
    <w:rsid w:val="000F5042"/>
    <w:rsid w:val="00102AB2"/>
    <w:rsid w:val="00120C82"/>
    <w:rsid w:val="00126FCF"/>
    <w:rsid w:val="001350DB"/>
    <w:rsid w:val="00135D36"/>
    <w:rsid w:val="001415ED"/>
    <w:rsid w:val="00144AFB"/>
    <w:rsid w:val="001464B7"/>
    <w:rsid w:val="00146E30"/>
    <w:rsid w:val="001528B2"/>
    <w:rsid w:val="001633F7"/>
    <w:rsid w:val="00174162"/>
    <w:rsid w:val="00177298"/>
    <w:rsid w:val="0017780C"/>
    <w:rsid w:val="0018263E"/>
    <w:rsid w:val="001842A0"/>
    <w:rsid w:val="00187E47"/>
    <w:rsid w:val="00187EF5"/>
    <w:rsid w:val="00190094"/>
    <w:rsid w:val="00191FBC"/>
    <w:rsid w:val="001B6379"/>
    <w:rsid w:val="001C196F"/>
    <w:rsid w:val="001C2823"/>
    <w:rsid w:val="001D44B7"/>
    <w:rsid w:val="001E3098"/>
    <w:rsid w:val="001E5E52"/>
    <w:rsid w:val="00210199"/>
    <w:rsid w:val="00211185"/>
    <w:rsid w:val="00211721"/>
    <w:rsid w:val="002152C0"/>
    <w:rsid w:val="00222F88"/>
    <w:rsid w:val="002230DB"/>
    <w:rsid w:val="002243C5"/>
    <w:rsid w:val="00230479"/>
    <w:rsid w:val="00233830"/>
    <w:rsid w:val="00233FEC"/>
    <w:rsid w:val="002459D8"/>
    <w:rsid w:val="00246299"/>
    <w:rsid w:val="002637E9"/>
    <w:rsid w:val="00270105"/>
    <w:rsid w:val="00281AAD"/>
    <w:rsid w:val="0028330D"/>
    <w:rsid w:val="00285758"/>
    <w:rsid w:val="002A6293"/>
    <w:rsid w:val="002D3129"/>
    <w:rsid w:val="002D33A6"/>
    <w:rsid w:val="002D369F"/>
    <w:rsid w:val="002D687F"/>
    <w:rsid w:val="002E2146"/>
    <w:rsid w:val="002F1908"/>
    <w:rsid w:val="002F61A1"/>
    <w:rsid w:val="0030118F"/>
    <w:rsid w:val="00302DFB"/>
    <w:rsid w:val="003048F9"/>
    <w:rsid w:val="00320B76"/>
    <w:rsid w:val="00351A37"/>
    <w:rsid w:val="00352F1F"/>
    <w:rsid w:val="00357C09"/>
    <w:rsid w:val="003615CB"/>
    <w:rsid w:val="003634AA"/>
    <w:rsid w:val="00366C7A"/>
    <w:rsid w:val="0039669A"/>
    <w:rsid w:val="00396E9F"/>
    <w:rsid w:val="003A0B7F"/>
    <w:rsid w:val="003C5A4A"/>
    <w:rsid w:val="003D1D8F"/>
    <w:rsid w:val="003D7A22"/>
    <w:rsid w:val="003E7A1D"/>
    <w:rsid w:val="00406C8A"/>
    <w:rsid w:val="00406D27"/>
    <w:rsid w:val="00446311"/>
    <w:rsid w:val="00452529"/>
    <w:rsid w:val="004528E0"/>
    <w:rsid w:val="00457495"/>
    <w:rsid w:val="0046502C"/>
    <w:rsid w:val="004705F0"/>
    <w:rsid w:val="00496573"/>
    <w:rsid w:val="004B110E"/>
    <w:rsid w:val="004B7663"/>
    <w:rsid w:val="004C17C5"/>
    <w:rsid w:val="004C22E5"/>
    <w:rsid w:val="004C3A71"/>
    <w:rsid w:val="004C51C1"/>
    <w:rsid w:val="004C63D2"/>
    <w:rsid w:val="004E49E3"/>
    <w:rsid w:val="004E5C9F"/>
    <w:rsid w:val="005074CB"/>
    <w:rsid w:val="00520D6F"/>
    <w:rsid w:val="00521BCF"/>
    <w:rsid w:val="005252F6"/>
    <w:rsid w:val="00527D2E"/>
    <w:rsid w:val="005306F7"/>
    <w:rsid w:val="005A5AE5"/>
    <w:rsid w:val="005A5B6F"/>
    <w:rsid w:val="005C28F8"/>
    <w:rsid w:val="005C68AC"/>
    <w:rsid w:val="005C7C36"/>
    <w:rsid w:val="005E19C1"/>
    <w:rsid w:val="005E47E5"/>
    <w:rsid w:val="005F22AA"/>
    <w:rsid w:val="005F461F"/>
    <w:rsid w:val="005F68EF"/>
    <w:rsid w:val="00613588"/>
    <w:rsid w:val="0061569D"/>
    <w:rsid w:val="006161D1"/>
    <w:rsid w:val="00621976"/>
    <w:rsid w:val="006308A9"/>
    <w:rsid w:val="006360C3"/>
    <w:rsid w:val="00637492"/>
    <w:rsid w:val="00643DF0"/>
    <w:rsid w:val="00647DD3"/>
    <w:rsid w:val="0068199E"/>
    <w:rsid w:val="006828F4"/>
    <w:rsid w:val="00683640"/>
    <w:rsid w:val="006842E9"/>
    <w:rsid w:val="006914A9"/>
    <w:rsid w:val="006A3181"/>
    <w:rsid w:val="006A6FFE"/>
    <w:rsid w:val="006B1476"/>
    <w:rsid w:val="006C4C99"/>
    <w:rsid w:val="006C7967"/>
    <w:rsid w:val="006D2933"/>
    <w:rsid w:val="006E1969"/>
    <w:rsid w:val="006E2D96"/>
    <w:rsid w:val="006E31B1"/>
    <w:rsid w:val="006E41D7"/>
    <w:rsid w:val="006F3066"/>
    <w:rsid w:val="006F7838"/>
    <w:rsid w:val="007053B6"/>
    <w:rsid w:val="00706D8D"/>
    <w:rsid w:val="00713916"/>
    <w:rsid w:val="00714AD5"/>
    <w:rsid w:val="007232C6"/>
    <w:rsid w:val="00726740"/>
    <w:rsid w:val="00730CAB"/>
    <w:rsid w:val="00736232"/>
    <w:rsid w:val="00751159"/>
    <w:rsid w:val="00755B0C"/>
    <w:rsid w:val="0077276F"/>
    <w:rsid w:val="00781500"/>
    <w:rsid w:val="007905B1"/>
    <w:rsid w:val="007905B5"/>
    <w:rsid w:val="007A1836"/>
    <w:rsid w:val="007A3D51"/>
    <w:rsid w:val="007B6596"/>
    <w:rsid w:val="007E113C"/>
    <w:rsid w:val="007E4853"/>
    <w:rsid w:val="007E5104"/>
    <w:rsid w:val="007F6CD1"/>
    <w:rsid w:val="0081181E"/>
    <w:rsid w:val="00813024"/>
    <w:rsid w:val="00814B75"/>
    <w:rsid w:val="0081640F"/>
    <w:rsid w:val="008278C9"/>
    <w:rsid w:val="0085498B"/>
    <w:rsid w:val="00863DC1"/>
    <w:rsid w:val="008678E4"/>
    <w:rsid w:val="0088727F"/>
    <w:rsid w:val="00890304"/>
    <w:rsid w:val="0089448F"/>
    <w:rsid w:val="008A161B"/>
    <w:rsid w:val="008B5AA6"/>
    <w:rsid w:val="008D7F7A"/>
    <w:rsid w:val="008E3468"/>
    <w:rsid w:val="008E4AEE"/>
    <w:rsid w:val="008E6E00"/>
    <w:rsid w:val="008F2CB6"/>
    <w:rsid w:val="008F4B7B"/>
    <w:rsid w:val="009006D8"/>
    <w:rsid w:val="00920072"/>
    <w:rsid w:val="00923909"/>
    <w:rsid w:val="00925B31"/>
    <w:rsid w:val="00927A7E"/>
    <w:rsid w:val="00937C1F"/>
    <w:rsid w:val="00937E84"/>
    <w:rsid w:val="009468AB"/>
    <w:rsid w:val="0095427A"/>
    <w:rsid w:val="00962A0A"/>
    <w:rsid w:val="009B2B79"/>
    <w:rsid w:val="009B461B"/>
    <w:rsid w:val="009B7AF2"/>
    <w:rsid w:val="009E7E53"/>
    <w:rsid w:val="00A06603"/>
    <w:rsid w:val="00A2196F"/>
    <w:rsid w:val="00A31576"/>
    <w:rsid w:val="00A33D8F"/>
    <w:rsid w:val="00A36103"/>
    <w:rsid w:val="00A44ED8"/>
    <w:rsid w:val="00A61A38"/>
    <w:rsid w:val="00A6770A"/>
    <w:rsid w:val="00A90A9E"/>
    <w:rsid w:val="00A97D6A"/>
    <w:rsid w:val="00AA23BC"/>
    <w:rsid w:val="00AA55F2"/>
    <w:rsid w:val="00AB13E5"/>
    <w:rsid w:val="00AB7254"/>
    <w:rsid w:val="00AB771E"/>
    <w:rsid w:val="00AC5D77"/>
    <w:rsid w:val="00AE228B"/>
    <w:rsid w:val="00AF056F"/>
    <w:rsid w:val="00AF27CD"/>
    <w:rsid w:val="00AF4766"/>
    <w:rsid w:val="00B00E4D"/>
    <w:rsid w:val="00B01B3B"/>
    <w:rsid w:val="00B023B9"/>
    <w:rsid w:val="00B0310E"/>
    <w:rsid w:val="00B07C93"/>
    <w:rsid w:val="00B20F98"/>
    <w:rsid w:val="00B47B72"/>
    <w:rsid w:val="00B507BE"/>
    <w:rsid w:val="00B51B5F"/>
    <w:rsid w:val="00B53690"/>
    <w:rsid w:val="00B56B9B"/>
    <w:rsid w:val="00B612E6"/>
    <w:rsid w:val="00B650C0"/>
    <w:rsid w:val="00B674D9"/>
    <w:rsid w:val="00BC6504"/>
    <w:rsid w:val="00BE459D"/>
    <w:rsid w:val="00BF3D33"/>
    <w:rsid w:val="00C17B97"/>
    <w:rsid w:val="00C228D0"/>
    <w:rsid w:val="00C35B8B"/>
    <w:rsid w:val="00C35C0C"/>
    <w:rsid w:val="00C40200"/>
    <w:rsid w:val="00C752AA"/>
    <w:rsid w:val="00C87DAB"/>
    <w:rsid w:val="00C92CED"/>
    <w:rsid w:val="00CA1259"/>
    <w:rsid w:val="00CB278E"/>
    <w:rsid w:val="00CB7D2A"/>
    <w:rsid w:val="00CC0F20"/>
    <w:rsid w:val="00CC16BE"/>
    <w:rsid w:val="00CD2523"/>
    <w:rsid w:val="00CE63A2"/>
    <w:rsid w:val="00CF40D3"/>
    <w:rsid w:val="00CF4B7C"/>
    <w:rsid w:val="00CF5EB3"/>
    <w:rsid w:val="00CF7D94"/>
    <w:rsid w:val="00D0288A"/>
    <w:rsid w:val="00D13963"/>
    <w:rsid w:val="00D179C5"/>
    <w:rsid w:val="00D2288C"/>
    <w:rsid w:val="00D3071B"/>
    <w:rsid w:val="00D349BA"/>
    <w:rsid w:val="00D5608B"/>
    <w:rsid w:val="00D668E3"/>
    <w:rsid w:val="00D6705E"/>
    <w:rsid w:val="00D916DB"/>
    <w:rsid w:val="00D93E1C"/>
    <w:rsid w:val="00DE2AA2"/>
    <w:rsid w:val="00DF4049"/>
    <w:rsid w:val="00E337B8"/>
    <w:rsid w:val="00E37A86"/>
    <w:rsid w:val="00E536EE"/>
    <w:rsid w:val="00E71F24"/>
    <w:rsid w:val="00E75EA6"/>
    <w:rsid w:val="00E76FAF"/>
    <w:rsid w:val="00E80D8F"/>
    <w:rsid w:val="00E829F9"/>
    <w:rsid w:val="00E87065"/>
    <w:rsid w:val="00EC2806"/>
    <w:rsid w:val="00EC4421"/>
    <w:rsid w:val="00ED528E"/>
    <w:rsid w:val="00ED7DCB"/>
    <w:rsid w:val="00EE20DA"/>
    <w:rsid w:val="00EE26E2"/>
    <w:rsid w:val="00F0095A"/>
    <w:rsid w:val="00F037C9"/>
    <w:rsid w:val="00F052C1"/>
    <w:rsid w:val="00F15660"/>
    <w:rsid w:val="00F16930"/>
    <w:rsid w:val="00F169A2"/>
    <w:rsid w:val="00F414E6"/>
    <w:rsid w:val="00F442BB"/>
    <w:rsid w:val="00F56232"/>
    <w:rsid w:val="00F60561"/>
    <w:rsid w:val="00F76068"/>
    <w:rsid w:val="00F9622A"/>
    <w:rsid w:val="00F9668C"/>
    <w:rsid w:val="00F97C98"/>
    <w:rsid w:val="00FA2842"/>
    <w:rsid w:val="00FA4C74"/>
    <w:rsid w:val="00FB3BB5"/>
    <w:rsid w:val="00FC0DE9"/>
    <w:rsid w:val="00FC2966"/>
    <w:rsid w:val="00FC504B"/>
    <w:rsid w:val="00FD16D3"/>
    <w:rsid w:val="00FD2BC4"/>
    <w:rsid w:val="00FD76DF"/>
    <w:rsid w:val="00FF0C7A"/>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2529"/>
    <o:shapelayout v:ext="edit">
      <o:idmap v:ext="edit" data="1"/>
    </o:shapelayout>
  </w:shapeDefaults>
  <w:doNotEmbedSmartTags/>
  <w:decimalSymbol w:val="."/>
  <w:listSeparator w:val=","/>
  <w14:docId w14:val="15F971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 w:unhideWhenUsed="1" w:qFormat="1"/>
    <w:lsdException w:name="annotation text" w:semiHidden="1" w:uiPriority="99"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qFormat="1"/>
    <w:lsdException w:name="List 2" w:semiHidden="1" w:unhideWhenUsed="1"/>
    <w:lsdException w:name="List 3"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2243C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paragraph" w:styleId="Heading3">
    <w:name w:val="heading 3"/>
    <w:basedOn w:val="Normal"/>
    <w:next w:val="Normal"/>
    <w:link w:val="Heading3Char"/>
    <w:semiHidden/>
    <w:unhideWhenUsed/>
    <w:qFormat/>
    <w:rsid w:val="00095C4D"/>
    <w:pPr>
      <w:keepNext/>
      <w:keepLines/>
      <w:spacing w:before="40" w:after="0"/>
      <w:outlineLvl w:val="2"/>
    </w:pPr>
    <w:rPr>
      <w:rFonts w:asciiTheme="majorHAnsi" w:eastAsiaTheme="majorEastAsia" w:hAnsiTheme="majorHAnsi"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5A5AE5"/>
    <w:pPr>
      <w:suppressAutoHyphens/>
      <w:spacing w:after="80" w:line="280" w:lineRule="atLeast"/>
    </w:pPr>
    <w:rPr>
      <w:rFonts w:ascii="Arial" w:hAnsi="Arial"/>
      <w:snapToGrid w:val="0"/>
      <w:sz w:val="19"/>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 Footnote Text,(NECG) Footnote Text,ALTS FOOTNOTE,ALTS FOOTNOTE Char1,AR Footnote Text,AR Footnote Text Char Char Char Char Char,Footnote Text Char Char Char,Footnote Text Char1 Char,Footnote Text Char1 Char Char Char,Footnote Text1,f"/>
    <w:link w:val="FootnoteTextChar"/>
    <w:uiPriority w:val="2"/>
    <w:qFormat/>
    <w:rsid w:val="00751159"/>
    <w:pPr>
      <w:tabs>
        <w:tab w:val="left" w:pos="284"/>
      </w:tabs>
      <w:ind w:left="288" w:hanging="288"/>
    </w:pPr>
    <w:rPr>
      <w:rFonts w:ascii="Arial" w:hAnsi="Arial"/>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qFormat/>
    <w:rsid w:val="00B261EE"/>
    <w:rPr>
      <w:color w:val="0000FF"/>
      <w:u w:val="single"/>
    </w:rPr>
  </w:style>
  <w:style w:type="paragraph" w:customStyle="1" w:styleId="ACMABulletLevel1">
    <w:name w:val="ACMA_BulletLevel1"/>
    <w:qFormat/>
    <w:rsid w:val="00B507BE"/>
    <w:pPr>
      <w:numPr>
        <w:numId w:val="1"/>
      </w:numPr>
      <w:spacing w:after="80"/>
    </w:pPr>
    <w:rPr>
      <w:rFonts w:ascii="Arial" w:hAnsi="Arial"/>
      <w:sz w:val="19"/>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B261EE"/>
    <w:pPr>
      <w:pBdr>
        <w:top w:val="single" w:sz="2" w:space="4" w:color="auto"/>
      </w:pBdr>
      <w:tabs>
        <w:tab w:val="right" w:pos="8352"/>
      </w:tabs>
      <w:ind w:left="288" w:hanging="288"/>
    </w:pPr>
    <w:rPr>
      <w:rFonts w:ascii="Arial" w:hAnsi="Arial"/>
      <w:lang w:eastAsia="en-US"/>
    </w:rPr>
  </w:style>
  <w:style w:type="paragraph" w:customStyle="1" w:styleId="ACMAHeading2">
    <w:name w:val="ACMA_Heading2"/>
    <w:next w:val="ACMABodyText"/>
    <w:qFormat/>
    <w:rsid w:val="00B51B5F"/>
    <w:pPr>
      <w:keepNext/>
      <w:suppressAutoHyphens/>
      <w:spacing w:before="440" w:after="120"/>
      <w:outlineLvl w:val="2"/>
    </w:pPr>
    <w:rPr>
      <w:rFonts w:ascii="Arial" w:hAnsi="Arial"/>
      <w:b/>
      <w:sz w:val="24"/>
      <w:szCs w:val="24"/>
      <w:lang w:eastAsia="en-US"/>
    </w:rPr>
  </w:style>
  <w:style w:type="paragraph" w:customStyle="1" w:styleId="ACMATableHeading">
    <w:name w:val="ACMA_TableHeading"/>
    <w:qFormat/>
    <w:rsid w:val="00102AB2"/>
    <w:pPr>
      <w:spacing w:before="40" w:after="40"/>
    </w:pPr>
    <w:rPr>
      <w:rFonts w:ascii="Arial" w:hAnsi="Arial"/>
      <w:b/>
      <w:sz w:val="19"/>
      <w:lang w:eastAsia="en-US"/>
    </w:rPr>
  </w:style>
  <w:style w:type="paragraph" w:customStyle="1" w:styleId="ACMATableBody">
    <w:name w:val="ACMA_TableBody"/>
    <w:qFormat/>
    <w:rsid w:val="00102AB2"/>
    <w:pPr>
      <w:spacing w:before="40" w:after="80"/>
    </w:pPr>
    <w:rPr>
      <w:rFonts w:ascii="Arial" w:hAnsi="Arial"/>
      <w:sz w:val="19"/>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643DF0"/>
    <w:pPr>
      <w:spacing w:before="360" w:after="120" w:line="240" w:lineRule="auto"/>
    </w:pPr>
    <w:rPr>
      <w:i w:val="0"/>
      <w:sz w:val="19"/>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iPriority w:val="99"/>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uiPriority w:val="99"/>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character" w:customStyle="1" w:styleId="Heading3Char">
    <w:name w:val="Heading 3 Char"/>
    <w:basedOn w:val="DefaultParagraphFont"/>
    <w:link w:val="Heading3"/>
    <w:semiHidden/>
    <w:rsid w:val="00095C4D"/>
    <w:rPr>
      <w:rFonts w:asciiTheme="majorHAnsi" w:eastAsiaTheme="majorEastAsia" w:hAnsiTheme="majorHAnsi" w:cstheme="majorBidi"/>
      <w:i/>
      <w:color w:val="243F60" w:themeColor="accent1" w:themeShade="7F"/>
      <w:sz w:val="24"/>
      <w:szCs w:val="24"/>
      <w:lang w:eastAsia="en-US"/>
    </w:rPr>
  </w:style>
  <w:style w:type="paragraph" w:styleId="ListBullet">
    <w:name w:val="List Bullet"/>
    <w:basedOn w:val="Normal"/>
    <w:uiPriority w:val="99"/>
    <w:qFormat/>
    <w:rsid w:val="00095C4D"/>
    <w:pPr>
      <w:tabs>
        <w:tab w:val="num" w:pos="295"/>
      </w:tabs>
      <w:spacing w:before="0" w:after="80" w:line="240" w:lineRule="atLeast"/>
      <w:ind w:left="295" w:hanging="295"/>
    </w:pPr>
    <w:rPr>
      <w:i w:val="0"/>
      <w:lang w:eastAsia="en-AU"/>
    </w:rPr>
  </w:style>
  <w:style w:type="paragraph" w:styleId="ListBullet2">
    <w:name w:val="List Bullet 2"/>
    <w:basedOn w:val="Normal"/>
    <w:qFormat/>
    <w:rsid w:val="00095C4D"/>
    <w:pPr>
      <w:tabs>
        <w:tab w:val="num" w:pos="845"/>
      </w:tabs>
      <w:spacing w:before="0" w:after="80" w:line="240" w:lineRule="atLeast"/>
      <w:ind w:left="845" w:hanging="544"/>
    </w:pPr>
    <w:rPr>
      <w:i w:val="0"/>
      <w:lang w:eastAsia="en-AU"/>
    </w:rPr>
  </w:style>
  <w:style w:type="paragraph" w:styleId="ListNumber">
    <w:name w:val="List Number"/>
    <w:basedOn w:val="Normal"/>
    <w:qFormat/>
    <w:rsid w:val="00095C4D"/>
    <w:pPr>
      <w:spacing w:before="0" w:after="80" w:line="240" w:lineRule="atLeast"/>
      <w:ind w:left="360" w:hanging="360"/>
    </w:pPr>
    <w:rPr>
      <w:i w:val="0"/>
      <w:lang w:eastAsia="en-AU"/>
    </w:rPr>
  </w:style>
  <w:style w:type="character" w:styleId="FootnoteReference">
    <w:name w:val="footnote reference"/>
    <w:aliases w:val="(NECG) Footnote Reference,(NECG) Footnote Reference1,(NECG) Footnote Reference2,(NECG) Footnote Reference3,(NECG) Footnote Reference4,Appel n,Appel note de bas de p,Footnote Reference 1,Style 12,Style 124,Style 3,fr,o"/>
    <w:basedOn w:val="DefaultParagraphFont"/>
    <w:uiPriority w:val="99"/>
    <w:rsid w:val="00095C4D"/>
    <w:rPr>
      <w:rFonts w:ascii="Arial" w:hAnsi="Arial"/>
      <w:vertAlign w:val="superscript"/>
    </w:rPr>
  </w:style>
  <w:style w:type="character" w:customStyle="1" w:styleId="FootnoteTextChar">
    <w:name w:val="Footnote Text Char"/>
    <w:aliases w:val="ACMA Footnote Text Char,(NECG) Footnote Text Char,ALTS FOOTNOTE Char,ALTS FOOTNOTE Char1 Char,AR Footnote Text Char,AR Footnote Text Char Char Char Char Char Char,Footnote Text Char Char Char Char,Footnote Text Char1 Char Char,f Char"/>
    <w:basedOn w:val="DefaultParagraphFont"/>
    <w:link w:val="FootnoteText"/>
    <w:uiPriority w:val="2"/>
    <w:rsid w:val="00095C4D"/>
    <w:rPr>
      <w:rFonts w:ascii="Arial" w:hAnsi="Arial"/>
      <w:lang w:eastAsia="en-US"/>
    </w:rPr>
  </w:style>
  <w:style w:type="paragraph" w:customStyle="1" w:styleId="Heading10">
    <w:name w:val="Heading1"/>
    <w:basedOn w:val="ACMAHeading2"/>
    <w:next w:val="ACMABodyText"/>
    <w:rsid w:val="00B51B5F"/>
    <w:rPr>
      <w:bCs/>
      <w:sz w:val="28"/>
    </w:rPr>
  </w:style>
  <w:style w:type="paragraph" w:styleId="ListParagraph">
    <w:name w:val="List Paragraph"/>
    <w:basedOn w:val="Normal"/>
    <w:uiPriority w:val="34"/>
    <w:qFormat/>
    <w:rsid w:val="008A161B"/>
    <w:pPr>
      <w:spacing w:before="0" w:after="160" w:line="259" w:lineRule="auto"/>
      <w:ind w:left="720"/>
      <w:contextualSpacing/>
    </w:pPr>
    <w:rPr>
      <w:rFonts w:eastAsiaTheme="minorHAnsi" w:cs="Arial"/>
      <w:i w:val="0"/>
      <w:sz w:val="22"/>
      <w:szCs w:val="22"/>
    </w:rPr>
  </w:style>
  <w:style w:type="character" w:styleId="CommentReference">
    <w:name w:val="annotation reference"/>
    <w:basedOn w:val="DefaultParagraphFont"/>
    <w:uiPriority w:val="99"/>
    <w:semiHidden/>
    <w:unhideWhenUsed/>
    <w:rsid w:val="00E37A86"/>
    <w:rPr>
      <w:sz w:val="16"/>
      <w:szCs w:val="16"/>
    </w:rPr>
  </w:style>
  <w:style w:type="paragraph" w:styleId="CommentText">
    <w:name w:val="annotation text"/>
    <w:basedOn w:val="Normal"/>
    <w:link w:val="CommentTextChar"/>
    <w:uiPriority w:val="99"/>
    <w:semiHidden/>
    <w:unhideWhenUsed/>
    <w:rsid w:val="00E37A86"/>
    <w:pPr>
      <w:spacing w:line="240" w:lineRule="auto"/>
    </w:pPr>
    <w:rPr>
      <w:szCs w:val="20"/>
    </w:rPr>
  </w:style>
  <w:style w:type="character" w:customStyle="1" w:styleId="CommentTextChar">
    <w:name w:val="Comment Text Char"/>
    <w:basedOn w:val="DefaultParagraphFont"/>
    <w:link w:val="CommentText"/>
    <w:uiPriority w:val="99"/>
    <w:semiHidden/>
    <w:rsid w:val="00E37A86"/>
    <w:rPr>
      <w:rFonts w:ascii="Arial" w:hAnsi="Arial"/>
      <w:i/>
      <w:lang w:eastAsia="en-US"/>
    </w:rPr>
  </w:style>
  <w:style w:type="paragraph" w:styleId="CommentSubject">
    <w:name w:val="annotation subject"/>
    <w:basedOn w:val="CommentText"/>
    <w:next w:val="CommentText"/>
    <w:link w:val="CommentSubjectChar"/>
    <w:semiHidden/>
    <w:unhideWhenUsed/>
    <w:rsid w:val="00E37A86"/>
    <w:rPr>
      <w:b/>
      <w:bCs/>
    </w:rPr>
  </w:style>
  <w:style w:type="character" w:customStyle="1" w:styleId="CommentSubjectChar">
    <w:name w:val="Comment Subject Char"/>
    <w:basedOn w:val="CommentTextChar"/>
    <w:link w:val="CommentSubject"/>
    <w:semiHidden/>
    <w:rsid w:val="00E37A86"/>
    <w:rPr>
      <w:rFonts w:ascii="Arial" w:hAnsi="Arial"/>
      <w:b/>
      <w:bCs/>
      <w:i/>
      <w:lang w:eastAsia="en-US"/>
    </w:rPr>
  </w:style>
  <w:style w:type="paragraph" w:styleId="EndnoteText">
    <w:name w:val="endnote text"/>
    <w:basedOn w:val="Normal"/>
    <w:link w:val="EndnoteTextChar"/>
    <w:uiPriority w:val="99"/>
    <w:unhideWhenUsed/>
    <w:qFormat/>
    <w:rsid w:val="002152C0"/>
    <w:pPr>
      <w:spacing w:before="0" w:after="0" w:line="240" w:lineRule="auto"/>
    </w:pPr>
    <w:rPr>
      <w:i w:val="0"/>
      <w:sz w:val="16"/>
      <w:szCs w:val="20"/>
      <w:lang w:eastAsia="en-AU"/>
    </w:rPr>
  </w:style>
  <w:style w:type="character" w:customStyle="1" w:styleId="EndnoteTextChar">
    <w:name w:val="Endnote Text Char"/>
    <w:basedOn w:val="DefaultParagraphFont"/>
    <w:link w:val="EndnoteText"/>
    <w:uiPriority w:val="99"/>
    <w:rsid w:val="002152C0"/>
    <w:rPr>
      <w:rFonts w:ascii="Arial" w:hAnsi="Arial"/>
      <w:sz w:val="16"/>
    </w:rPr>
  </w:style>
  <w:style w:type="character" w:styleId="EndnoteReference">
    <w:name w:val="endnote reference"/>
    <w:basedOn w:val="DefaultParagraphFont"/>
    <w:uiPriority w:val="99"/>
    <w:unhideWhenUsed/>
    <w:rsid w:val="002152C0"/>
    <w:rPr>
      <w:rFonts w:ascii="Arial" w:hAnsi="Arial"/>
      <w:sz w:val="20"/>
      <w:vertAlign w:val="superscript"/>
    </w:rPr>
  </w:style>
  <w:style w:type="character" w:styleId="UnresolvedMention">
    <w:name w:val="Unresolved Mention"/>
    <w:basedOn w:val="DefaultParagraphFont"/>
    <w:uiPriority w:val="99"/>
    <w:semiHidden/>
    <w:unhideWhenUsed/>
    <w:rsid w:val="00AF4766"/>
    <w:rPr>
      <w:color w:val="605E5C"/>
      <w:shd w:val="clear" w:color="auto" w:fill="E1DFDD"/>
    </w:rPr>
  </w:style>
  <w:style w:type="paragraph" w:styleId="Revision">
    <w:name w:val="Revision"/>
    <w:hidden/>
    <w:uiPriority w:val="99"/>
    <w:semiHidden/>
    <w:rsid w:val="00F442BB"/>
    <w:rPr>
      <w:rFonts w:ascii="Arial" w:hAnsi="Arial"/>
      <w:i/>
      <w:szCs w:val="24"/>
      <w:lang w:eastAsia="en-US"/>
    </w:rPr>
  </w:style>
  <w:style w:type="character" w:styleId="FollowedHyperlink">
    <w:name w:val="FollowedHyperlink"/>
    <w:basedOn w:val="DefaultParagraphFont"/>
    <w:semiHidden/>
    <w:unhideWhenUsed/>
    <w:rsid w:val="00F97C9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3893450">
      <w:bodyDiv w:val="1"/>
      <w:marLeft w:val="0"/>
      <w:marRight w:val="0"/>
      <w:marTop w:val="0"/>
      <w:marBottom w:val="0"/>
      <w:divBdr>
        <w:top w:val="none" w:sz="0" w:space="0" w:color="auto"/>
        <w:left w:val="none" w:sz="0" w:space="0" w:color="auto"/>
        <w:bottom w:val="none" w:sz="0" w:space="0" w:color="auto"/>
        <w:right w:val="none" w:sz="0" w:space="0" w:color="auto"/>
      </w:divBdr>
    </w:div>
    <w:div w:id="830675364">
      <w:bodyDiv w:val="1"/>
      <w:marLeft w:val="0"/>
      <w:marRight w:val="0"/>
      <w:marTop w:val="0"/>
      <w:marBottom w:val="0"/>
      <w:divBdr>
        <w:top w:val="none" w:sz="0" w:space="0" w:color="auto"/>
        <w:left w:val="none" w:sz="0" w:space="0" w:color="auto"/>
        <w:bottom w:val="none" w:sz="0" w:space="0" w:color="auto"/>
        <w:right w:val="none" w:sz="0" w:space="0" w:color="auto"/>
      </w:divBdr>
    </w:div>
    <w:div w:id="1070345209">
      <w:bodyDiv w:val="1"/>
      <w:marLeft w:val="0"/>
      <w:marRight w:val="0"/>
      <w:marTop w:val="0"/>
      <w:marBottom w:val="0"/>
      <w:divBdr>
        <w:top w:val="none" w:sz="0" w:space="0" w:color="auto"/>
        <w:left w:val="none" w:sz="0" w:space="0" w:color="auto"/>
        <w:bottom w:val="none" w:sz="0" w:space="0" w:color="auto"/>
        <w:right w:val="none" w:sz="0" w:space="0" w:color="auto"/>
      </w:divBdr>
    </w:div>
    <w:div w:id="1338775813">
      <w:bodyDiv w:val="1"/>
      <w:marLeft w:val="0"/>
      <w:marRight w:val="0"/>
      <w:marTop w:val="0"/>
      <w:marBottom w:val="0"/>
      <w:divBdr>
        <w:top w:val="none" w:sz="0" w:space="0" w:color="auto"/>
        <w:left w:val="none" w:sz="0" w:space="0" w:color="auto"/>
        <w:bottom w:val="none" w:sz="0" w:space="0" w:color="auto"/>
        <w:right w:val="none" w:sz="0" w:space="0" w:color="auto"/>
      </w:divBdr>
    </w:div>
    <w:div w:id="1434665294">
      <w:bodyDiv w:val="1"/>
      <w:marLeft w:val="0"/>
      <w:marRight w:val="0"/>
      <w:marTop w:val="0"/>
      <w:marBottom w:val="0"/>
      <w:divBdr>
        <w:top w:val="none" w:sz="0" w:space="0" w:color="auto"/>
        <w:left w:val="none" w:sz="0" w:space="0" w:color="auto"/>
        <w:bottom w:val="none" w:sz="0" w:space="0" w:color="auto"/>
        <w:right w:val="none" w:sz="0" w:space="0" w:color="auto"/>
      </w:divBdr>
    </w:div>
    <w:div w:id="1885017935">
      <w:bodyDiv w:val="1"/>
      <w:marLeft w:val="0"/>
      <w:marRight w:val="0"/>
      <w:marTop w:val="0"/>
      <w:marBottom w:val="0"/>
      <w:divBdr>
        <w:top w:val="none" w:sz="0" w:space="0" w:color="auto"/>
        <w:left w:val="none" w:sz="0" w:space="0" w:color="auto"/>
        <w:bottom w:val="none" w:sz="0" w:space="0" w:color="auto"/>
        <w:right w:val="none" w:sz="0" w:space="0" w:color="auto"/>
      </w:divBdr>
    </w:div>
    <w:div w:id="19905950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CC1B21-CDF6-4CAF-A1EC-DE66F1B1D9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2469</Words>
  <Characters>13629</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16066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2019-05-20T06:03:00Z</dcterms:created>
  <dcterms:modified xsi:type="dcterms:W3CDTF">2019-05-20T23:40:00Z</dcterms:modified>
  <cp:category/>
</cp:coreProperties>
</file>