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B99275" w14:textId="24F70E73" w:rsidR="00F06E14" w:rsidRPr="00A51D1A" w:rsidRDefault="00EA3B0D" w:rsidP="006123EF">
      <w:pPr>
        <w:pStyle w:val="ACMAReportTitle"/>
      </w:pPr>
      <w:bookmarkStart w:id="0" w:name="_GoBack"/>
      <w:bookmarkEnd w:id="0"/>
      <w:r w:rsidRPr="008E5FB0">
        <w:t xml:space="preserve">Cost Recovery </w:t>
      </w:r>
      <w:r w:rsidRPr="0053216E">
        <w:t>Implementation</w:t>
      </w:r>
      <w:r w:rsidRPr="008E5FB0">
        <w:t xml:space="preserve"> Statement</w:t>
      </w:r>
    </w:p>
    <w:p w14:paraId="5A345603" w14:textId="77777777" w:rsidR="00F06E14" w:rsidRDefault="00EA3B0D" w:rsidP="006123EF">
      <w:pPr>
        <w:pStyle w:val="ACMAReportSubTitle"/>
      </w:pPr>
      <w:r>
        <w:t xml:space="preserve">Annual Carrier </w:t>
      </w:r>
      <w:r w:rsidRPr="006123EF">
        <w:t>Licence</w:t>
      </w:r>
      <w:r>
        <w:t xml:space="preserve"> Charge for t</w:t>
      </w:r>
      <w:r w:rsidR="0046793D">
        <w:t>he charging period 1 July 2017</w:t>
      </w:r>
      <w:r w:rsidR="006B519D">
        <w:t xml:space="preserve"> </w:t>
      </w:r>
      <w:r>
        <w:t xml:space="preserve">to </w:t>
      </w:r>
      <w:r w:rsidR="006B519D">
        <w:br/>
      </w:r>
      <w:r w:rsidR="0046793D">
        <w:t>30 June 2018</w:t>
      </w:r>
    </w:p>
    <w:p w14:paraId="24D4A42F" w14:textId="013F9DF5" w:rsidR="00F06E14" w:rsidRDefault="006123EF" w:rsidP="00D47AEB">
      <w:pPr>
        <w:pStyle w:val="ACMAReportDate"/>
        <w:spacing w:after="720"/>
      </w:pPr>
      <w:r>
        <w:t xml:space="preserve">DECEMBER </w:t>
      </w:r>
      <w:r w:rsidR="0046793D">
        <w:t>2018</w:t>
      </w:r>
    </w:p>
    <w:p w14:paraId="364FC31F" w14:textId="77777777" w:rsidR="00BA51A8" w:rsidRDefault="00BA51A8" w:rsidP="00D47AEB">
      <w:pPr>
        <w:pStyle w:val="ACMAReportDate"/>
        <w:spacing w:after="720"/>
      </w:pPr>
    </w:p>
    <w:p w14:paraId="238ABCE6" w14:textId="77777777" w:rsidR="00C97736" w:rsidRPr="000D76E0" w:rsidRDefault="00C97736" w:rsidP="0041071D">
      <w:pPr>
        <w:rPr>
          <w:rFonts w:cs="Arial"/>
        </w:rPr>
      </w:pPr>
    </w:p>
    <w:p w14:paraId="1C7D7695" w14:textId="77777777" w:rsidR="00C97736" w:rsidRPr="000D76E0" w:rsidRDefault="00C97736" w:rsidP="0041071D">
      <w:pPr>
        <w:rPr>
          <w:rFonts w:cs="Arial"/>
        </w:rPr>
        <w:sectPr w:rsidR="00C97736" w:rsidRPr="000D76E0" w:rsidSect="004F556E">
          <w:headerReference w:type="default" r:id="rId8"/>
          <w:footerReference w:type="default" r:id="rId9"/>
          <w:headerReference w:type="first" r:id="rId10"/>
          <w:pgSz w:w="11906" w:h="16838" w:code="9"/>
          <w:pgMar w:top="3924" w:right="1797" w:bottom="1440" w:left="1134" w:header="709" w:footer="454" w:gutter="0"/>
          <w:cols w:space="708"/>
          <w:docGrid w:linePitch="360"/>
        </w:sectPr>
      </w:pPr>
    </w:p>
    <w:p w14:paraId="143B005B" w14:textId="77777777" w:rsidR="0005011A" w:rsidRPr="00F44F3A" w:rsidRDefault="0005011A" w:rsidP="00FC07B9">
      <w:pPr>
        <w:pStyle w:val="ACMACorporateAddressHeader"/>
      </w:pPr>
      <w:r w:rsidRPr="00F44F3A">
        <w:lastRenderedPageBreak/>
        <w:t>Canberra</w:t>
      </w:r>
    </w:p>
    <w:p w14:paraId="36896ED0"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516CED8A" w14:textId="77777777" w:rsidR="0005011A" w:rsidRPr="00FC07B9" w:rsidRDefault="0005011A" w:rsidP="00FC07B9">
      <w:pPr>
        <w:pStyle w:val="ACMACorporateAddresses"/>
      </w:pPr>
      <w:r w:rsidRPr="00FC07B9">
        <w:t>PO Box 78</w:t>
      </w:r>
      <w:r w:rsidRPr="00FC07B9">
        <w:br/>
        <w:t>Belconnen ACT 2616</w:t>
      </w:r>
    </w:p>
    <w:p w14:paraId="5AE1A804"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1DF775FA" w14:textId="77777777" w:rsidR="0005011A" w:rsidRPr="00F44F3A" w:rsidRDefault="0005011A" w:rsidP="00FC07B9">
      <w:pPr>
        <w:pStyle w:val="ACMACorporateAddressHeader"/>
      </w:pPr>
      <w:r w:rsidRPr="00F44F3A">
        <w:t>Melbourne</w:t>
      </w:r>
    </w:p>
    <w:p w14:paraId="3975A71A"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71985B85"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7CFBFDAA"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6A3F68CD" w14:textId="77777777" w:rsidR="0005011A" w:rsidRPr="00F44F3A" w:rsidRDefault="0005011A" w:rsidP="00FC07B9">
      <w:pPr>
        <w:pStyle w:val="ACMACorporateAddressHeader"/>
      </w:pPr>
      <w:r w:rsidRPr="00F44F3A">
        <w:t>Sydney</w:t>
      </w:r>
    </w:p>
    <w:p w14:paraId="1DA47F07"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4AAA015D"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7703341C"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50F30284" w14:textId="77777777" w:rsidR="00140318" w:rsidRPr="006D46E5" w:rsidRDefault="00140318" w:rsidP="00FC07B9">
      <w:pPr>
        <w:pStyle w:val="ACMACopyrightHeader"/>
      </w:pPr>
      <w:r w:rsidRPr="00140318">
        <w:t>Copyright notice</w:t>
      </w:r>
    </w:p>
    <w:p w14:paraId="15B474F9" w14:textId="77777777" w:rsidR="00140318" w:rsidRPr="006D46E5" w:rsidRDefault="00623FF9" w:rsidP="00623FF9">
      <w:pPr>
        <w:pStyle w:val="ACMACClogo"/>
      </w:pPr>
      <w:r w:rsidRPr="00623FF9">
        <w:rPr>
          <w:noProof/>
        </w:rPr>
        <w:drawing>
          <wp:inline distT="0" distB="0" distL="0" distR="0" wp14:anchorId="5F9E7BFA" wp14:editId="5E071DB4">
            <wp:extent cx="838200" cy="295275"/>
            <wp:effectExtent l="0" t="0" r="0" b="9525"/>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46F820F7" w14:textId="77777777" w:rsidR="004B052A" w:rsidRDefault="007B7726" w:rsidP="004B052A">
      <w:pPr>
        <w:pStyle w:val="ACMACorporateAddresses"/>
        <w:rPr>
          <w:rStyle w:val="Hyperlink"/>
        </w:rPr>
      </w:pPr>
      <w:hyperlink r:id="rId13" w:history="1">
        <w:r w:rsidR="004B052A">
          <w:rPr>
            <w:rStyle w:val="Hyperlink"/>
          </w:rPr>
          <w:t>https://creativecommons.org/licenses/by/4.0//</w:t>
        </w:r>
      </w:hyperlink>
    </w:p>
    <w:p w14:paraId="38157986" w14:textId="77777777" w:rsidR="004B052A" w:rsidRPr="006D46E5" w:rsidRDefault="004B052A" w:rsidP="004B052A">
      <w:pPr>
        <w:pStyle w:val="ACMACorporateAddresses"/>
      </w:pPr>
      <w:r w:rsidRPr="006D46E5">
        <w:t xml:space="preserve">With the exception of coats of arms, logos, emblems, images, other third-party material or devices protected by a trademark, this content is </w:t>
      </w:r>
      <w:r>
        <w:t>made available</w:t>
      </w:r>
      <w:r w:rsidRPr="006D46E5">
        <w:t xml:space="preserve"> under the </w:t>
      </w:r>
      <w:r>
        <w:t xml:space="preserve">terms of the </w:t>
      </w:r>
      <w:r w:rsidRPr="006D46E5">
        <w:t xml:space="preserve">Creative Commons Attribution </w:t>
      </w:r>
      <w:r>
        <w:t>4</w:t>
      </w:r>
      <w:r w:rsidRPr="006D46E5">
        <w:t xml:space="preserve">.0 </w:t>
      </w:r>
      <w:r>
        <w:t>International (CC BY 4.0) licence</w:t>
      </w:r>
      <w:r w:rsidRPr="006D46E5">
        <w:t xml:space="preserve">. </w:t>
      </w:r>
    </w:p>
    <w:p w14:paraId="2AE3E2B2" w14:textId="77777777" w:rsidR="00140318" w:rsidRPr="006D46E5" w:rsidRDefault="00140318" w:rsidP="00FC07B9">
      <w:pPr>
        <w:pStyle w:val="ACMACorporateAddresses"/>
      </w:pPr>
      <w:r w:rsidRPr="006D46E5">
        <w:t>We request attribution as: © Commonwealth of Australia (Australian Communic</w:t>
      </w:r>
      <w:r w:rsidR="008408FF">
        <w:t>ations and Media Authority) 201</w:t>
      </w:r>
      <w:r w:rsidR="00A159C9">
        <w:t>8</w:t>
      </w:r>
      <w:r w:rsidRPr="006D46E5">
        <w:t>.</w:t>
      </w:r>
    </w:p>
    <w:p w14:paraId="037C986A" w14:textId="77777777" w:rsidR="00140318" w:rsidRPr="006D46E5" w:rsidRDefault="00140318" w:rsidP="00FC07B9">
      <w:pPr>
        <w:pStyle w:val="ACMACorporateAddresses"/>
      </w:pPr>
      <w:r>
        <w:t>All other rights are reserved.</w:t>
      </w:r>
    </w:p>
    <w:p w14:paraId="5DEFD480" w14:textId="77777777" w:rsidR="00140318" w:rsidRPr="006D46E5" w:rsidRDefault="00140318" w:rsidP="00FC07B9">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54B822F7" w14:textId="77777777" w:rsidR="00140318" w:rsidRPr="006D46E5" w:rsidRDefault="00140318" w:rsidP="00FC07B9">
      <w:pPr>
        <w:pStyle w:val="ACMACorporateAddresses"/>
      </w:pPr>
      <w:r w:rsidRPr="006D46E5">
        <w:t>Written enquiries may be sent to:</w:t>
      </w:r>
    </w:p>
    <w:p w14:paraId="37225039" w14:textId="77777777" w:rsidR="00D16FE3" w:rsidRDefault="00140318" w:rsidP="00D16FE3">
      <w:pPr>
        <w:pStyle w:val="ACMACorporateAddresses"/>
        <w:rPr>
          <w:rStyle w:val="Hyperlink"/>
        </w:r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Tel: 03 9963 6968</w:t>
      </w:r>
      <w:r w:rsidR="00623FF9">
        <w:br/>
      </w:r>
      <w:r w:rsidRPr="006D46E5">
        <w:t xml:space="preserve">Email: </w:t>
      </w:r>
      <w:hyperlink r:id="rId14" w:history="1">
        <w:r w:rsidRPr="00431792">
          <w:rPr>
            <w:rStyle w:val="Hyperlink"/>
          </w:rPr>
          <w:t>candinfo@acma.gov.au</w:t>
        </w:r>
      </w:hyperlink>
    </w:p>
    <w:p w14:paraId="3A6C632A" w14:textId="77777777" w:rsidR="00D16FE3" w:rsidRDefault="00D16FE3" w:rsidP="00D16FE3">
      <w:pPr>
        <w:pStyle w:val="ACMACorporateAddresses"/>
        <w:rPr>
          <w:rStyle w:val="Hyperlink"/>
        </w:rPr>
      </w:pPr>
    </w:p>
    <w:p w14:paraId="6B250E88"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60668AB1" w14:textId="7DE56352" w:rsidR="006123EF" w:rsidRDefault="00B1182A">
      <w:pPr>
        <w:pStyle w:val="TOC1"/>
        <w:tabs>
          <w:tab w:val="left" w:pos="885"/>
        </w:tabs>
        <w:rPr>
          <w:rFonts w:asciiTheme="minorHAnsi" w:eastAsiaTheme="minorEastAsia" w:hAnsiTheme="minorHAnsi" w:cstheme="minorBidi"/>
          <w:b w:val="0"/>
          <w:spacing w:val="0"/>
          <w:sz w:val="22"/>
          <w:szCs w:val="22"/>
        </w:rPr>
      </w:pPr>
      <w:r>
        <w:rPr>
          <w:rFonts w:cs="Arial"/>
          <w:b w:val="0"/>
        </w:rPr>
        <w:lastRenderedPageBreak/>
        <w:fldChar w:fldCharType="begin"/>
      </w:r>
      <w:r w:rsidR="007A6CC0">
        <w:rPr>
          <w:rFonts w:cs="Arial"/>
          <w:b w:val="0"/>
        </w:rPr>
        <w:instrText xml:space="preserve"> TOC \o "1-3" \t "ACMA_ExecSummaryHeading,1" </w:instrText>
      </w:r>
      <w:r>
        <w:rPr>
          <w:rFonts w:cs="Arial"/>
          <w:b w:val="0"/>
        </w:rPr>
        <w:fldChar w:fldCharType="separate"/>
      </w:r>
      <w:r w:rsidR="006123EF">
        <w:t xml:space="preserve">1. </w:t>
      </w:r>
      <w:r w:rsidR="006123EF">
        <w:rPr>
          <w:rFonts w:asciiTheme="minorHAnsi" w:eastAsiaTheme="minorEastAsia" w:hAnsiTheme="minorHAnsi" w:cstheme="minorBidi"/>
          <w:b w:val="0"/>
          <w:spacing w:val="0"/>
          <w:sz w:val="22"/>
          <w:szCs w:val="22"/>
        </w:rPr>
        <w:tab/>
      </w:r>
      <w:r w:rsidR="006123EF">
        <w:t>Introduction</w:t>
      </w:r>
      <w:r w:rsidR="006123EF">
        <w:tab/>
      </w:r>
      <w:r w:rsidR="006123EF">
        <w:fldChar w:fldCharType="begin"/>
      </w:r>
      <w:r w:rsidR="006123EF">
        <w:instrText xml:space="preserve"> PAGEREF _Toc532543387 \h </w:instrText>
      </w:r>
      <w:r w:rsidR="006123EF">
        <w:fldChar w:fldCharType="separate"/>
      </w:r>
      <w:r w:rsidR="006123EF">
        <w:t>1</w:t>
      </w:r>
      <w:r w:rsidR="006123EF">
        <w:fldChar w:fldCharType="end"/>
      </w:r>
    </w:p>
    <w:p w14:paraId="58E390F9" w14:textId="44CF2280" w:rsidR="006123EF" w:rsidRDefault="006123EF">
      <w:pPr>
        <w:pStyle w:val="TOC2"/>
        <w:rPr>
          <w:rFonts w:asciiTheme="minorHAnsi" w:eastAsiaTheme="minorEastAsia" w:hAnsiTheme="minorHAnsi" w:cstheme="minorBidi"/>
          <w:spacing w:val="0"/>
          <w:sz w:val="22"/>
          <w:szCs w:val="22"/>
        </w:rPr>
      </w:pPr>
      <w:r>
        <w:t xml:space="preserve">1.1 </w:t>
      </w:r>
      <w:r>
        <w:rPr>
          <w:rFonts w:asciiTheme="minorHAnsi" w:eastAsiaTheme="minorEastAsia" w:hAnsiTheme="minorHAnsi" w:cstheme="minorBidi"/>
          <w:spacing w:val="0"/>
          <w:sz w:val="22"/>
          <w:szCs w:val="22"/>
        </w:rPr>
        <w:tab/>
      </w:r>
      <w:r>
        <w:t>Purpose of the Cost Recovery Implementation Statement</w:t>
      </w:r>
      <w:r>
        <w:tab/>
      </w:r>
      <w:r>
        <w:fldChar w:fldCharType="begin"/>
      </w:r>
      <w:r>
        <w:instrText xml:space="preserve"> PAGEREF _Toc532543388 \h </w:instrText>
      </w:r>
      <w:r>
        <w:fldChar w:fldCharType="separate"/>
      </w:r>
      <w:r>
        <w:t>1</w:t>
      </w:r>
      <w:r>
        <w:fldChar w:fldCharType="end"/>
      </w:r>
    </w:p>
    <w:p w14:paraId="2D3D9725" w14:textId="007F9A26" w:rsidR="006123EF" w:rsidRDefault="006123EF">
      <w:pPr>
        <w:pStyle w:val="TOC2"/>
        <w:rPr>
          <w:rFonts w:asciiTheme="minorHAnsi" w:eastAsiaTheme="minorEastAsia" w:hAnsiTheme="minorHAnsi" w:cstheme="minorBidi"/>
          <w:spacing w:val="0"/>
          <w:sz w:val="22"/>
          <w:szCs w:val="22"/>
        </w:rPr>
      </w:pPr>
      <w:r>
        <w:t>1.2</w:t>
      </w:r>
      <w:r>
        <w:rPr>
          <w:rFonts w:asciiTheme="minorHAnsi" w:eastAsiaTheme="minorEastAsia" w:hAnsiTheme="minorHAnsi" w:cstheme="minorBidi"/>
          <w:spacing w:val="0"/>
          <w:sz w:val="22"/>
          <w:szCs w:val="22"/>
        </w:rPr>
        <w:tab/>
      </w:r>
      <w:r>
        <w:t>Background and description of activity</w:t>
      </w:r>
      <w:r>
        <w:tab/>
      </w:r>
      <w:r>
        <w:fldChar w:fldCharType="begin"/>
      </w:r>
      <w:r>
        <w:instrText xml:space="preserve"> PAGEREF _Toc532543389 \h </w:instrText>
      </w:r>
      <w:r>
        <w:fldChar w:fldCharType="separate"/>
      </w:r>
      <w:r>
        <w:t>1</w:t>
      </w:r>
      <w:r>
        <w:fldChar w:fldCharType="end"/>
      </w:r>
    </w:p>
    <w:p w14:paraId="2EDC357E" w14:textId="25CDC6AC" w:rsidR="006123EF" w:rsidRDefault="006123EF">
      <w:pPr>
        <w:pStyle w:val="TOC2"/>
        <w:rPr>
          <w:rFonts w:asciiTheme="minorHAnsi" w:eastAsiaTheme="minorEastAsia" w:hAnsiTheme="minorHAnsi" w:cstheme="minorBidi"/>
          <w:spacing w:val="0"/>
          <w:sz w:val="22"/>
          <w:szCs w:val="22"/>
        </w:rPr>
      </w:pPr>
      <w:r>
        <w:t xml:space="preserve">1.3 </w:t>
      </w:r>
      <w:r>
        <w:rPr>
          <w:rFonts w:asciiTheme="minorHAnsi" w:eastAsiaTheme="minorEastAsia" w:hAnsiTheme="minorHAnsi" w:cstheme="minorBidi"/>
          <w:spacing w:val="0"/>
          <w:sz w:val="22"/>
          <w:szCs w:val="22"/>
        </w:rPr>
        <w:tab/>
      </w:r>
      <w:r>
        <w:t>Stakeholders</w:t>
      </w:r>
      <w:r>
        <w:tab/>
      </w:r>
      <w:r>
        <w:fldChar w:fldCharType="begin"/>
      </w:r>
      <w:r>
        <w:instrText xml:space="preserve"> PAGEREF _Toc532543390 \h </w:instrText>
      </w:r>
      <w:r>
        <w:fldChar w:fldCharType="separate"/>
      </w:r>
      <w:r>
        <w:t>2</w:t>
      </w:r>
      <w:r>
        <w:fldChar w:fldCharType="end"/>
      </w:r>
    </w:p>
    <w:p w14:paraId="50FCEE73" w14:textId="126CE5AF" w:rsidR="006123EF" w:rsidRDefault="006123EF" w:rsidP="0053216E">
      <w:pPr>
        <w:pStyle w:val="TOC1"/>
        <w:tabs>
          <w:tab w:val="left" w:pos="885"/>
        </w:tabs>
        <w:ind w:left="883" w:hanging="883"/>
        <w:rPr>
          <w:rFonts w:asciiTheme="minorHAnsi" w:eastAsiaTheme="minorEastAsia" w:hAnsiTheme="minorHAnsi" w:cstheme="minorBidi"/>
          <w:b w:val="0"/>
          <w:spacing w:val="0"/>
          <w:sz w:val="22"/>
          <w:szCs w:val="22"/>
        </w:rPr>
      </w:pPr>
      <w:r>
        <w:t xml:space="preserve">2. </w:t>
      </w:r>
      <w:r>
        <w:rPr>
          <w:rFonts w:asciiTheme="minorHAnsi" w:eastAsiaTheme="minorEastAsia" w:hAnsiTheme="minorHAnsi" w:cstheme="minorBidi"/>
          <w:b w:val="0"/>
          <w:spacing w:val="0"/>
          <w:sz w:val="22"/>
          <w:szCs w:val="22"/>
        </w:rPr>
        <w:tab/>
      </w:r>
      <w:r>
        <w:t>Policy and statutory authority to undertake cost recovery</w:t>
      </w:r>
      <w:r>
        <w:tab/>
      </w:r>
      <w:r>
        <w:fldChar w:fldCharType="begin"/>
      </w:r>
      <w:r>
        <w:instrText xml:space="preserve"> PAGEREF _Toc532543391 \h </w:instrText>
      </w:r>
      <w:r>
        <w:fldChar w:fldCharType="separate"/>
      </w:r>
      <w:r>
        <w:t>3</w:t>
      </w:r>
      <w:r>
        <w:fldChar w:fldCharType="end"/>
      </w:r>
    </w:p>
    <w:p w14:paraId="12549D27" w14:textId="51AF063C" w:rsidR="006123EF" w:rsidRDefault="006123EF">
      <w:pPr>
        <w:pStyle w:val="TOC2"/>
        <w:rPr>
          <w:rFonts w:asciiTheme="minorHAnsi" w:eastAsiaTheme="minorEastAsia" w:hAnsiTheme="minorHAnsi" w:cstheme="minorBidi"/>
          <w:spacing w:val="0"/>
          <w:sz w:val="22"/>
          <w:szCs w:val="22"/>
        </w:rPr>
      </w:pPr>
      <w:r>
        <w:t>2.1</w:t>
      </w:r>
      <w:r>
        <w:rPr>
          <w:rFonts w:asciiTheme="minorHAnsi" w:eastAsiaTheme="minorEastAsia" w:hAnsiTheme="minorHAnsi" w:cstheme="minorBidi"/>
          <w:spacing w:val="0"/>
          <w:sz w:val="22"/>
          <w:szCs w:val="22"/>
        </w:rPr>
        <w:tab/>
      </w:r>
      <w:r>
        <w:t>Government policy approval to recover costs</w:t>
      </w:r>
      <w:r>
        <w:tab/>
      </w:r>
      <w:r>
        <w:fldChar w:fldCharType="begin"/>
      </w:r>
      <w:r>
        <w:instrText xml:space="preserve"> PAGEREF _Toc532543392 \h </w:instrText>
      </w:r>
      <w:r>
        <w:fldChar w:fldCharType="separate"/>
      </w:r>
      <w:r>
        <w:t>3</w:t>
      </w:r>
      <w:r>
        <w:fldChar w:fldCharType="end"/>
      </w:r>
    </w:p>
    <w:p w14:paraId="531D9FCF" w14:textId="711BCE7C" w:rsidR="006123EF" w:rsidRDefault="006123EF">
      <w:pPr>
        <w:pStyle w:val="TOC2"/>
        <w:rPr>
          <w:rFonts w:asciiTheme="minorHAnsi" w:eastAsiaTheme="minorEastAsia" w:hAnsiTheme="minorHAnsi" w:cstheme="minorBidi"/>
          <w:spacing w:val="0"/>
          <w:sz w:val="22"/>
          <w:szCs w:val="22"/>
        </w:rPr>
      </w:pPr>
      <w:r>
        <w:t>2.2</w:t>
      </w:r>
      <w:r>
        <w:rPr>
          <w:rFonts w:asciiTheme="minorHAnsi" w:eastAsiaTheme="minorEastAsia" w:hAnsiTheme="minorHAnsi" w:cstheme="minorBidi"/>
          <w:spacing w:val="0"/>
          <w:sz w:val="22"/>
          <w:szCs w:val="22"/>
        </w:rPr>
        <w:tab/>
      </w:r>
      <w:r>
        <w:t>Statutory authority to impose cost recovery charges</w:t>
      </w:r>
      <w:r>
        <w:tab/>
      </w:r>
      <w:r>
        <w:fldChar w:fldCharType="begin"/>
      </w:r>
      <w:r>
        <w:instrText xml:space="preserve"> PAGEREF _Toc532543393 \h </w:instrText>
      </w:r>
      <w:r>
        <w:fldChar w:fldCharType="separate"/>
      </w:r>
      <w:r>
        <w:t>3</w:t>
      </w:r>
      <w:r>
        <w:fldChar w:fldCharType="end"/>
      </w:r>
    </w:p>
    <w:p w14:paraId="32889C58" w14:textId="3ECDC930" w:rsidR="006123EF" w:rsidRDefault="006123EF">
      <w:pPr>
        <w:pStyle w:val="TOC1"/>
        <w:tabs>
          <w:tab w:val="left" w:pos="885"/>
        </w:tabs>
        <w:rPr>
          <w:rFonts w:asciiTheme="minorHAnsi" w:eastAsiaTheme="minorEastAsia" w:hAnsiTheme="minorHAnsi" w:cstheme="minorBidi"/>
          <w:b w:val="0"/>
          <w:spacing w:val="0"/>
          <w:sz w:val="22"/>
          <w:szCs w:val="22"/>
        </w:rPr>
      </w:pPr>
      <w:r>
        <w:t>3.</w:t>
      </w:r>
      <w:r>
        <w:rPr>
          <w:rFonts w:asciiTheme="minorHAnsi" w:eastAsiaTheme="minorEastAsia" w:hAnsiTheme="minorHAnsi" w:cstheme="minorBidi"/>
          <w:b w:val="0"/>
          <w:spacing w:val="0"/>
          <w:sz w:val="22"/>
          <w:szCs w:val="22"/>
        </w:rPr>
        <w:tab/>
      </w:r>
      <w:r>
        <w:t>Cost recovery model</w:t>
      </w:r>
      <w:r>
        <w:tab/>
      </w:r>
      <w:r>
        <w:fldChar w:fldCharType="begin"/>
      </w:r>
      <w:r>
        <w:instrText xml:space="preserve"> PAGEREF _Toc532543394 \h </w:instrText>
      </w:r>
      <w:r>
        <w:fldChar w:fldCharType="separate"/>
      </w:r>
      <w:r>
        <w:t>6</w:t>
      </w:r>
      <w:r>
        <w:fldChar w:fldCharType="end"/>
      </w:r>
    </w:p>
    <w:p w14:paraId="3DE2B522" w14:textId="2660A5F9" w:rsidR="006123EF" w:rsidRDefault="006123EF">
      <w:pPr>
        <w:pStyle w:val="TOC2"/>
        <w:rPr>
          <w:rFonts w:asciiTheme="minorHAnsi" w:eastAsiaTheme="minorEastAsia" w:hAnsiTheme="minorHAnsi" w:cstheme="minorBidi"/>
          <w:spacing w:val="0"/>
          <w:sz w:val="22"/>
          <w:szCs w:val="22"/>
        </w:rPr>
      </w:pPr>
      <w:r>
        <w:t>3.1</w:t>
      </w:r>
      <w:r>
        <w:rPr>
          <w:rFonts w:asciiTheme="minorHAnsi" w:eastAsiaTheme="minorEastAsia" w:hAnsiTheme="minorHAnsi" w:cstheme="minorBidi"/>
          <w:spacing w:val="0"/>
          <w:sz w:val="22"/>
          <w:szCs w:val="22"/>
        </w:rPr>
        <w:tab/>
      </w:r>
      <w:r>
        <w:t>Determination of cost component for the ACMA’s activity</w:t>
      </w:r>
      <w:r>
        <w:tab/>
      </w:r>
      <w:r>
        <w:fldChar w:fldCharType="begin"/>
      </w:r>
      <w:r>
        <w:instrText xml:space="preserve"> PAGEREF _Toc532543395 \h </w:instrText>
      </w:r>
      <w:r>
        <w:fldChar w:fldCharType="separate"/>
      </w:r>
      <w:r>
        <w:t>6</w:t>
      </w:r>
      <w:r>
        <w:fldChar w:fldCharType="end"/>
      </w:r>
    </w:p>
    <w:p w14:paraId="3D4BB909" w14:textId="19F4EA37" w:rsidR="006123EF" w:rsidRDefault="006123EF">
      <w:pPr>
        <w:pStyle w:val="TOC3"/>
        <w:tabs>
          <w:tab w:val="left" w:pos="885"/>
        </w:tabs>
        <w:rPr>
          <w:rFonts w:asciiTheme="minorHAnsi" w:eastAsiaTheme="minorEastAsia" w:hAnsiTheme="minorHAnsi" w:cstheme="minorBidi"/>
        </w:rPr>
      </w:pPr>
      <w:r>
        <w:t>3.1.1</w:t>
      </w:r>
      <w:r>
        <w:rPr>
          <w:rFonts w:asciiTheme="minorHAnsi" w:eastAsiaTheme="minorEastAsia" w:hAnsiTheme="minorHAnsi" w:cstheme="minorBidi"/>
        </w:rPr>
        <w:tab/>
      </w:r>
      <w:r>
        <w:t>Outputs and business processes of the activity</w:t>
      </w:r>
      <w:r>
        <w:tab/>
      </w:r>
      <w:r>
        <w:fldChar w:fldCharType="begin"/>
      </w:r>
      <w:r>
        <w:instrText xml:space="preserve"> PAGEREF _Toc532543396 \h </w:instrText>
      </w:r>
      <w:r>
        <w:fldChar w:fldCharType="separate"/>
      </w:r>
      <w:r>
        <w:t>6</w:t>
      </w:r>
      <w:r>
        <w:fldChar w:fldCharType="end"/>
      </w:r>
    </w:p>
    <w:p w14:paraId="1D066663" w14:textId="7BF81D57" w:rsidR="006123EF" w:rsidRDefault="006123EF">
      <w:pPr>
        <w:pStyle w:val="TOC3"/>
        <w:tabs>
          <w:tab w:val="left" w:pos="885"/>
        </w:tabs>
        <w:rPr>
          <w:rFonts w:asciiTheme="minorHAnsi" w:eastAsiaTheme="minorEastAsia" w:hAnsiTheme="minorHAnsi" w:cstheme="minorBidi"/>
        </w:rPr>
      </w:pPr>
      <w:r>
        <w:t>3.1.2</w:t>
      </w:r>
      <w:r>
        <w:rPr>
          <w:rFonts w:asciiTheme="minorHAnsi" w:eastAsiaTheme="minorEastAsia" w:hAnsiTheme="minorHAnsi" w:cstheme="minorBidi"/>
        </w:rPr>
        <w:tab/>
      </w:r>
      <w:r>
        <w:t>Costs of the activity</w:t>
      </w:r>
      <w:r>
        <w:tab/>
      </w:r>
      <w:r>
        <w:fldChar w:fldCharType="begin"/>
      </w:r>
      <w:r>
        <w:instrText xml:space="preserve"> PAGEREF _Toc532543397 \h </w:instrText>
      </w:r>
      <w:r>
        <w:fldChar w:fldCharType="separate"/>
      </w:r>
      <w:r>
        <w:t>8</w:t>
      </w:r>
      <w:r>
        <w:fldChar w:fldCharType="end"/>
      </w:r>
    </w:p>
    <w:p w14:paraId="1992AED2" w14:textId="312B8DA9" w:rsidR="006123EF" w:rsidRDefault="006123EF">
      <w:pPr>
        <w:pStyle w:val="TOC2"/>
        <w:rPr>
          <w:rFonts w:asciiTheme="minorHAnsi" w:eastAsiaTheme="minorEastAsia" w:hAnsiTheme="minorHAnsi" w:cstheme="minorBidi"/>
          <w:spacing w:val="0"/>
          <w:sz w:val="22"/>
          <w:szCs w:val="22"/>
        </w:rPr>
      </w:pPr>
      <w:r>
        <w:t>3.2</w:t>
      </w:r>
      <w:r>
        <w:rPr>
          <w:rFonts w:asciiTheme="minorHAnsi" w:eastAsiaTheme="minorEastAsia" w:hAnsiTheme="minorHAnsi" w:cstheme="minorBidi"/>
          <w:spacing w:val="0"/>
          <w:sz w:val="22"/>
          <w:szCs w:val="22"/>
        </w:rPr>
        <w:tab/>
      </w:r>
      <w:r>
        <w:t>Determination of cost component for the ACCC’s activity</w:t>
      </w:r>
      <w:r>
        <w:tab/>
      </w:r>
      <w:r>
        <w:fldChar w:fldCharType="begin"/>
      </w:r>
      <w:r>
        <w:instrText xml:space="preserve"> PAGEREF _Toc532543398 \h </w:instrText>
      </w:r>
      <w:r>
        <w:fldChar w:fldCharType="separate"/>
      </w:r>
      <w:r>
        <w:t>10</w:t>
      </w:r>
      <w:r>
        <w:fldChar w:fldCharType="end"/>
      </w:r>
    </w:p>
    <w:p w14:paraId="2B497360" w14:textId="24905161" w:rsidR="006123EF" w:rsidRDefault="006123EF">
      <w:pPr>
        <w:pStyle w:val="TOC3"/>
        <w:tabs>
          <w:tab w:val="left" w:pos="885"/>
        </w:tabs>
        <w:rPr>
          <w:rFonts w:asciiTheme="minorHAnsi" w:eastAsiaTheme="minorEastAsia" w:hAnsiTheme="minorHAnsi" w:cstheme="minorBidi"/>
        </w:rPr>
      </w:pPr>
      <w:r>
        <w:t>3.2.1</w:t>
      </w:r>
      <w:r>
        <w:rPr>
          <w:rFonts w:asciiTheme="minorHAnsi" w:eastAsiaTheme="minorEastAsia" w:hAnsiTheme="minorHAnsi" w:cstheme="minorBidi"/>
        </w:rPr>
        <w:tab/>
      </w:r>
      <w:r>
        <w:t>Outputs and business processes of the activity</w:t>
      </w:r>
      <w:r>
        <w:tab/>
      </w:r>
      <w:r>
        <w:fldChar w:fldCharType="begin"/>
      </w:r>
      <w:r>
        <w:instrText xml:space="preserve"> PAGEREF _Toc532543399 \h </w:instrText>
      </w:r>
      <w:r>
        <w:fldChar w:fldCharType="separate"/>
      </w:r>
      <w:r>
        <w:t>10</w:t>
      </w:r>
      <w:r>
        <w:fldChar w:fldCharType="end"/>
      </w:r>
    </w:p>
    <w:p w14:paraId="3BDBEF7C" w14:textId="34CF4B6D" w:rsidR="006123EF" w:rsidRDefault="006123EF">
      <w:pPr>
        <w:pStyle w:val="TOC3"/>
        <w:tabs>
          <w:tab w:val="left" w:pos="885"/>
        </w:tabs>
        <w:rPr>
          <w:rFonts w:asciiTheme="minorHAnsi" w:eastAsiaTheme="minorEastAsia" w:hAnsiTheme="minorHAnsi" w:cstheme="minorBidi"/>
        </w:rPr>
      </w:pPr>
      <w:r>
        <w:t>3.2.2</w:t>
      </w:r>
      <w:r>
        <w:rPr>
          <w:rFonts w:asciiTheme="minorHAnsi" w:eastAsiaTheme="minorEastAsia" w:hAnsiTheme="minorHAnsi" w:cstheme="minorBidi"/>
        </w:rPr>
        <w:tab/>
      </w:r>
      <w:r>
        <w:t>Costs of the activity</w:t>
      </w:r>
      <w:r>
        <w:tab/>
      </w:r>
      <w:r>
        <w:fldChar w:fldCharType="begin"/>
      </w:r>
      <w:r>
        <w:instrText xml:space="preserve"> PAGEREF _Toc532543400 \h </w:instrText>
      </w:r>
      <w:r>
        <w:fldChar w:fldCharType="separate"/>
      </w:r>
      <w:r>
        <w:t>13</w:t>
      </w:r>
      <w:r>
        <w:fldChar w:fldCharType="end"/>
      </w:r>
    </w:p>
    <w:p w14:paraId="7F7F3811" w14:textId="185B340D" w:rsidR="006123EF" w:rsidRDefault="006123EF">
      <w:pPr>
        <w:pStyle w:val="TOC2"/>
        <w:rPr>
          <w:rFonts w:asciiTheme="minorHAnsi" w:eastAsiaTheme="minorEastAsia" w:hAnsiTheme="minorHAnsi" w:cstheme="minorBidi"/>
          <w:spacing w:val="0"/>
          <w:sz w:val="22"/>
          <w:szCs w:val="22"/>
        </w:rPr>
      </w:pPr>
      <w:r>
        <w:t>3.3</w:t>
      </w:r>
      <w:r>
        <w:rPr>
          <w:rFonts w:asciiTheme="minorHAnsi" w:eastAsiaTheme="minorEastAsia" w:hAnsiTheme="minorHAnsi" w:cstheme="minorBidi"/>
          <w:spacing w:val="0"/>
          <w:sz w:val="22"/>
          <w:szCs w:val="22"/>
        </w:rPr>
        <w:tab/>
      </w:r>
      <w:r>
        <w:t>Determination of cost component for the ITU activity</w:t>
      </w:r>
      <w:r>
        <w:tab/>
      </w:r>
      <w:r>
        <w:fldChar w:fldCharType="begin"/>
      </w:r>
      <w:r>
        <w:instrText xml:space="preserve"> PAGEREF _Toc532543401 \h </w:instrText>
      </w:r>
      <w:r>
        <w:fldChar w:fldCharType="separate"/>
      </w:r>
      <w:r>
        <w:t>15</w:t>
      </w:r>
      <w:r>
        <w:fldChar w:fldCharType="end"/>
      </w:r>
    </w:p>
    <w:p w14:paraId="4E96E414" w14:textId="2715FF36" w:rsidR="006123EF" w:rsidRDefault="006123EF">
      <w:pPr>
        <w:pStyle w:val="TOC3"/>
        <w:tabs>
          <w:tab w:val="left" w:pos="885"/>
        </w:tabs>
        <w:rPr>
          <w:rFonts w:asciiTheme="minorHAnsi" w:eastAsiaTheme="minorEastAsia" w:hAnsiTheme="minorHAnsi" w:cstheme="minorBidi"/>
        </w:rPr>
      </w:pPr>
      <w:r>
        <w:t>3.3.1</w:t>
      </w:r>
      <w:r>
        <w:rPr>
          <w:rFonts w:asciiTheme="minorHAnsi" w:eastAsiaTheme="minorEastAsia" w:hAnsiTheme="minorHAnsi" w:cstheme="minorBidi"/>
        </w:rPr>
        <w:tab/>
      </w:r>
      <w:r>
        <w:t>Outputs and business processes of the activity</w:t>
      </w:r>
      <w:r>
        <w:tab/>
      </w:r>
      <w:r>
        <w:fldChar w:fldCharType="begin"/>
      </w:r>
      <w:r>
        <w:instrText xml:space="preserve"> PAGEREF _Toc532543402 \h </w:instrText>
      </w:r>
      <w:r>
        <w:fldChar w:fldCharType="separate"/>
      </w:r>
      <w:r>
        <w:t>15</w:t>
      </w:r>
      <w:r>
        <w:fldChar w:fldCharType="end"/>
      </w:r>
    </w:p>
    <w:p w14:paraId="0DB8AF81" w14:textId="15172687" w:rsidR="006123EF" w:rsidRDefault="006123EF">
      <w:pPr>
        <w:pStyle w:val="TOC3"/>
        <w:tabs>
          <w:tab w:val="left" w:pos="885"/>
        </w:tabs>
        <w:rPr>
          <w:rFonts w:asciiTheme="minorHAnsi" w:eastAsiaTheme="minorEastAsia" w:hAnsiTheme="minorHAnsi" w:cstheme="minorBidi"/>
        </w:rPr>
      </w:pPr>
      <w:r>
        <w:t>3.3.2</w:t>
      </w:r>
      <w:r>
        <w:rPr>
          <w:rFonts w:asciiTheme="minorHAnsi" w:eastAsiaTheme="minorEastAsia" w:hAnsiTheme="minorHAnsi" w:cstheme="minorBidi"/>
        </w:rPr>
        <w:tab/>
      </w:r>
      <w:r>
        <w:t>Costs of the activity</w:t>
      </w:r>
      <w:r>
        <w:tab/>
      </w:r>
      <w:r>
        <w:fldChar w:fldCharType="begin"/>
      </w:r>
      <w:r>
        <w:instrText xml:space="preserve"> PAGEREF _Toc532543403 \h </w:instrText>
      </w:r>
      <w:r>
        <w:fldChar w:fldCharType="separate"/>
      </w:r>
      <w:r>
        <w:t>16</w:t>
      </w:r>
      <w:r>
        <w:fldChar w:fldCharType="end"/>
      </w:r>
    </w:p>
    <w:p w14:paraId="0131B259" w14:textId="050F493F" w:rsidR="006123EF" w:rsidRDefault="006123EF">
      <w:pPr>
        <w:pStyle w:val="TOC2"/>
        <w:rPr>
          <w:rFonts w:asciiTheme="minorHAnsi" w:eastAsiaTheme="minorEastAsia" w:hAnsiTheme="minorHAnsi" w:cstheme="minorBidi"/>
          <w:spacing w:val="0"/>
          <w:sz w:val="22"/>
          <w:szCs w:val="22"/>
        </w:rPr>
      </w:pPr>
      <w:r>
        <w:t>3.4</w:t>
      </w:r>
      <w:r>
        <w:rPr>
          <w:rFonts w:asciiTheme="minorHAnsi" w:eastAsiaTheme="minorEastAsia" w:hAnsiTheme="minorHAnsi" w:cstheme="minorBidi"/>
          <w:spacing w:val="0"/>
          <w:sz w:val="22"/>
          <w:szCs w:val="22"/>
        </w:rPr>
        <w:tab/>
      </w:r>
      <w:r>
        <w:t>Determination of cost component for the development or variation of consumer protection codes</w:t>
      </w:r>
      <w:r>
        <w:tab/>
      </w:r>
      <w:r>
        <w:fldChar w:fldCharType="begin"/>
      </w:r>
      <w:r>
        <w:instrText xml:space="preserve"> PAGEREF _Toc532543404 \h </w:instrText>
      </w:r>
      <w:r>
        <w:fldChar w:fldCharType="separate"/>
      </w:r>
      <w:r>
        <w:t>17</w:t>
      </w:r>
      <w:r>
        <w:fldChar w:fldCharType="end"/>
      </w:r>
    </w:p>
    <w:p w14:paraId="6A93A292" w14:textId="47DBED8A" w:rsidR="006123EF" w:rsidRDefault="006123EF">
      <w:pPr>
        <w:pStyle w:val="TOC3"/>
        <w:tabs>
          <w:tab w:val="left" w:pos="885"/>
        </w:tabs>
        <w:rPr>
          <w:rFonts w:asciiTheme="minorHAnsi" w:eastAsiaTheme="minorEastAsia" w:hAnsiTheme="minorHAnsi" w:cstheme="minorBidi"/>
        </w:rPr>
      </w:pPr>
      <w:r>
        <w:t>3.4.1</w:t>
      </w:r>
      <w:r>
        <w:rPr>
          <w:rFonts w:asciiTheme="minorHAnsi" w:eastAsiaTheme="minorEastAsia" w:hAnsiTheme="minorHAnsi" w:cstheme="minorBidi"/>
        </w:rPr>
        <w:tab/>
      </w:r>
      <w:r>
        <w:t>Outputs and business processes of the activity</w:t>
      </w:r>
      <w:r>
        <w:tab/>
      </w:r>
      <w:r>
        <w:fldChar w:fldCharType="begin"/>
      </w:r>
      <w:r>
        <w:instrText xml:space="preserve"> PAGEREF _Toc532543405 \h </w:instrText>
      </w:r>
      <w:r>
        <w:fldChar w:fldCharType="separate"/>
      </w:r>
      <w:r>
        <w:t>17</w:t>
      </w:r>
      <w:r>
        <w:fldChar w:fldCharType="end"/>
      </w:r>
    </w:p>
    <w:p w14:paraId="3CD0BB9E" w14:textId="30446850" w:rsidR="006123EF" w:rsidRDefault="006123EF">
      <w:pPr>
        <w:pStyle w:val="TOC3"/>
        <w:tabs>
          <w:tab w:val="left" w:pos="885"/>
        </w:tabs>
        <w:rPr>
          <w:rFonts w:asciiTheme="minorHAnsi" w:eastAsiaTheme="minorEastAsia" w:hAnsiTheme="minorHAnsi" w:cstheme="minorBidi"/>
        </w:rPr>
      </w:pPr>
      <w:r>
        <w:t>3.4.2</w:t>
      </w:r>
      <w:r>
        <w:rPr>
          <w:rFonts w:asciiTheme="minorHAnsi" w:eastAsiaTheme="minorEastAsia" w:hAnsiTheme="minorHAnsi" w:cstheme="minorBidi"/>
        </w:rPr>
        <w:tab/>
      </w:r>
      <w:r>
        <w:t>Costs of the activity</w:t>
      </w:r>
      <w:r>
        <w:tab/>
      </w:r>
      <w:r>
        <w:fldChar w:fldCharType="begin"/>
      </w:r>
      <w:r>
        <w:instrText xml:space="preserve"> PAGEREF _Toc532543406 \h </w:instrText>
      </w:r>
      <w:r>
        <w:fldChar w:fldCharType="separate"/>
      </w:r>
      <w:r>
        <w:t>18</w:t>
      </w:r>
      <w:r>
        <w:fldChar w:fldCharType="end"/>
      </w:r>
    </w:p>
    <w:p w14:paraId="2EBA7604" w14:textId="4D97B4E1" w:rsidR="006123EF" w:rsidRDefault="006123EF">
      <w:pPr>
        <w:pStyle w:val="TOC2"/>
        <w:rPr>
          <w:rFonts w:asciiTheme="minorHAnsi" w:eastAsiaTheme="minorEastAsia" w:hAnsiTheme="minorHAnsi" w:cstheme="minorBidi"/>
          <w:spacing w:val="0"/>
          <w:sz w:val="22"/>
          <w:szCs w:val="22"/>
        </w:rPr>
      </w:pPr>
      <w:r>
        <w:t>3.5</w:t>
      </w:r>
      <w:r>
        <w:rPr>
          <w:rFonts w:asciiTheme="minorHAnsi" w:eastAsiaTheme="minorEastAsia" w:hAnsiTheme="minorHAnsi" w:cstheme="minorBidi"/>
          <w:spacing w:val="0"/>
          <w:sz w:val="22"/>
          <w:szCs w:val="22"/>
        </w:rPr>
        <w:tab/>
      </w:r>
      <w:r>
        <w:t>Determination of cost component for government grant for consumer representation program</w:t>
      </w:r>
      <w:r>
        <w:tab/>
      </w:r>
      <w:r>
        <w:fldChar w:fldCharType="begin"/>
      </w:r>
      <w:r>
        <w:instrText xml:space="preserve"> PAGEREF _Toc532543407 \h </w:instrText>
      </w:r>
      <w:r>
        <w:fldChar w:fldCharType="separate"/>
      </w:r>
      <w:r>
        <w:t>18</w:t>
      </w:r>
      <w:r>
        <w:fldChar w:fldCharType="end"/>
      </w:r>
    </w:p>
    <w:p w14:paraId="424E3438" w14:textId="4B3D553D" w:rsidR="006123EF" w:rsidRDefault="006123EF">
      <w:pPr>
        <w:pStyle w:val="TOC3"/>
        <w:tabs>
          <w:tab w:val="left" w:pos="885"/>
        </w:tabs>
        <w:rPr>
          <w:rFonts w:asciiTheme="minorHAnsi" w:eastAsiaTheme="minorEastAsia" w:hAnsiTheme="minorHAnsi" w:cstheme="minorBidi"/>
        </w:rPr>
      </w:pPr>
      <w:r>
        <w:t>3.5.1</w:t>
      </w:r>
      <w:r>
        <w:rPr>
          <w:rFonts w:asciiTheme="minorHAnsi" w:eastAsiaTheme="minorEastAsia" w:hAnsiTheme="minorHAnsi" w:cstheme="minorBidi"/>
        </w:rPr>
        <w:tab/>
      </w:r>
      <w:r>
        <w:t>Outputs and business processes of the activity</w:t>
      </w:r>
      <w:r>
        <w:tab/>
      </w:r>
      <w:r>
        <w:fldChar w:fldCharType="begin"/>
      </w:r>
      <w:r>
        <w:instrText xml:space="preserve"> PAGEREF _Toc532543408 \h </w:instrText>
      </w:r>
      <w:r>
        <w:fldChar w:fldCharType="separate"/>
      </w:r>
      <w:r>
        <w:t>18</w:t>
      </w:r>
      <w:r>
        <w:fldChar w:fldCharType="end"/>
      </w:r>
    </w:p>
    <w:p w14:paraId="4D362E19" w14:textId="288E3E9D" w:rsidR="006123EF" w:rsidRDefault="006123EF">
      <w:pPr>
        <w:pStyle w:val="TOC3"/>
        <w:tabs>
          <w:tab w:val="left" w:pos="885"/>
        </w:tabs>
        <w:rPr>
          <w:rFonts w:asciiTheme="minorHAnsi" w:eastAsiaTheme="minorEastAsia" w:hAnsiTheme="minorHAnsi" w:cstheme="minorBidi"/>
        </w:rPr>
      </w:pPr>
      <w:r>
        <w:t>3.5.2</w:t>
      </w:r>
      <w:r>
        <w:rPr>
          <w:rFonts w:asciiTheme="minorHAnsi" w:eastAsiaTheme="minorEastAsia" w:hAnsiTheme="minorHAnsi" w:cstheme="minorBidi"/>
        </w:rPr>
        <w:tab/>
      </w:r>
      <w:r>
        <w:t>Costs of the activity</w:t>
      </w:r>
      <w:r>
        <w:tab/>
      </w:r>
      <w:r>
        <w:fldChar w:fldCharType="begin"/>
      </w:r>
      <w:r>
        <w:instrText xml:space="preserve"> PAGEREF _Toc532543409 \h </w:instrText>
      </w:r>
      <w:r>
        <w:fldChar w:fldCharType="separate"/>
      </w:r>
      <w:r>
        <w:t>18</w:t>
      </w:r>
      <w:r>
        <w:fldChar w:fldCharType="end"/>
      </w:r>
    </w:p>
    <w:p w14:paraId="3293422F" w14:textId="33725385" w:rsidR="006123EF" w:rsidRDefault="006123EF">
      <w:pPr>
        <w:pStyle w:val="TOC2"/>
        <w:rPr>
          <w:rFonts w:asciiTheme="minorHAnsi" w:eastAsiaTheme="minorEastAsia" w:hAnsiTheme="minorHAnsi" w:cstheme="minorBidi"/>
          <w:spacing w:val="0"/>
          <w:sz w:val="22"/>
          <w:szCs w:val="22"/>
        </w:rPr>
      </w:pPr>
      <w:r>
        <w:t>3.6</w:t>
      </w:r>
      <w:r>
        <w:rPr>
          <w:rFonts w:asciiTheme="minorHAnsi" w:eastAsiaTheme="minorEastAsia" w:hAnsiTheme="minorHAnsi" w:cstheme="minorBidi"/>
          <w:spacing w:val="0"/>
          <w:sz w:val="22"/>
          <w:szCs w:val="22"/>
        </w:rPr>
        <w:tab/>
      </w:r>
      <w:r>
        <w:t>Design of cost recovery charges</w:t>
      </w:r>
      <w:r>
        <w:tab/>
      </w:r>
      <w:r>
        <w:fldChar w:fldCharType="begin"/>
      </w:r>
      <w:r>
        <w:instrText xml:space="preserve"> PAGEREF _Toc532543410 \h </w:instrText>
      </w:r>
      <w:r>
        <w:fldChar w:fldCharType="separate"/>
      </w:r>
      <w:r>
        <w:t>19</w:t>
      </w:r>
      <w:r>
        <w:fldChar w:fldCharType="end"/>
      </w:r>
    </w:p>
    <w:p w14:paraId="565EDB64" w14:textId="23D982E6" w:rsidR="006123EF" w:rsidRDefault="006123EF">
      <w:pPr>
        <w:pStyle w:val="TOC1"/>
        <w:tabs>
          <w:tab w:val="left" w:pos="885"/>
        </w:tabs>
        <w:rPr>
          <w:rFonts w:asciiTheme="minorHAnsi" w:eastAsiaTheme="minorEastAsia" w:hAnsiTheme="minorHAnsi" w:cstheme="minorBidi"/>
          <w:b w:val="0"/>
          <w:spacing w:val="0"/>
          <w:sz w:val="22"/>
          <w:szCs w:val="22"/>
        </w:rPr>
      </w:pPr>
      <w:r>
        <w:t xml:space="preserve">4. </w:t>
      </w:r>
      <w:r>
        <w:rPr>
          <w:rFonts w:asciiTheme="minorHAnsi" w:eastAsiaTheme="minorEastAsia" w:hAnsiTheme="minorHAnsi" w:cstheme="minorBidi"/>
          <w:b w:val="0"/>
          <w:spacing w:val="0"/>
          <w:sz w:val="22"/>
          <w:szCs w:val="22"/>
        </w:rPr>
        <w:tab/>
      </w:r>
      <w:r>
        <w:t>Risk assessment</w:t>
      </w:r>
      <w:r>
        <w:tab/>
      </w:r>
      <w:r>
        <w:fldChar w:fldCharType="begin"/>
      </w:r>
      <w:r>
        <w:instrText xml:space="preserve"> PAGEREF _Toc532543411 \h </w:instrText>
      </w:r>
      <w:r>
        <w:fldChar w:fldCharType="separate"/>
      </w:r>
      <w:r>
        <w:t>21</w:t>
      </w:r>
      <w:r>
        <w:fldChar w:fldCharType="end"/>
      </w:r>
    </w:p>
    <w:p w14:paraId="10136EC3" w14:textId="3334493F" w:rsidR="006123EF" w:rsidRDefault="006123EF">
      <w:pPr>
        <w:pStyle w:val="TOC1"/>
        <w:tabs>
          <w:tab w:val="left" w:pos="885"/>
        </w:tabs>
        <w:rPr>
          <w:rFonts w:asciiTheme="minorHAnsi" w:eastAsiaTheme="minorEastAsia" w:hAnsiTheme="minorHAnsi" w:cstheme="minorBidi"/>
          <w:b w:val="0"/>
          <w:spacing w:val="0"/>
          <w:sz w:val="22"/>
          <w:szCs w:val="22"/>
        </w:rPr>
      </w:pPr>
      <w:r>
        <w:t xml:space="preserve">5. </w:t>
      </w:r>
      <w:r>
        <w:rPr>
          <w:rFonts w:asciiTheme="minorHAnsi" w:eastAsiaTheme="minorEastAsia" w:hAnsiTheme="minorHAnsi" w:cstheme="minorBidi"/>
          <w:b w:val="0"/>
          <w:spacing w:val="0"/>
          <w:sz w:val="22"/>
          <w:szCs w:val="22"/>
        </w:rPr>
        <w:tab/>
      </w:r>
      <w:r>
        <w:t>Stakeholder engagement</w:t>
      </w:r>
      <w:r>
        <w:tab/>
      </w:r>
      <w:r>
        <w:fldChar w:fldCharType="begin"/>
      </w:r>
      <w:r>
        <w:instrText xml:space="preserve"> PAGEREF _Toc532543412 \h </w:instrText>
      </w:r>
      <w:r>
        <w:fldChar w:fldCharType="separate"/>
      </w:r>
      <w:r>
        <w:t>22</w:t>
      </w:r>
      <w:r>
        <w:fldChar w:fldCharType="end"/>
      </w:r>
    </w:p>
    <w:p w14:paraId="548CE3BD" w14:textId="572B0840" w:rsidR="006123EF" w:rsidRDefault="006123EF">
      <w:pPr>
        <w:pStyle w:val="TOC1"/>
        <w:tabs>
          <w:tab w:val="left" w:pos="885"/>
        </w:tabs>
        <w:rPr>
          <w:rFonts w:asciiTheme="minorHAnsi" w:eastAsiaTheme="minorEastAsia" w:hAnsiTheme="minorHAnsi" w:cstheme="minorBidi"/>
          <w:b w:val="0"/>
          <w:spacing w:val="0"/>
          <w:sz w:val="22"/>
          <w:szCs w:val="22"/>
        </w:rPr>
      </w:pPr>
      <w:r>
        <w:t xml:space="preserve">6. </w:t>
      </w:r>
      <w:r>
        <w:rPr>
          <w:rFonts w:asciiTheme="minorHAnsi" w:eastAsiaTheme="minorEastAsia" w:hAnsiTheme="minorHAnsi" w:cstheme="minorBidi"/>
          <w:b w:val="0"/>
          <w:spacing w:val="0"/>
          <w:sz w:val="22"/>
          <w:szCs w:val="22"/>
        </w:rPr>
        <w:tab/>
      </w:r>
      <w:r>
        <w:t>Financial estimates</w:t>
      </w:r>
      <w:r>
        <w:tab/>
      </w:r>
      <w:r>
        <w:fldChar w:fldCharType="begin"/>
      </w:r>
      <w:r>
        <w:instrText xml:space="preserve"> PAGEREF _Toc532543413 \h </w:instrText>
      </w:r>
      <w:r>
        <w:fldChar w:fldCharType="separate"/>
      </w:r>
      <w:r>
        <w:t>23</w:t>
      </w:r>
      <w:r>
        <w:fldChar w:fldCharType="end"/>
      </w:r>
    </w:p>
    <w:p w14:paraId="3C09ACA4" w14:textId="226A3F9B" w:rsidR="006123EF" w:rsidRDefault="006123EF">
      <w:pPr>
        <w:pStyle w:val="TOC1"/>
        <w:tabs>
          <w:tab w:val="left" w:pos="885"/>
        </w:tabs>
        <w:rPr>
          <w:rFonts w:asciiTheme="minorHAnsi" w:eastAsiaTheme="minorEastAsia" w:hAnsiTheme="minorHAnsi" w:cstheme="minorBidi"/>
          <w:b w:val="0"/>
          <w:spacing w:val="0"/>
          <w:sz w:val="22"/>
          <w:szCs w:val="22"/>
        </w:rPr>
      </w:pPr>
      <w:r>
        <w:lastRenderedPageBreak/>
        <w:t xml:space="preserve">7A. </w:t>
      </w:r>
      <w:r>
        <w:rPr>
          <w:rFonts w:asciiTheme="minorHAnsi" w:eastAsiaTheme="minorEastAsia" w:hAnsiTheme="minorHAnsi" w:cstheme="minorBidi"/>
          <w:b w:val="0"/>
          <w:spacing w:val="0"/>
          <w:sz w:val="22"/>
          <w:szCs w:val="22"/>
        </w:rPr>
        <w:tab/>
      </w:r>
      <w:r>
        <w:t>Financial performance</w:t>
      </w:r>
      <w:r>
        <w:tab/>
      </w:r>
      <w:r>
        <w:fldChar w:fldCharType="begin"/>
      </w:r>
      <w:r>
        <w:instrText xml:space="preserve"> PAGEREF _Toc532543414 \h </w:instrText>
      </w:r>
      <w:r>
        <w:fldChar w:fldCharType="separate"/>
      </w:r>
      <w:r>
        <w:t>25</w:t>
      </w:r>
      <w:r>
        <w:fldChar w:fldCharType="end"/>
      </w:r>
    </w:p>
    <w:p w14:paraId="5A30E765" w14:textId="02276202" w:rsidR="006123EF" w:rsidRDefault="006123EF">
      <w:pPr>
        <w:pStyle w:val="TOC1"/>
        <w:tabs>
          <w:tab w:val="left" w:pos="885"/>
        </w:tabs>
        <w:rPr>
          <w:rFonts w:asciiTheme="minorHAnsi" w:eastAsiaTheme="minorEastAsia" w:hAnsiTheme="minorHAnsi" w:cstheme="minorBidi"/>
          <w:b w:val="0"/>
          <w:spacing w:val="0"/>
          <w:sz w:val="22"/>
          <w:szCs w:val="22"/>
        </w:rPr>
      </w:pPr>
      <w:r>
        <w:t xml:space="preserve">7B. </w:t>
      </w:r>
      <w:r>
        <w:rPr>
          <w:rFonts w:asciiTheme="minorHAnsi" w:eastAsiaTheme="minorEastAsia" w:hAnsiTheme="minorHAnsi" w:cstheme="minorBidi"/>
          <w:b w:val="0"/>
          <w:spacing w:val="0"/>
          <w:sz w:val="22"/>
          <w:szCs w:val="22"/>
        </w:rPr>
        <w:tab/>
      </w:r>
      <w:r>
        <w:t>Non-financial performance</w:t>
      </w:r>
      <w:r>
        <w:tab/>
      </w:r>
      <w:r>
        <w:fldChar w:fldCharType="begin"/>
      </w:r>
      <w:r>
        <w:instrText xml:space="preserve"> PAGEREF _Toc532543415 \h </w:instrText>
      </w:r>
      <w:r>
        <w:fldChar w:fldCharType="separate"/>
      </w:r>
      <w:r>
        <w:t>27</w:t>
      </w:r>
      <w:r>
        <w:fldChar w:fldCharType="end"/>
      </w:r>
    </w:p>
    <w:p w14:paraId="2129E309" w14:textId="2732893A" w:rsidR="006123EF" w:rsidRDefault="006123EF">
      <w:pPr>
        <w:pStyle w:val="TOC2"/>
        <w:rPr>
          <w:rFonts w:asciiTheme="minorHAnsi" w:eastAsiaTheme="minorEastAsia" w:hAnsiTheme="minorHAnsi" w:cstheme="minorBidi"/>
          <w:spacing w:val="0"/>
          <w:sz w:val="22"/>
          <w:szCs w:val="22"/>
        </w:rPr>
      </w:pPr>
      <w:r>
        <w:t>ACMA’s cost component</w:t>
      </w:r>
      <w:r>
        <w:tab/>
      </w:r>
      <w:r>
        <w:fldChar w:fldCharType="begin"/>
      </w:r>
      <w:r>
        <w:instrText xml:space="preserve"> PAGEREF _Toc532543416 \h </w:instrText>
      </w:r>
      <w:r>
        <w:fldChar w:fldCharType="separate"/>
      </w:r>
      <w:r>
        <w:t>27</w:t>
      </w:r>
      <w:r>
        <w:fldChar w:fldCharType="end"/>
      </w:r>
    </w:p>
    <w:p w14:paraId="5EF7A5D6" w14:textId="11D18693" w:rsidR="006123EF" w:rsidRDefault="006123EF">
      <w:pPr>
        <w:pStyle w:val="TOC2"/>
        <w:rPr>
          <w:rFonts w:asciiTheme="minorHAnsi" w:eastAsiaTheme="minorEastAsia" w:hAnsiTheme="minorHAnsi" w:cstheme="minorBidi"/>
          <w:spacing w:val="0"/>
          <w:sz w:val="22"/>
          <w:szCs w:val="22"/>
        </w:rPr>
      </w:pPr>
      <w:r>
        <w:t>ACCC’s cost component</w:t>
      </w:r>
      <w:r>
        <w:tab/>
      </w:r>
      <w:r>
        <w:fldChar w:fldCharType="begin"/>
      </w:r>
      <w:r>
        <w:instrText xml:space="preserve"> PAGEREF _Toc532543417 \h </w:instrText>
      </w:r>
      <w:r>
        <w:fldChar w:fldCharType="separate"/>
      </w:r>
      <w:r>
        <w:t>27</w:t>
      </w:r>
      <w:r>
        <w:fldChar w:fldCharType="end"/>
      </w:r>
    </w:p>
    <w:p w14:paraId="5DA1ED37" w14:textId="616C2319" w:rsidR="006123EF" w:rsidRDefault="006123EF">
      <w:pPr>
        <w:pStyle w:val="TOC2"/>
        <w:rPr>
          <w:rFonts w:asciiTheme="minorHAnsi" w:eastAsiaTheme="minorEastAsia" w:hAnsiTheme="minorHAnsi" w:cstheme="minorBidi"/>
          <w:spacing w:val="0"/>
          <w:sz w:val="22"/>
          <w:szCs w:val="22"/>
        </w:rPr>
      </w:pPr>
      <w:r>
        <w:t>ITU contribution</w:t>
      </w:r>
      <w:r>
        <w:tab/>
      </w:r>
      <w:r>
        <w:fldChar w:fldCharType="begin"/>
      </w:r>
      <w:r>
        <w:instrText xml:space="preserve"> PAGEREF _Toc532543418 \h </w:instrText>
      </w:r>
      <w:r>
        <w:fldChar w:fldCharType="separate"/>
      </w:r>
      <w:r>
        <w:t>28</w:t>
      </w:r>
      <w:r>
        <w:fldChar w:fldCharType="end"/>
      </w:r>
    </w:p>
    <w:p w14:paraId="28163518" w14:textId="772E0EF1" w:rsidR="006123EF" w:rsidRDefault="006123EF">
      <w:pPr>
        <w:pStyle w:val="TOC2"/>
        <w:rPr>
          <w:rFonts w:asciiTheme="minorHAnsi" w:eastAsiaTheme="minorEastAsia" w:hAnsiTheme="minorHAnsi" w:cstheme="minorBidi"/>
          <w:spacing w:val="0"/>
          <w:sz w:val="22"/>
          <w:szCs w:val="22"/>
        </w:rPr>
      </w:pPr>
      <w:r>
        <w:t>Government grants—consumer representation and research</w:t>
      </w:r>
      <w:r>
        <w:tab/>
      </w:r>
      <w:r>
        <w:fldChar w:fldCharType="begin"/>
      </w:r>
      <w:r>
        <w:instrText xml:space="preserve"> PAGEREF _Toc532543419 \h </w:instrText>
      </w:r>
      <w:r>
        <w:fldChar w:fldCharType="separate"/>
      </w:r>
      <w:r>
        <w:t>28</w:t>
      </w:r>
      <w:r>
        <w:fldChar w:fldCharType="end"/>
      </w:r>
    </w:p>
    <w:p w14:paraId="76FF9296" w14:textId="59577C0D" w:rsidR="006123EF" w:rsidRDefault="006123EF">
      <w:pPr>
        <w:pStyle w:val="TOC1"/>
        <w:tabs>
          <w:tab w:val="left" w:pos="885"/>
        </w:tabs>
        <w:rPr>
          <w:rFonts w:asciiTheme="minorHAnsi" w:eastAsiaTheme="minorEastAsia" w:hAnsiTheme="minorHAnsi" w:cstheme="minorBidi"/>
          <w:b w:val="0"/>
          <w:spacing w:val="0"/>
          <w:sz w:val="22"/>
          <w:szCs w:val="22"/>
        </w:rPr>
      </w:pPr>
      <w:r>
        <w:t>8.</w:t>
      </w:r>
      <w:r>
        <w:rPr>
          <w:rFonts w:asciiTheme="minorHAnsi" w:eastAsiaTheme="minorEastAsia" w:hAnsiTheme="minorHAnsi" w:cstheme="minorBidi"/>
          <w:b w:val="0"/>
          <w:spacing w:val="0"/>
          <w:sz w:val="22"/>
          <w:szCs w:val="22"/>
        </w:rPr>
        <w:tab/>
      </w:r>
      <w:r>
        <w:t>Key forward dates and events</w:t>
      </w:r>
      <w:r>
        <w:tab/>
      </w:r>
      <w:r>
        <w:fldChar w:fldCharType="begin"/>
      </w:r>
      <w:r>
        <w:instrText xml:space="preserve"> PAGEREF _Toc532543420 \h </w:instrText>
      </w:r>
      <w:r>
        <w:fldChar w:fldCharType="separate"/>
      </w:r>
      <w:r>
        <w:t>29</w:t>
      </w:r>
      <w:r>
        <w:fldChar w:fldCharType="end"/>
      </w:r>
    </w:p>
    <w:p w14:paraId="45A77F86" w14:textId="5BE60FD0" w:rsidR="006123EF" w:rsidRDefault="006123EF">
      <w:pPr>
        <w:pStyle w:val="TOC1"/>
        <w:tabs>
          <w:tab w:val="left" w:pos="885"/>
        </w:tabs>
        <w:rPr>
          <w:rFonts w:asciiTheme="minorHAnsi" w:eastAsiaTheme="minorEastAsia" w:hAnsiTheme="minorHAnsi" w:cstheme="minorBidi"/>
          <w:b w:val="0"/>
          <w:spacing w:val="0"/>
          <w:sz w:val="22"/>
          <w:szCs w:val="22"/>
        </w:rPr>
      </w:pPr>
      <w:r>
        <w:t xml:space="preserve">9. </w:t>
      </w:r>
      <w:r>
        <w:rPr>
          <w:rFonts w:asciiTheme="minorHAnsi" w:eastAsiaTheme="minorEastAsia" w:hAnsiTheme="minorHAnsi" w:cstheme="minorBidi"/>
          <w:b w:val="0"/>
          <w:spacing w:val="0"/>
          <w:sz w:val="22"/>
          <w:szCs w:val="22"/>
        </w:rPr>
        <w:tab/>
      </w:r>
      <w:r>
        <w:t>CRIS approval and change register</w:t>
      </w:r>
      <w:r>
        <w:tab/>
      </w:r>
      <w:r>
        <w:fldChar w:fldCharType="begin"/>
      </w:r>
      <w:r>
        <w:instrText xml:space="preserve"> PAGEREF _Toc532543421 \h </w:instrText>
      </w:r>
      <w:r>
        <w:fldChar w:fldCharType="separate"/>
      </w:r>
      <w:r>
        <w:t>30</w:t>
      </w:r>
      <w:r>
        <w:fldChar w:fldCharType="end"/>
      </w:r>
    </w:p>
    <w:p w14:paraId="45D41B69" w14:textId="72D2D513" w:rsidR="006123EF" w:rsidRDefault="006123EF">
      <w:pPr>
        <w:pStyle w:val="TOC1"/>
        <w:rPr>
          <w:rFonts w:asciiTheme="minorHAnsi" w:eastAsiaTheme="minorEastAsia" w:hAnsiTheme="minorHAnsi" w:cstheme="minorBidi"/>
          <w:b w:val="0"/>
          <w:spacing w:val="0"/>
          <w:sz w:val="22"/>
          <w:szCs w:val="22"/>
        </w:rPr>
      </w:pPr>
      <w:r>
        <w:t>Attachment A: Telecommunications activities not included in the ACLC</w:t>
      </w:r>
      <w:r>
        <w:tab/>
      </w:r>
      <w:r>
        <w:fldChar w:fldCharType="begin"/>
      </w:r>
      <w:r>
        <w:instrText xml:space="preserve"> PAGEREF _Toc532543422 \h </w:instrText>
      </w:r>
      <w:r>
        <w:fldChar w:fldCharType="separate"/>
      </w:r>
      <w:r>
        <w:t>31</w:t>
      </w:r>
      <w:r>
        <w:fldChar w:fldCharType="end"/>
      </w:r>
    </w:p>
    <w:p w14:paraId="752C5BEA" w14:textId="36AF9B89" w:rsidR="006123EF" w:rsidRDefault="006123EF">
      <w:pPr>
        <w:pStyle w:val="TOC1"/>
        <w:rPr>
          <w:rFonts w:asciiTheme="minorHAnsi" w:eastAsiaTheme="minorEastAsia" w:hAnsiTheme="minorHAnsi" w:cstheme="minorBidi"/>
          <w:b w:val="0"/>
          <w:spacing w:val="0"/>
          <w:sz w:val="22"/>
          <w:szCs w:val="22"/>
        </w:rPr>
      </w:pPr>
      <w:r>
        <w:t>Attachment B: Cost Recovery Implementation Statement—Addendum: Measuring Broadband Australia program</w:t>
      </w:r>
      <w:r>
        <w:tab/>
      </w:r>
      <w:r>
        <w:fldChar w:fldCharType="begin"/>
      </w:r>
      <w:r>
        <w:instrText xml:space="preserve"> PAGEREF _Toc532543423 \h </w:instrText>
      </w:r>
      <w:r>
        <w:fldChar w:fldCharType="separate"/>
      </w:r>
      <w:r>
        <w:t>32</w:t>
      </w:r>
      <w:r>
        <w:fldChar w:fldCharType="end"/>
      </w:r>
    </w:p>
    <w:p w14:paraId="41CF18DE" w14:textId="4C52714C" w:rsidR="006123EF" w:rsidRDefault="006123EF">
      <w:pPr>
        <w:pStyle w:val="TOC1"/>
        <w:tabs>
          <w:tab w:val="left" w:pos="885"/>
        </w:tabs>
        <w:rPr>
          <w:rFonts w:asciiTheme="minorHAnsi" w:eastAsiaTheme="minorEastAsia" w:hAnsiTheme="minorHAnsi" w:cstheme="minorBidi"/>
          <w:b w:val="0"/>
          <w:spacing w:val="0"/>
          <w:sz w:val="22"/>
          <w:szCs w:val="22"/>
        </w:rPr>
      </w:pPr>
      <w:r>
        <w:t xml:space="preserve">1. </w:t>
      </w:r>
      <w:r>
        <w:rPr>
          <w:rFonts w:asciiTheme="minorHAnsi" w:eastAsiaTheme="minorEastAsia" w:hAnsiTheme="minorHAnsi" w:cstheme="minorBidi"/>
          <w:b w:val="0"/>
          <w:spacing w:val="0"/>
          <w:sz w:val="22"/>
          <w:szCs w:val="22"/>
        </w:rPr>
        <w:tab/>
      </w:r>
      <w:r>
        <w:t>Introduction</w:t>
      </w:r>
      <w:r>
        <w:tab/>
      </w:r>
      <w:r>
        <w:fldChar w:fldCharType="begin"/>
      </w:r>
      <w:r>
        <w:instrText xml:space="preserve"> PAGEREF _Toc532543424 \h </w:instrText>
      </w:r>
      <w:r>
        <w:fldChar w:fldCharType="separate"/>
      </w:r>
      <w:r>
        <w:t>33</w:t>
      </w:r>
      <w:r>
        <w:fldChar w:fldCharType="end"/>
      </w:r>
    </w:p>
    <w:p w14:paraId="40F9D60A" w14:textId="03D010D3" w:rsidR="006123EF" w:rsidRDefault="006123EF">
      <w:pPr>
        <w:pStyle w:val="TOC2"/>
        <w:rPr>
          <w:rFonts w:asciiTheme="minorHAnsi" w:eastAsiaTheme="minorEastAsia" w:hAnsiTheme="minorHAnsi" w:cstheme="minorBidi"/>
          <w:spacing w:val="0"/>
          <w:sz w:val="22"/>
          <w:szCs w:val="22"/>
        </w:rPr>
      </w:pPr>
      <w:r>
        <w:t xml:space="preserve">1.1 </w:t>
      </w:r>
      <w:r>
        <w:rPr>
          <w:rFonts w:asciiTheme="minorHAnsi" w:eastAsiaTheme="minorEastAsia" w:hAnsiTheme="minorHAnsi" w:cstheme="minorBidi"/>
          <w:spacing w:val="0"/>
          <w:sz w:val="22"/>
          <w:szCs w:val="22"/>
        </w:rPr>
        <w:tab/>
      </w:r>
      <w:r>
        <w:t>Purpose of the Cost Recovery Implementation Statement</w:t>
      </w:r>
      <w:r>
        <w:tab/>
      </w:r>
      <w:r>
        <w:fldChar w:fldCharType="begin"/>
      </w:r>
      <w:r>
        <w:instrText xml:space="preserve"> PAGEREF _Toc532543425 \h </w:instrText>
      </w:r>
      <w:r>
        <w:fldChar w:fldCharType="separate"/>
      </w:r>
      <w:r>
        <w:t>33</w:t>
      </w:r>
      <w:r>
        <w:fldChar w:fldCharType="end"/>
      </w:r>
    </w:p>
    <w:p w14:paraId="4B950BDC" w14:textId="1DCA0BF0" w:rsidR="006123EF" w:rsidRDefault="006123EF">
      <w:pPr>
        <w:pStyle w:val="TOC2"/>
        <w:rPr>
          <w:rFonts w:asciiTheme="minorHAnsi" w:eastAsiaTheme="minorEastAsia" w:hAnsiTheme="minorHAnsi" w:cstheme="minorBidi"/>
          <w:spacing w:val="0"/>
          <w:sz w:val="22"/>
          <w:szCs w:val="22"/>
        </w:rPr>
      </w:pPr>
      <w:r>
        <w:t>1.2</w:t>
      </w:r>
      <w:r>
        <w:rPr>
          <w:rFonts w:asciiTheme="minorHAnsi" w:eastAsiaTheme="minorEastAsia" w:hAnsiTheme="minorHAnsi" w:cstheme="minorBidi"/>
          <w:spacing w:val="0"/>
          <w:sz w:val="22"/>
          <w:szCs w:val="22"/>
        </w:rPr>
        <w:tab/>
      </w:r>
      <w:r>
        <w:t>Background and description of activity</w:t>
      </w:r>
      <w:r>
        <w:tab/>
      </w:r>
      <w:r>
        <w:fldChar w:fldCharType="begin"/>
      </w:r>
      <w:r>
        <w:instrText xml:space="preserve"> PAGEREF _Toc532543426 \h </w:instrText>
      </w:r>
      <w:r>
        <w:fldChar w:fldCharType="separate"/>
      </w:r>
      <w:r>
        <w:t>33</w:t>
      </w:r>
      <w:r>
        <w:fldChar w:fldCharType="end"/>
      </w:r>
    </w:p>
    <w:p w14:paraId="2FF4C2AD" w14:textId="0F24672A" w:rsidR="006123EF" w:rsidRDefault="006123EF">
      <w:pPr>
        <w:pStyle w:val="TOC2"/>
        <w:rPr>
          <w:rFonts w:asciiTheme="minorHAnsi" w:eastAsiaTheme="minorEastAsia" w:hAnsiTheme="minorHAnsi" w:cstheme="minorBidi"/>
          <w:spacing w:val="0"/>
          <w:sz w:val="22"/>
          <w:szCs w:val="22"/>
        </w:rPr>
      </w:pPr>
      <w:r>
        <w:t>1.3</w:t>
      </w:r>
      <w:r>
        <w:rPr>
          <w:rFonts w:asciiTheme="minorHAnsi" w:eastAsiaTheme="minorEastAsia" w:hAnsiTheme="minorHAnsi" w:cstheme="minorBidi"/>
          <w:spacing w:val="0"/>
          <w:sz w:val="22"/>
          <w:szCs w:val="22"/>
        </w:rPr>
        <w:tab/>
      </w:r>
      <w:r>
        <w:t>Stakeholders</w:t>
      </w:r>
      <w:r>
        <w:tab/>
      </w:r>
      <w:r>
        <w:fldChar w:fldCharType="begin"/>
      </w:r>
      <w:r>
        <w:instrText xml:space="preserve"> PAGEREF _Toc532543427 \h </w:instrText>
      </w:r>
      <w:r>
        <w:fldChar w:fldCharType="separate"/>
      </w:r>
      <w:r>
        <w:t>33</w:t>
      </w:r>
      <w:r>
        <w:fldChar w:fldCharType="end"/>
      </w:r>
    </w:p>
    <w:p w14:paraId="5BDD32D3" w14:textId="321CCAD6" w:rsidR="006123EF" w:rsidRDefault="006123EF" w:rsidP="0053216E">
      <w:pPr>
        <w:pStyle w:val="TOC1"/>
        <w:tabs>
          <w:tab w:val="left" w:pos="885"/>
        </w:tabs>
        <w:ind w:left="883" w:hanging="883"/>
        <w:rPr>
          <w:rFonts w:asciiTheme="minorHAnsi" w:eastAsiaTheme="minorEastAsia" w:hAnsiTheme="minorHAnsi" w:cstheme="minorBidi"/>
          <w:b w:val="0"/>
          <w:spacing w:val="0"/>
          <w:sz w:val="22"/>
          <w:szCs w:val="22"/>
        </w:rPr>
      </w:pPr>
      <w:r>
        <w:t xml:space="preserve">2. </w:t>
      </w:r>
      <w:r>
        <w:rPr>
          <w:rFonts w:asciiTheme="minorHAnsi" w:eastAsiaTheme="minorEastAsia" w:hAnsiTheme="minorHAnsi" w:cstheme="minorBidi"/>
          <w:b w:val="0"/>
          <w:spacing w:val="0"/>
          <w:sz w:val="22"/>
          <w:szCs w:val="22"/>
        </w:rPr>
        <w:tab/>
      </w:r>
      <w:r>
        <w:t>Policy and statutory authority to undertake cost recovery</w:t>
      </w:r>
      <w:r>
        <w:tab/>
      </w:r>
      <w:r>
        <w:fldChar w:fldCharType="begin"/>
      </w:r>
      <w:r>
        <w:instrText xml:space="preserve"> PAGEREF _Toc532543428 \h </w:instrText>
      </w:r>
      <w:r>
        <w:fldChar w:fldCharType="separate"/>
      </w:r>
      <w:r>
        <w:t>34</w:t>
      </w:r>
      <w:r>
        <w:fldChar w:fldCharType="end"/>
      </w:r>
    </w:p>
    <w:p w14:paraId="4FF3A989" w14:textId="7601E9F2" w:rsidR="006123EF" w:rsidRDefault="006123EF">
      <w:pPr>
        <w:pStyle w:val="TOC2"/>
        <w:rPr>
          <w:rFonts w:asciiTheme="minorHAnsi" w:eastAsiaTheme="minorEastAsia" w:hAnsiTheme="minorHAnsi" w:cstheme="minorBidi"/>
          <w:spacing w:val="0"/>
          <w:sz w:val="22"/>
          <w:szCs w:val="22"/>
        </w:rPr>
      </w:pPr>
      <w:r>
        <w:t>2.1</w:t>
      </w:r>
      <w:r>
        <w:rPr>
          <w:rFonts w:asciiTheme="minorHAnsi" w:eastAsiaTheme="minorEastAsia" w:hAnsiTheme="minorHAnsi" w:cstheme="minorBidi"/>
          <w:spacing w:val="0"/>
          <w:sz w:val="22"/>
          <w:szCs w:val="22"/>
        </w:rPr>
        <w:tab/>
      </w:r>
      <w:r>
        <w:t>Government policy approval to recover costs</w:t>
      </w:r>
      <w:r>
        <w:tab/>
      </w:r>
      <w:r>
        <w:fldChar w:fldCharType="begin"/>
      </w:r>
      <w:r>
        <w:instrText xml:space="preserve"> PAGEREF _Toc532543429 \h </w:instrText>
      </w:r>
      <w:r>
        <w:fldChar w:fldCharType="separate"/>
      </w:r>
      <w:r>
        <w:t>34</w:t>
      </w:r>
      <w:r>
        <w:fldChar w:fldCharType="end"/>
      </w:r>
    </w:p>
    <w:p w14:paraId="51BBC14A" w14:textId="7FC1B29A" w:rsidR="006123EF" w:rsidRDefault="006123EF">
      <w:pPr>
        <w:pStyle w:val="TOC2"/>
        <w:rPr>
          <w:rFonts w:asciiTheme="minorHAnsi" w:eastAsiaTheme="minorEastAsia" w:hAnsiTheme="minorHAnsi" w:cstheme="minorBidi"/>
          <w:spacing w:val="0"/>
          <w:sz w:val="22"/>
          <w:szCs w:val="22"/>
        </w:rPr>
      </w:pPr>
      <w:r>
        <w:t>2.2</w:t>
      </w:r>
      <w:r>
        <w:rPr>
          <w:rFonts w:asciiTheme="minorHAnsi" w:eastAsiaTheme="minorEastAsia" w:hAnsiTheme="minorHAnsi" w:cstheme="minorBidi"/>
          <w:spacing w:val="0"/>
          <w:sz w:val="22"/>
          <w:szCs w:val="22"/>
        </w:rPr>
        <w:tab/>
      </w:r>
      <w:r>
        <w:t>Statutory authority to impose cost recovery charges</w:t>
      </w:r>
      <w:r>
        <w:tab/>
      </w:r>
      <w:r>
        <w:fldChar w:fldCharType="begin"/>
      </w:r>
      <w:r>
        <w:instrText xml:space="preserve"> PAGEREF _Toc532543430 \h </w:instrText>
      </w:r>
      <w:r>
        <w:fldChar w:fldCharType="separate"/>
      </w:r>
      <w:r>
        <w:t>34</w:t>
      </w:r>
      <w:r>
        <w:fldChar w:fldCharType="end"/>
      </w:r>
    </w:p>
    <w:p w14:paraId="2AF30987" w14:textId="3198EE1E" w:rsidR="006123EF" w:rsidRDefault="006123EF">
      <w:pPr>
        <w:pStyle w:val="TOC1"/>
        <w:tabs>
          <w:tab w:val="left" w:pos="885"/>
        </w:tabs>
        <w:rPr>
          <w:rFonts w:asciiTheme="minorHAnsi" w:eastAsiaTheme="minorEastAsia" w:hAnsiTheme="minorHAnsi" w:cstheme="minorBidi"/>
          <w:b w:val="0"/>
          <w:spacing w:val="0"/>
          <w:sz w:val="22"/>
          <w:szCs w:val="22"/>
        </w:rPr>
      </w:pPr>
      <w:r>
        <w:t>3.</w:t>
      </w:r>
      <w:r>
        <w:rPr>
          <w:rFonts w:asciiTheme="minorHAnsi" w:eastAsiaTheme="minorEastAsia" w:hAnsiTheme="minorHAnsi" w:cstheme="minorBidi"/>
          <w:b w:val="0"/>
          <w:spacing w:val="0"/>
          <w:sz w:val="22"/>
          <w:szCs w:val="22"/>
        </w:rPr>
        <w:tab/>
      </w:r>
      <w:r>
        <w:t>Cost recovery model</w:t>
      </w:r>
      <w:r>
        <w:tab/>
      </w:r>
      <w:r>
        <w:fldChar w:fldCharType="begin"/>
      </w:r>
      <w:r>
        <w:instrText xml:space="preserve"> PAGEREF _Toc532543431 \h </w:instrText>
      </w:r>
      <w:r>
        <w:fldChar w:fldCharType="separate"/>
      </w:r>
      <w:r>
        <w:t>36</w:t>
      </w:r>
      <w:r>
        <w:fldChar w:fldCharType="end"/>
      </w:r>
    </w:p>
    <w:p w14:paraId="48C14B1F" w14:textId="6D1788E3" w:rsidR="006123EF" w:rsidRDefault="006123EF">
      <w:pPr>
        <w:pStyle w:val="TOC2"/>
        <w:rPr>
          <w:rFonts w:asciiTheme="minorHAnsi" w:eastAsiaTheme="minorEastAsia" w:hAnsiTheme="minorHAnsi" w:cstheme="minorBidi"/>
          <w:spacing w:val="0"/>
          <w:sz w:val="22"/>
          <w:szCs w:val="22"/>
        </w:rPr>
      </w:pPr>
      <w:r>
        <w:t>3.1</w:t>
      </w:r>
      <w:r>
        <w:rPr>
          <w:rFonts w:asciiTheme="minorHAnsi" w:eastAsiaTheme="minorEastAsia" w:hAnsiTheme="minorHAnsi" w:cstheme="minorBidi"/>
          <w:spacing w:val="0"/>
          <w:sz w:val="22"/>
          <w:szCs w:val="22"/>
        </w:rPr>
        <w:tab/>
      </w:r>
      <w:r>
        <w:t>Determination of cost component under paragraph 15(1)(b) of the Act—the ACCC’s MBA-related activities</w:t>
      </w:r>
      <w:r>
        <w:tab/>
      </w:r>
      <w:r>
        <w:fldChar w:fldCharType="begin"/>
      </w:r>
      <w:r>
        <w:instrText xml:space="preserve"> PAGEREF _Toc532543432 \h </w:instrText>
      </w:r>
      <w:r>
        <w:fldChar w:fldCharType="separate"/>
      </w:r>
      <w:r>
        <w:t>36</w:t>
      </w:r>
      <w:r>
        <w:fldChar w:fldCharType="end"/>
      </w:r>
    </w:p>
    <w:p w14:paraId="3A6BBE40" w14:textId="27ECB5F6" w:rsidR="006123EF" w:rsidRDefault="006123EF">
      <w:pPr>
        <w:pStyle w:val="TOC3"/>
        <w:tabs>
          <w:tab w:val="left" w:pos="885"/>
        </w:tabs>
        <w:rPr>
          <w:rFonts w:asciiTheme="minorHAnsi" w:eastAsiaTheme="minorEastAsia" w:hAnsiTheme="minorHAnsi" w:cstheme="minorBidi"/>
        </w:rPr>
      </w:pPr>
      <w:r>
        <w:t>3.1.1</w:t>
      </w:r>
      <w:r>
        <w:rPr>
          <w:rFonts w:asciiTheme="minorHAnsi" w:eastAsiaTheme="minorEastAsia" w:hAnsiTheme="minorHAnsi" w:cstheme="minorBidi"/>
        </w:rPr>
        <w:tab/>
      </w:r>
      <w:r>
        <w:t>Outputs and business processes of the activity</w:t>
      </w:r>
      <w:r>
        <w:tab/>
      </w:r>
      <w:r>
        <w:fldChar w:fldCharType="begin"/>
      </w:r>
      <w:r>
        <w:instrText xml:space="preserve"> PAGEREF _Toc532543433 \h </w:instrText>
      </w:r>
      <w:r>
        <w:fldChar w:fldCharType="separate"/>
      </w:r>
      <w:r>
        <w:t>36</w:t>
      </w:r>
      <w:r>
        <w:fldChar w:fldCharType="end"/>
      </w:r>
    </w:p>
    <w:p w14:paraId="526E7CDC" w14:textId="6A62EA4A" w:rsidR="006123EF" w:rsidRDefault="006123EF">
      <w:pPr>
        <w:pStyle w:val="TOC3"/>
        <w:tabs>
          <w:tab w:val="left" w:pos="885"/>
        </w:tabs>
        <w:rPr>
          <w:rFonts w:asciiTheme="minorHAnsi" w:eastAsiaTheme="minorEastAsia" w:hAnsiTheme="minorHAnsi" w:cstheme="minorBidi"/>
        </w:rPr>
      </w:pPr>
      <w:r>
        <w:t>3.1.2</w:t>
      </w:r>
      <w:r>
        <w:rPr>
          <w:rFonts w:asciiTheme="minorHAnsi" w:eastAsiaTheme="minorEastAsia" w:hAnsiTheme="minorHAnsi" w:cstheme="minorBidi"/>
        </w:rPr>
        <w:tab/>
      </w:r>
      <w:r>
        <w:t>Costs of the activity</w:t>
      </w:r>
      <w:r>
        <w:tab/>
      </w:r>
      <w:r>
        <w:fldChar w:fldCharType="begin"/>
      </w:r>
      <w:r>
        <w:instrText xml:space="preserve"> PAGEREF _Toc532543434 \h </w:instrText>
      </w:r>
      <w:r>
        <w:fldChar w:fldCharType="separate"/>
      </w:r>
      <w:r>
        <w:t>36</w:t>
      </w:r>
      <w:r>
        <w:fldChar w:fldCharType="end"/>
      </w:r>
    </w:p>
    <w:p w14:paraId="73B8D511" w14:textId="27240261" w:rsidR="006123EF" w:rsidRDefault="006123EF">
      <w:pPr>
        <w:pStyle w:val="TOC2"/>
        <w:rPr>
          <w:rFonts w:asciiTheme="minorHAnsi" w:eastAsiaTheme="minorEastAsia" w:hAnsiTheme="minorHAnsi" w:cstheme="minorBidi"/>
          <w:spacing w:val="0"/>
          <w:sz w:val="22"/>
          <w:szCs w:val="22"/>
        </w:rPr>
      </w:pPr>
      <w:r>
        <w:t>3.2</w:t>
      </w:r>
      <w:r>
        <w:rPr>
          <w:rFonts w:asciiTheme="minorHAnsi" w:eastAsiaTheme="minorEastAsia" w:hAnsiTheme="minorHAnsi" w:cstheme="minorBidi"/>
          <w:spacing w:val="0"/>
          <w:sz w:val="22"/>
          <w:szCs w:val="22"/>
        </w:rPr>
        <w:tab/>
      </w:r>
      <w:r>
        <w:t>Design of cost recovery charges</w:t>
      </w:r>
      <w:r>
        <w:tab/>
      </w:r>
      <w:r>
        <w:fldChar w:fldCharType="begin"/>
      </w:r>
      <w:r>
        <w:instrText xml:space="preserve"> PAGEREF _Toc532543435 \h </w:instrText>
      </w:r>
      <w:r>
        <w:fldChar w:fldCharType="separate"/>
      </w:r>
      <w:r>
        <w:t>37</w:t>
      </w:r>
      <w:r>
        <w:fldChar w:fldCharType="end"/>
      </w:r>
    </w:p>
    <w:p w14:paraId="14D2E284" w14:textId="401367FD" w:rsidR="006123EF" w:rsidRDefault="006123EF">
      <w:pPr>
        <w:pStyle w:val="TOC1"/>
        <w:tabs>
          <w:tab w:val="left" w:pos="885"/>
        </w:tabs>
        <w:rPr>
          <w:rFonts w:asciiTheme="minorHAnsi" w:eastAsiaTheme="minorEastAsia" w:hAnsiTheme="minorHAnsi" w:cstheme="minorBidi"/>
          <w:b w:val="0"/>
          <w:spacing w:val="0"/>
          <w:sz w:val="22"/>
          <w:szCs w:val="22"/>
        </w:rPr>
      </w:pPr>
      <w:r>
        <w:lastRenderedPageBreak/>
        <w:t xml:space="preserve">4. </w:t>
      </w:r>
      <w:r>
        <w:rPr>
          <w:rFonts w:asciiTheme="minorHAnsi" w:eastAsiaTheme="minorEastAsia" w:hAnsiTheme="minorHAnsi" w:cstheme="minorBidi"/>
          <w:b w:val="0"/>
          <w:spacing w:val="0"/>
          <w:sz w:val="22"/>
          <w:szCs w:val="22"/>
        </w:rPr>
        <w:tab/>
      </w:r>
      <w:r>
        <w:t>Risk assessment</w:t>
      </w:r>
      <w:r>
        <w:tab/>
      </w:r>
      <w:r>
        <w:fldChar w:fldCharType="begin"/>
      </w:r>
      <w:r>
        <w:instrText xml:space="preserve"> PAGEREF _Toc532543436 \h </w:instrText>
      </w:r>
      <w:r>
        <w:fldChar w:fldCharType="separate"/>
      </w:r>
      <w:r>
        <w:t>39</w:t>
      </w:r>
      <w:r>
        <w:fldChar w:fldCharType="end"/>
      </w:r>
    </w:p>
    <w:p w14:paraId="7948A6CF" w14:textId="6F3088AC" w:rsidR="006123EF" w:rsidRDefault="006123EF">
      <w:pPr>
        <w:pStyle w:val="TOC1"/>
        <w:tabs>
          <w:tab w:val="left" w:pos="885"/>
        </w:tabs>
        <w:rPr>
          <w:rFonts w:asciiTheme="minorHAnsi" w:eastAsiaTheme="minorEastAsia" w:hAnsiTheme="minorHAnsi" w:cstheme="minorBidi"/>
          <w:b w:val="0"/>
          <w:spacing w:val="0"/>
          <w:sz w:val="22"/>
          <w:szCs w:val="22"/>
        </w:rPr>
      </w:pPr>
      <w:r>
        <w:t xml:space="preserve">5. </w:t>
      </w:r>
      <w:r>
        <w:rPr>
          <w:rFonts w:asciiTheme="minorHAnsi" w:eastAsiaTheme="minorEastAsia" w:hAnsiTheme="minorHAnsi" w:cstheme="minorBidi"/>
          <w:b w:val="0"/>
          <w:spacing w:val="0"/>
          <w:sz w:val="22"/>
          <w:szCs w:val="22"/>
        </w:rPr>
        <w:tab/>
      </w:r>
      <w:r>
        <w:t>Stakeholder engagement</w:t>
      </w:r>
      <w:r>
        <w:tab/>
      </w:r>
      <w:r>
        <w:fldChar w:fldCharType="begin"/>
      </w:r>
      <w:r>
        <w:instrText xml:space="preserve"> PAGEREF _Toc532543437 \h </w:instrText>
      </w:r>
      <w:r>
        <w:fldChar w:fldCharType="separate"/>
      </w:r>
      <w:r>
        <w:t>40</w:t>
      </w:r>
      <w:r>
        <w:fldChar w:fldCharType="end"/>
      </w:r>
    </w:p>
    <w:p w14:paraId="733450A0" w14:textId="45084D16" w:rsidR="006123EF" w:rsidRDefault="006123EF">
      <w:pPr>
        <w:pStyle w:val="TOC1"/>
        <w:tabs>
          <w:tab w:val="left" w:pos="885"/>
        </w:tabs>
        <w:rPr>
          <w:rFonts w:asciiTheme="minorHAnsi" w:eastAsiaTheme="minorEastAsia" w:hAnsiTheme="minorHAnsi" w:cstheme="minorBidi"/>
          <w:b w:val="0"/>
          <w:spacing w:val="0"/>
          <w:sz w:val="22"/>
          <w:szCs w:val="22"/>
        </w:rPr>
      </w:pPr>
      <w:r>
        <w:t xml:space="preserve">6. </w:t>
      </w:r>
      <w:r>
        <w:rPr>
          <w:rFonts w:asciiTheme="minorHAnsi" w:eastAsiaTheme="minorEastAsia" w:hAnsiTheme="minorHAnsi" w:cstheme="minorBidi"/>
          <w:b w:val="0"/>
          <w:spacing w:val="0"/>
          <w:sz w:val="22"/>
          <w:szCs w:val="22"/>
        </w:rPr>
        <w:tab/>
      </w:r>
      <w:r>
        <w:t>Financial estimates</w:t>
      </w:r>
      <w:r>
        <w:tab/>
      </w:r>
      <w:r>
        <w:fldChar w:fldCharType="begin"/>
      </w:r>
      <w:r>
        <w:instrText xml:space="preserve"> PAGEREF _Toc532543438 \h </w:instrText>
      </w:r>
      <w:r>
        <w:fldChar w:fldCharType="separate"/>
      </w:r>
      <w:r>
        <w:t>41</w:t>
      </w:r>
      <w:r>
        <w:fldChar w:fldCharType="end"/>
      </w:r>
    </w:p>
    <w:p w14:paraId="39060D07" w14:textId="6F7B56DD" w:rsidR="006123EF" w:rsidRDefault="006123EF">
      <w:pPr>
        <w:pStyle w:val="TOC1"/>
        <w:tabs>
          <w:tab w:val="left" w:pos="885"/>
        </w:tabs>
        <w:rPr>
          <w:rFonts w:asciiTheme="minorHAnsi" w:eastAsiaTheme="minorEastAsia" w:hAnsiTheme="minorHAnsi" w:cstheme="minorBidi"/>
          <w:b w:val="0"/>
          <w:spacing w:val="0"/>
          <w:sz w:val="22"/>
          <w:szCs w:val="22"/>
        </w:rPr>
      </w:pPr>
      <w:r>
        <w:t>7A.</w:t>
      </w:r>
      <w:r>
        <w:rPr>
          <w:rFonts w:asciiTheme="minorHAnsi" w:eastAsiaTheme="minorEastAsia" w:hAnsiTheme="minorHAnsi" w:cstheme="minorBidi"/>
          <w:b w:val="0"/>
          <w:spacing w:val="0"/>
          <w:sz w:val="22"/>
          <w:szCs w:val="22"/>
        </w:rPr>
        <w:tab/>
      </w:r>
      <w:r>
        <w:t>Financial performance</w:t>
      </w:r>
      <w:r>
        <w:tab/>
      </w:r>
      <w:r>
        <w:fldChar w:fldCharType="begin"/>
      </w:r>
      <w:r>
        <w:instrText xml:space="preserve"> PAGEREF _Toc532543439 \h </w:instrText>
      </w:r>
      <w:r>
        <w:fldChar w:fldCharType="separate"/>
      </w:r>
      <w:r>
        <w:t>42</w:t>
      </w:r>
      <w:r>
        <w:fldChar w:fldCharType="end"/>
      </w:r>
    </w:p>
    <w:p w14:paraId="382E859C" w14:textId="3CFA31B8" w:rsidR="006123EF" w:rsidRDefault="006123EF">
      <w:pPr>
        <w:pStyle w:val="TOC1"/>
        <w:tabs>
          <w:tab w:val="left" w:pos="885"/>
        </w:tabs>
        <w:rPr>
          <w:rFonts w:asciiTheme="minorHAnsi" w:eastAsiaTheme="minorEastAsia" w:hAnsiTheme="minorHAnsi" w:cstheme="minorBidi"/>
          <w:b w:val="0"/>
          <w:spacing w:val="0"/>
          <w:sz w:val="22"/>
          <w:szCs w:val="22"/>
        </w:rPr>
      </w:pPr>
      <w:r>
        <w:t>7B.</w:t>
      </w:r>
      <w:r>
        <w:rPr>
          <w:rFonts w:asciiTheme="minorHAnsi" w:eastAsiaTheme="minorEastAsia" w:hAnsiTheme="minorHAnsi" w:cstheme="minorBidi"/>
          <w:b w:val="0"/>
          <w:spacing w:val="0"/>
          <w:sz w:val="22"/>
          <w:szCs w:val="22"/>
        </w:rPr>
        <w:tab/>
      </w:r>
      <w:r>
        <w:t>Non-financial performance</w:t>
      </w:r>
      <w:r>
        <w:tab/>
      </w:r>
      <w:r>
        <w:fldChar w:fldCharType="begin"/>
      </w:r>
      <w:r>
        <w:instrText xml:space="preserve"> PAGEREF _Toc532543440 \h </w:instrText>
      </w:r>
      <w:r>
        <w:fldChar w:fldCharType="separate"/>
      </w:r>
      <w:r>
        <w:t>43</w:t>
      </w:r>
      <w:r>
        <w:fldChar w:fldCharType="end"/>
      </w:r>
    </w:p>
    <w:p w14:paraId="6BC870C2" w14:textId="5F9569BD" w:rsidR="006123EF" w:rsidRDefault="006123EF">
      <w:pPr>
        <w:pStyle w:val="TOC1"/>
        <w:tabs>
          <w:tab w:val="left" w:pos="885"/>
        </w:tabs>
        <w:rPr>
          <w:rFonts w:asciiTheme="minorHAnsi" w:eastAsiaTheme="minorEastAsia" w:hAnsiTheme="minorHAnsi" w:cstheme="minorBidi"/>
          <w:b w:val="0"/>
          <w:spacing w:val="0"/>
          <w:sz w:val="22"/>
          <w:szCs w:val="22"/>
        </w:rPr>
      </w:pPr>
      <w:r>
        <w:t>8.</w:t>
      </w:r>
      <w:r>
        <w:rPr>
          <w:rFonts w:asciiTheme="minorHAnsi" w:eastAsiaTheme="minorEastAsia" w:hAnsiTheme="minorHAnsi" w:cstheme="minorBidi"/>
          <w:b w:val="0"/>
          <w:spacing w:val="0"/>
          <w:sz w:val="22"/>
          <w:szCs w:val="22"/>
        </w:rPr>
        <w:tab/>
      </w:r>
      <w:r>
        <w:t>Key forward dates and events</w:t>
      </w:r>
      <w:r>
        <w:tab/>
      </w:r>
      <w:r>
        <w:fldChar w:fldCharType="begin"/>
      </w:r>
      <w:r>
        <w:instrText xml:space="preserve"> PAGEREF _Toc532543441 \h </w:instrText>
      </w:r>
      <w:r>
        <w:fldChar w:fldCharType="separate"/>
      </w:r>
      <w:r>
        <w:t>44</w:t>
      </w:r>
      <w:r>
        <w:fldChar w:fldCharType="end"/>
      </w:r>
    </w:p>
    <w:p w14:paraId="039AC06F" w14:textId="59AF5AAC" w:rsidR="006123EF" w:rsidRDefault="006123EF">
      <w:pPr>
        <w:pStyle w:val="TOC1"/>
        <w:rPr>
          <w:rFonts w:asciiTheme="minorHAnsi" w:eastAsiaTheme="minorEastAsia" w:hAnsiTheme="minorHAnsi" w:cstheme="minorBidi"/>
          <w:b w:val="0"/>
          <w:spacing w:val="0"/>
          <w:sz w:val="22"/>
          <w:szCs w:val="22"/>
        </w:rPr>
      </w:pPr>
      <w:r>
        <w:t>Attachment C</w:t>
      </w:r>
      <w:r>
        <w:tab/>
      </w:r>
      <w:r>
        <w:fldChar w:fldCharType="begin"/>
      </w:r>
      <w:r>
        <w:instrText xml:space="preserve"> PAGEREF _Toc532543442 \h </w:instrText>
      </w:r>
      <w:r>
        <w:fldChar w:fldCharType="separate"/>
      </w:r>
      <w:r>
        <w:t>45</w:t>
      </w:r>
      <w:r>
        <w:fldChar w:fldCharType="end"/>
      </w:r>
    </w:p>
    <w:p w14:paraId="62D522D6" w14:textId="141CE7E8" w:rsidR="006123EF" w:rsidRDefault="006123EF">
      <w:pPr>
        <w:pStyle w:val="TOC2"/>
        <w:rPr>
          <w:rFonts w:asciiTheme="minorHAnsi" w:eastAsiaTheme="minorEastAsia" w:hAnsiTheme="minorHAnsi" w:cstheme="minorBidi"/>
          <w:spacing w:val="0"/>
          <w:sz w:val="22"/>
          <w:szCs w:val="22"/>
        </w:rPr>
      </w:pPr>
      <w:r w:rsidRPr="000A2909">
        <w:rPr>
          <w:color w:val="262626" w:themeColor="text1" w:themeTint="D9"/>
        </w:rPr>
        <w:t>ACLC for 2017–18</w:t>
      </w:r>
      <w:r>
        <w:tab/>
      </w:r>
      <w:r>
        <w:fldChar w:fldCharType="begin"/>
      </w:r>
      <w:r>
        <w:instrText xml:space="preserve"> PAGEREF _Toc532543443 \h </w:instrText>
      </w:r>
      <w:r>
        <w:fldChar w:fldCharType="separate"/>
      </w:r>
      <w:r>
        <w:t>45</w:t>
      </w:r>
      <w:r>
        <w:fldChar w:fldCharType="end"/>
      </w:r>
    </w:p>
    <w:p w14:paraId="25A654A5" w14:textId="314B6873" w:rsidR="006123EF" w:rsidRDefault="006123EF">
      <w:pPr>
        <w:pStyle w:val="TOC1"/>
        <w:rPr>
          <w:rFonts w:asciiTheme="minorHAnsi" w:eastAsiaTheme="minorEastAsia" w:hAnsiTheme="minorHAnsi" w:cstheme="minorBidi"/>
          <w:b w:val="0"/>
          <w:spacing w:val="0"/>
          <w:sz w:val="22"/>
          <w:szCs w:val="22"/>
        </w:rPr>
      </w:pPr>
      <w:r>
        <w:t>Attachment D</w:t>
      </w:r>
      <w:r>
        <w:tab/>
      </w:r>
      <w:r>
        <w:fldChar w:fldCharType="begin"/>
      </w:r>
      <w:r>
        <w:instrText xml:space="preserve"> PAGEREF _Toc532543444 \h </w:instrText>
      </w:r>
      <w:r>
        <w:fldChar w:fldCharType="separate"/>
      </w:r>
      <w:r>
        <w:t>46</w:t>
      </w:r>
      <w:r>
        <w:fldChar w:fldCharType="end"/>
      </w:r>
    </w:p>
    <w:p w14:paraId="7909FCCE" w14:textId="25063B6C" w:rsidR="006123EF" w:rsidRDefault="006123EF">
      <w:pPr>
        <w:pStyle w:val="TOC2"/>
        <w:rPr>
          <w:rFonts w:asciiTheme="minorHAnsi" w:eastAsiaTheme="minorEastAsia" w:hAnsiTheme="minorHAnsi" w:cstheme="minorBidi"/>
          <w:spacing w:val="0"/>
          <w:sz w:val="22"/>
          <w:szCs w:val="22"/>
        </w:rPr>
      </w:pPr>
      <w:r w:rsidRPr="000A2909">
        <w:rPr>
          <w:color w:val="404040" w:themeColor="text1" w:themeTint="BF"/>
        </w:rPr>
        <w:t>Summary of issues raised in industry consultation—ACLC 2017–18</w:t>
      </w:r>
      <w:r>
        <w:tab/>
      </w:r>
      <w:r>
        <w:fldChar w:fldCharType="begin"/>
      </w:r>
      <w:r>
        <w:instrText xml:space="preserve"> PAGEREF _Toc532543445 \h </w:instrText>
      </w:r>
      <w:r>
        <w:fldChar w:fldCharType="separate"/>
      </w:r>
      <w:r>
        <w:t>46</w:t>
      </w:r>
      <w:r>
        <w:fldChar w:fldCharType="end"/>
      </w:r>
    </w:p>
    <w:p w14:paraId="0F3453E4" w14:textId="6C91A69D" w:rsidR="006123EF" w:rsidRDefault="006123EF">
      <w:pPr>
        <w:pStyle w:val="TOC1"/>
        <w:rPr>
          <w:rFonts w:asciiTheme="minorHAnsi" w:eastAsiaTheme="minorEastAsia" w:hAnsiTheme="minorHAnsi" w:cstheme="minorBidi"/>
          <w:b w:val="0"/>
          <w:spacing w:val="0"/>
          <w:sz w:val="22"/>
          <w:szCs w:val="22"/>
        </w:rPr>
      </w:pPr>
      <w:r>
        <w:t>Glossary</w:t>
      </w:r>
      <w:r>
        <w:tab/>
      </w:r>
      <w:r>
        <w:fldChar w:fldCharType="begin"/>
      </w:r>
      <w:r>
        <w:instrText xml:space="preserve"> PAGEREF _Toc532543446 \h </w:instrText>
      </w:r>
      <w:r>
        <w:fldChar w:fldCharType="separate"/>
      </w:r>
      <w:r>
        <w:t>49</w:t>
      </w:r>
      <w:r>
        <w:fldChar w:fldCharType="end"/>
      </w:r>
    </w:p>
    <w:p w14:paraId="4E9C5C66" w14:textId="2424471A" w:rsidR="009E3A91" w:rsidRPr="00AD7A39" w:rsidRDefault="00B1182A" w:rsidP="009E3A91">
      <w:pPr>
        <w:rPr>
          <w:rFonts w:cs="Arial"/>
          <w:b/>
          <w:noProof/>
          <w:spacing w:val="-14"/>
          <w:sz w:val="36"/>
        </w:rPr>
      </w:pPr>
      <w:r>
        <w:rPr>
          <w:rFonts w:cs="Arial"/>
          <w:b/>
          <w:noProof/>
          <w:spacing w:val="-14"/>
          <w:sz w:val="28"/>
        </w:rPr>
        <w:fldChar w:fldCharType="end"/>
      </w:r>
    </w:p>
    <w:p w14:paraId="5F91A4B2" w14:textId="4ADAD75D" w:rsidR="00AD7A39" w:rsidRPr="00AD7A39" w:rsidRDefault="00AD7A39" w:rsidP="004B1B30">
      <w:pPr>
        <w:rPr>
          <w:rFonts w:cs="Arial"/>
          <w:b/>
          <w:noProof/>
          <w:spacing w:val="-14"/>
          <w:sz w:val="36"/>
        </w:rPr>
        <w:sectPr w:rsidR="00AD7A39" w:rsidRPr="00AD7A39"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p>
    <w:p w14:paraId="7168333A" w14:textId="77777777" w:rsidR="009E783D" w:rsidRPr="00CC3F4B" w:rsidRDefault="009E783D" w:rsidP="009E783D">
      <w:pPr>
        <w:pStyle w:val="Heading1"/>
      </w:pPr>
      <w:bookmarkStart w:id="1" w:name="_Toc355953981"/>
      <w:bookmarkStart w:id="2" w:name="_Toc385256311"/>
      <w:bookmarkStart w:id="3" w:name="_Toc417990939"/>
      <w:bookmarkStart w:id="4" w:name="_Toc511634380"/>
      <w:bookmarkStart w:id="5" w:name="_Toc532543387"/>
      <w:r w:rsidRPr="00CC3F4B">
        <w:lastRenderedPageBreak/>
        <w:t xml:space="preserve">1. </w:t>
      </w:r>
      <w:r w:rsidRPr="00CC3F4B">
        <w:tab/>
      </w:r>
      <w:bookmarkEnd w:id="1"/>
      <w:r w:rsidRPr="00863C10">
        <w:t>Introduction</w:t>
      </w:r>
      <w:bookmarkEnd w:id="2"/>
      <w:bookmarkEnd w:id="3"/>
      <w:bookmarkEnd w:id="4"/>
      <w:bookmarkEnd w:id="5"/>
    </w:p>
    <w:p w14:paraId="45822DDC" w14:textId="77777777" w:rsidR="009E783D" w:rsidRPr="00EA3B0D" w:rsidRDefault="009E783D" w:rsidP="00EA3B0D">
      <w:pPr>
        <w:pStyle w:val="Heading2"/>
      </w:pPr>
      <w:bookmarkStart w:id="6" w:name="_Toc355953982"/>
      <w:bookmarkStart w:id="7" w:name="_Toc385256312"/>
      <w:bookmarkStart w:id="8" w:name="_Toc417990940"/>
      <w:bookmarkStart w:id="9" w:name="_Toc511634381"/>
      <w:bookmarkStart w:id="10" w:name="_Toc532543388"/>
      <w:bookmarkStart w:id="11" w:name="purpose"/>
      <w:r w:rsidRPr="00EA3B0D">
        <w:t xml:space="preserve">1.1 </w:t>
      </w:r>
      <w:r w:rsidRPr="00EA3B0D">
        <w:tab/>
        <w:t>Purpose</w:t>
      </w:r>
      <w:bookmarkEnd w:id="6"/>
      <w:bookmarkEnd w:id="7"/>
      <w:r w:rsidRPr="00EA3B0D">
        <w:t xml:space="preserve"> of the Cost Recovery Implementation Statement</w:t>
      </w:r>
      <w:bookmarkEnd w:id="8"/>
      <w:bookmarkEnd w:id="9"/>
      <w:bookmarkEnd w:id="10"/>
    </w:p>
    <w:bookmarkEnd w:id="11"/>
    <w:p w14:paraId="2E261914" w14:textId="6B25CCBD" w:rsidR="006B519D" w:rsidRDefault="009E783D" w:rsidP="00EA3B0D">
      <w:r w:rsidRPr="00DF1CB8">
        <w:t xml:space="preserve">This Cost Recovery Implementation Statement (CRIS) provides information on how the Australian Communications and Media Authority (ACMA) implements cost recovery for </w:t>
      </w:r>
      <w:r>
        <w:t xml:space="preserve">relevant activities funded </w:t>
      </w:r>
      <w:r w:rsidR="004B052A">
        <w:t xml:space="preserve">by </w:t>
      </w:r>
      <w:r>
        <w:t>the Annual Carrier Licence Charge (ACLC)</w:t>
      </w:r>
      <w:r w:rsidRPr="00DF1CB8">
        <w:t xml:space="preserve">. </w:t>
      </w:r>
    </w:p>
    <w:p w14:paraId="069CEB09" w14:textId="57F28A10" w:rsidR="009E783D" w:rsidRDefault="009E783D" w:rsidP="00EA3B0D">
      <w:r>
        <w:t>A</w:t>
      </w:r>
      <w:r w:rsidRPr="00A84CBD">
        <w:t xml:space="preserve"> summary of the cost recovery model used by the A</w:t>
      </w:r>
      <w:r>
        <w:t>CMA</w:t>
      </w:r>
      <w:r w:rsidRPr="00A84CBD">
        <w:t xml:space="preserve"> and other participating organisations</w:t>
      </w:r>
      <w:r>
        <w:t xml:space="preserve"> is included in this statement</w:t>
      </w:r>
      <w:r w:rsidRPr="00A84CBD">
        <w:t>.</w:t>
      </w:r>
      <w:r>
        <w:t xml:space="preserve"> </w:t>
      </w:r>
      <w:r w:rsidRPr="00DF1CB8">
        <w:t>It also reports financial performance for these activities and contains financial forecasts for th</w:t>
      </w:r>
      <w:r w:rsidR="009D3C4F">
        <w:t>e 201</w:t>
      </w:r>
      <w:r w:rsidR="000269F7">
        <w:t>7</w:t>
      </w:r>
      <w:r w:rsidR="00B9480B">
        <w:t>–</w:t>
      </w:r>
      <w:r w:rsidR="009D3C4F">
        <w:t>1</w:t>
      </w:r>
      <w:r w:rsidR="000269F7">
        <w:t>8</w:t>
      </w:r>
      <w:r w:rsidRPr="00DF1CB8">
        <w:t xml:space="preserve"> </w:t>
      </w:r>
      <w:r w:rsidR="009D3C4F">
        <w:t xml:space="preserve">financial </w:t>
      </w:r>
      <w:r w:rsidRPr="00DF1CB8">
        <w:t>year and three forward years</w:t>
      </w:r>
      <w:r w:rsidR="00EA3C30">
        <w:t xml:space="preserve"> (financial years 2018</w:t>
      </w:r>
      <w:r w:rsidR="004B052A">
        <w:t>–</w:t>
      </w:r>
      <w:r w:rsidR="00EA3C30">
        <w:t>19 to 2020</w:t>
      </w:r>
      <w:r w:rsidR="004B052A">
        <w:t>–</w:t>
      </w:r>
      <w:r w:rsidR="00EA3C30">
        <w:t>21)</w:t>
      </w:r>
      <w:r w:rsidRPr="00DF1CB8">
        <w:t>. The ACMA will maintain the CRIS until the activities or cost recovery for the activities have been discontinued.</w:t>
      </w:r>
    </w:p>
    <w:p w14:paraId="7FCEBC17" w14:textId="1E49D7D7" w:rsidR="00E0161E" w:rsidRDefault="00E0161E" w:rsidP="00EA3B0D">
      <w:r>
        <w:t xml:space="preserve">The </w:t>
      </w:r>
      <w:r w:rsidRPr="00E0161E">
        <w:t>ACLC amounts payable by carrier lice</w:t>
      </w:r>
      <w:r>
        <w:t>nsees for the period 1 July 2017 to 30</w:t>
      </w:r>
      <w:r w:rsidR="007C7652">
        <w:t> </w:t>
      </w:r>
      <w:r>
        <w:t>June</w:t>
      </w:r>
      <w:r w:rsidR="007C7652">
        <w:t> </w:t>
      </w:r>
      <w:r>
        <w:t>2018</w:t>
      </w:r>
      <w:r w:rsidRPr="00E0161E">
        <w:t xml:space="preserve"> are set out in Attachment </w:t>
      </w:r>
      <w:r w:rsidR="00291CF1">
        <w:t>C.</w:t>
      </w:r>
    </w:p>
    <w:p w14:paraId="4CF178C8" w14:textId="77777777" w:rsidR="009E783D" w:rsidRPr="00EA3B0D" w:rsidRDefault="009E783D" w:rsidP="00EA3B0D">
      <w:pPr>
        <w:pStyle w:val="Heading2"/>
      </w:pPr>
      <w:bookmarkStart w:id="12" w:name="_Toc355953983"/>
      <w:bookmarkStart w:id="13" w:name="_Toc385256313"/>
      <w:bookmarkStart w:id="14" w:name="_Toc417990941"/>
      <w:bookmarkStart w:id="15" w:name="_Toc511634382"/>
      <w:bookmarkStart w:id="16" w:name="_Toc532543389"/>
      <w:bookmarkStart w:id="17" w:name="background"/>
      <w:r w:rsidRPr="00EA3B0D">
        <w:t>1.2</w:t>
      </w:r>
      <w:r w:rsidRPr="00EA3B0D">
        <w:tab/>
        <w:t>Background</w:t>
      </w:r>
      <w:bookmarkEnd w:id="12"/>
      <w:r w:rsidRPr="00EA3B0D">
        <w:t xml:space="preserve"> and description of activity</w:t>
      </w:r>
      <w:bookmarkEnd w:id="13"/>
      <w:bookmarkEnd w:id="14"/>
      <w:bookmarkEnd w:id="15"/>
      <w:bookmarkEnd w:id="16"/>
    </w:p>
    <w:bookmarkEnd w:id="17"/>
    <w:p w14:paraId="66B3798E" w14:textId="77777777" w:rsidR="009E783D" w:rsidRPr="005D0BC8" w:rsidRDefault="009E783D" w:rsidP="009E783D">
      <w:r w:rsidRPr="00A84CBD">
        <w:t xml:space="preserve">The ACMA is a statutory authority within the </w:t>
      </w:r>
      <w:r>
        <w:t xml:space="preserve">Communications </w:t>
      </w:r>
      <w:r w:rsidR="00B030F0">
        <w:t xml:space="preserve">and the Arts </w:t>
      </w:r>
      <w:r>
        <w:t>portfolio of the Commonwealth Government</w:t>
      </w:r>
      <w:r w:rsidRPr="00A84CBD">
        <w:t>. It is responsible for administering the telecommunications regulatory regime</w:t>
      </w:r>
      <w:r w:rsidR="00B9480B">
        <w:t>,</w:t>
      </w:r>
      <w:r w:rsidRPr="00A84CBD">
        <w:t xml:space="preserve"> which is established </w:t>
      </w:r>
      <w:r w:rsidR="009D3C4F">
        <w:t xml:space="preserve">primarily </w:t>
      </w:r>
      <w:r w:rsidRPr="00A84CBD">
        <w:t xml:space="preserve">through the </w:t>
      </w:r>
      <w:r w:rsidRPr="006B3422">
        <w:rPr>
          <w:i/>
        </w:rPr>
        <w:t>Australian Communications and Media Authority Act 2005</w:t>
      </w:r>
      <w:r w:rsidR="00493DFE">
        <w:t xml:space="preserve"> </w:t>
      </w:r>
      <w:r w:rsidR="00705655">
        <w:t xml:space="preserve">(the ACMA Act) </w:t>
      </w:r>
      <w:r w:rsidR="00493DFE">
        <w:t>and</w:t>
      </w:r>
      <w:r w:rsidRPr="00A84CBD">
        <w:t xml:space="preserve"> the </w:t>
      </w:r>
      <w:r w:rsidRPr="006B3422">
        <w:rPr>
          <w:i/>
        </w:rPr>
        <w:t>Telecommunications Act 1997</w:t>
      </w:r>
      <w:r w:rsidR="00705655">
        <w:t xml:space="preserve"> (the </w:t>
      </w:r>
      <w:r w:rsidR="00705655" w:rsidRPr="00120B54">
        <w:t>Telco Act</w:t>
      </w:r>
      <w:r w:rsidR="00705655">
        <w:t>)</w:t>
      </w:r>
      <w:r w:rsidR="009B7744">
        <w:t>.</w:t>
      </w:r>
    </w:p>
    <w:p w14:paraId="0E4B21D1" w14:textId="0EA77AFB" w:rsidR="009E783D" w:rsidRPr="005D0BC8" w:rsidRDefault="009E783D" w:rsidP="009E783D">
      <w:r w:rsidRPr="00A84CBD">
        <w:t xml:space="preserve">The ACLC </w:t>
      </w:r>
      <w:r w:rsidR="009906F9">
        <w:t>is</w:t>
      </w:r>
      <w:r w:rsidR="00D110A8">
        <w:t xml:space="preserve"> established</w:t>
      </w:r>
      <w:r w:rsidR="00D110A8" w:rsidRPr="00A84CBD">
        <w:t xml:space="preserve"> </w:t>
      </w:r>
      <w:r w:rsidR="00252477">
        <w:t xml:space="preserve">by the </w:t>
      </w:r>
      <w:r w:rsidR="00252477" w:rsidRPr="00252477">
        <w:rPr>
          <w:i/>
        </w:rPr>
        <w:t>Telecommunications (Carrier Licence Charges) Act 1997</w:t>
      </w:r>
      <w:r w:rsidR="00252477">
        <w:t xml:space="preserve"> (the </w:t>
      </w:r>
      <w:r w:rsidR="00E70CCD">
        <w:t>Act</w:t>
      </w:r>
      <w:r w:rsidR="00252477">
        <w:t xml:space="preserve">) </w:t>
      </w:r>
      <w:r w:rsidRPr="00A84CBD">
        <w:t xml:space="preserve">to fund </w:t>
      </w:r>
      <w:r w:rsidR="00B9480B">
        <w:t xml:space="preserve">the </w:t>
      </w:r>
      <w:r w:rsidRPr="00A84CBD">
        <w:t>activities of the ACMA, the Australian Competition and Consumer Commission (ACCC) and the De</w:t>
      </w:r>
      <w:r>
        <w:t xml:space="preserve">partment of Communications </w:t>
      </w:r>
      <w:r w:rsidR="00B030F0">
        <w:t xml:space="preserve">and the Arts </w:t>
      </w:r>
      <w:r>
        <w:t>(</w:t>
      </w:r>
      <w:proofErr w:type="spellStart"/>
      <w:r>
        <w:t>DoC</w:t>
      </w:r>
      <w:r w:rsidR="00B030F0">
        <w:t>A</w:t>
      </w:r>
      <w:proofErr w:type="spellEnd"/>
      <w:r w:rsidRPr="00A84CBD">
        <w:t xml:space="preserve">) in regulating </w:t>
      </w:r>
      <w:r w:rsidR="00A159C9">
        <w:t xml:space="preserve">licensed telecommunications carriers and </w:t>
      </w:r>
      <w:r w:rsidRPr="00A84CBD">
        <w:t xml:space="preserve">telecommunications services </w:t>
      </w:r>
      <w:r>
        <w:t>provided by carriers</w:t>
      </w:r>
      <w:r w:rsidR="00B9480B">
        <w:t>,</w:t>
      </w:r>
      <w:r w:rsidR="006B519D">
        <w:t xml:space="preserve"> </w:t>
      </w:r>
      <w:r w:rsidR="00D110A8">
        <w:t>so</w:t>
      </w:r>
      <w:r w:rsidR="006B519D">
        <w:t xml:space="preserve"> </w:t>
      </w:r>
      <w:r>
        <w:t xml:space="preserve">that those </w:t>
      </w:r>
      <w:r w:rsidR="004B052A">
        <w:t xml:space="preserve">that </w:t>
      </w:r>
      <w:r w:rsidR="00D110A8">
        <w:t xml:space="preserve">create the need for </w:t>
      </w:r>
      <w:r>
        <w:t>the government activities</w:t>
      </w:r>
      <w:r w:rsidR="004B052A">
        <w:t>,</w:t>
      </w:r>
      <w:r>
        <w:t xml:space="preserve"> meet the cost of those activities</w:t>
      </w:r>
      <w:r w:rsidRPr="00A84CBD">
        <w:t xml:space="preserve">. </w:t>
      </w:r>
      <w:r w:rsidR="00A159C9">
        <w:t xml:space="preserve">The ACLC for a financial year is imposed on a carrier licence that is in force at the beginning of that financial year and is payable by the holder of the licence. </w:t>
      </w:r>
    </w:p>
    <w:p w14:paraId="735D119C" w14:textId="77777777" w:rsidR="009E783D" w:rsidRPr="005D0BC8" w:rsidRDefault="009E783D" w:rsidP="009E783D">
      <w:r w:rsidRPr="00A84CBD">
        <w:t xml:space="preserve">The costs of the ACMA’s other regulatory activities, such as those related to radiocommunications, internet content and broadcasting services, are not included in the ACLC. </w:t>
      </w:r>
    </w:p>
    <w:p w14:paraId="547980D6" w14:textId="20E2DEB2" w:rsidR="006B519D" w:rsidRDefault="00B030F0" w:rsidP="009E783D">
      <w:r w:rsidRPr="00767C1C">
        <w:t>The</w:t>
      </w:r>
      <w:r w:rsidR="00A159C9">
        <w:t xml:space="preserve"> amount of</w:t>
      </w:r>
      <w:r w:rsidRPr="00767C1C">
        <w:t xml:space="preserve"> ACLC </w:t>
      </w:r>
      <w:r w:rsidR="00A159C9">
        <w:t xml:space="preserve">payable by a licensed telecommunications carrier </w:t>
      </w:r>
      <w:r w:rsidRPr="00767C1C">
        <w:t>for the 201</w:t>
      </w:r>
      <w:r w:rsidR="000269F7">
        <w:t>7</w:t>
      </w:r>
      <w:r w:rsidR="007C7652">
        <w:noBreakHyphen/>
      </w:r>
      <w:r w:rsidRPr="00767C1C">
        <w:t>1</w:t>
      </w:r>
      <w:r w:rsidR="000269F7">
        <w:t>8</w:t>
      </w:r>
      <w:r w:rsidR="009E783D" w:rsidRPr="00767C1C">
        <w:t xml:space="preserve"> financial year </w:t>
      </w:r>
      <w:r w:rsidR="00E815C6">
        <w:t xml:space="preserve">will </w:t>
      </w:r>
      <w:r w:rsidR="00A159C9">
        <w:t>be</w:t>
      </w:r>
      <w:r w:rsidR="009E783D" w:rsidRPr="00767C1C">
        <w:t xml:space="preserve"> based on their eligible revenue </w:t>
      </w:r>
      <w:r w:rsidR="00A159C9">
        <w:t>(</w:t>
      </w:r>
      <w:r w:rsidR="009E783D" w:rsidRPr="00767C1C">
        <w:t>within the meaning of the</w:t>
      </w:r>
      <w:r w:rsidR="00493DFE" w:rsidRPr="00767C1C">
        <w:t xml:space="preserve"> </w:t>
      </w:r>
      <w:r w:rsidR="00493DFE" w:rsidRPr="004A3F35">
        <w:rPr>
          <w:i/>
        </w:rPr>
        <w:t>Telecommunications (Consumer Protection and Service Standards) Act 1999</w:t>
      </w:r>
      <w:r w:rsidR="00A159C9">
        <w:t>)</w:t>
      </w:r>
      <w:r w:rsidR="009E783D" w:rsidRPr="004A3F35">
        <w:t xml:space="preserve"> f</w:t>
      </w:r>
      <w:r w:rsidRPr="004A3F35">
        <w:t>or the 201</w:t>
      </w:r>
      <w:r w:rsidR="000269F7" w:rsidRPr="004A3F35">
        <w:t>6</w:t>
      </w:r>
      <w:r w:rsidRPr="004A3F35">
        <w:t>–1</w:t>
      </w:r>
      <w:r w:rsidR="000269F7" w:rsidRPr="004A3F35">
        <w:t>7</w:t>
      </w:r>
      <w:r w:rsidR="009E783D" w:rsidRPr="004A3F35">
        <w:t xml:space="preserve"> financial year, as assessed by the ACMA. Carriers that were ‘non</w:t>
      </w:r>
      <w:r w:rsidR="007C7652">
        <w:noBreakHyphen/>
      </w:r>
      <w:r w:rsidR="009E783D" w:rsidRPr="004A3F35">
        <w:t xml:space="preserve">participating persons’ within the meaning of the </w:t>
      </w:r>
      <w:r w:rsidR="009E783D" w:rsidRPr="005B4096">
        <w:t>Telecommunications (Participa</w:t>
      </w:r>
      <w:r w:rsidR="00767C1C" w:rsidRPr="005B4096">
        <w:t>ting Persons) Determination 201</w:t>
      </w:r>
      <w:r w:rsidR="00604B7C" w:rsidRPr="005B4096">
        <w:t>5</w:t>
      </w:r>
      <w:r w:rsidR="00767C1C" w:rsidRPr="004B052A">
        <w:t xml:space="preserve"> </w:t>
      </w:r>
      <w:r w:rsidR="009E783D" w:rsidRPr="004A3F35">
        <w:t xml:space="preserve">for the eligible revenue period that began on </w:t>
      </w:r>
      <w:r w:rsidR="006B519D" w:rsidRPr="004A3F35">
        <w:t>1 </w:t>
      </w:r>
      <w:r w:rsidRPr="004A3F35">
        <w:t>July 201</w:t>
      </w:r>
      <w:r w:rsidR="000269F7" w:rsidRPr="004A3F35">
        <w:t>6</w:t>
      </w:r>
      <w:r w:rsidRPr="004A3F35">
        <w:t xml:space="preserve"> and ended 30 June 201</w:t>
      </w:r>
      <w:r w:rsidR="000269F7" w:rsidRPr="004A3F35">
        <w:t>7</w:t>
      </w:r>
      <w:r w:rsidR="009E783D" w:rsidRPr="004A3F35">
        <w:t xml:space="preserve"> are, in effect, exempted from paying the ACLC</w:t>
      </w:r>
      <w:r w:rsidR="00B9480B" w:rsidRPr="004A3F35">
        <w:t>.</w:t>
      </w:r>
      <w:r w:rsidR="009D3C4F" w:rsidRPr="004A3F35">
        <w:rPr>
          <w:rStyle w:val="FootnoteReference"/>
        </w:rPr>
        <w:footnoteReference w:id="2"/>
      </w:r>
      <w:r w:rsidR="00461070" w:rsidRPr="004A3F35">
        <w:t xml:space="preserve"> It is appropriate that those who create the need for regulatory activities meet these</w:t>
      </w:r>
      <w:r w:rsidR="00461070">
        <w:t xml:space="preserve"> expenses through the ACLC.</w:t>
      </w:r>
      <w:r w:rsidR="003A7931">
        <w:t xml:space="preserve"> Those who are non-participating persons, while operating in the telecommunications industry, do not create any substantial regulatory burden.</w:t>
      </w:r>
    </w:p>
    <w:p w14:paraId="545072A0" w14:textId="77777777" w:rsidR="008172A6" w:rsidRDefault="009E783D" w:rsidP="005B4096">
      <w:pPr>
        <w:spacing w:after="80"/>
      </w:pPr>
      <w:r w:rsidRPr="00A84CBD">
        <w:lastRenderedPageBreak/>
        <w:t>Generally, non-participating persons are carriers</w:t>
      </w:r>
      <w:r w:rsidR="008172A6">
        <w:t xml:space="preserve"> </w:t>
      </w:r>
      <w:r w:rsidRPr="00A84CBD">
        <w:t xml:space="preserve">with initial sales revenue, gross telecommunications sales revenue or eligible revenue of less than $25 million </w:t>
      </w:r>
      <w:r>
        <w:t xml:space="preserve">for </w:t>
      </w:r>
      <w:r w:rsidR="008172A6">
        <w:t xml:space="preserve">an </w:t>
      </w:r>
      <w:r>
        <w:t>eligible</w:t>
      </w:r>
      <w:r w:rsidR="008172A6">
        <w:t xml:space="preserve"> revenue</w:t>
      </w:r>
      <w:r>
        <w:t xml:space="preserve"> period (that is, smaller carriers) </w:t>
      </w:r>
      <w:r w:rsidR="008172A6">
        <w:t>and either:</w:t>
      </w:r>
    </w:p>
    <w:p w14:paraId="2D4A38A5" w14:textId="4A25A9A1" w:rsidR="008172A6" w:rsidRPr="00307ECC" w:rsidRDefault="008172A6" w:rsidP="005B4096">
      <w:pPr>
        <w:pStyle w:val="ListBullet"/>
      </w:pPr>
      <w:r w:rsidRPr="00307ECC">
        <w:t>the carrier lodges</w:t>
      </w:r>
      <w:r w:rsidR="009E783D" w:rsidRPr="00307ECC">
        <w:t xml:space="preserve"> the required </w:t>
      </w:r>
      <w:r w:rsidR="00A159C9" w:rsidRPr="00307ECC">
        <w:t xml:space="preserve">eligible </w:t>
      </w:r>
      <w:r w:rsidR="009E783D" w:rsidRPr="00307ECC">
        <w:t>statutory declaration with the ACMA within the specified time frame</w:t>
      </w:r>
      <w:r w:rsidRPr="00307ECC">
        <w:t xml:space="preserve"> declaring as such, or </w:t>
      </w:r>
    </w:p>
    <w:p w14:paraId="136BE796" w14:textId="77777777" w:rsidR="00974F74" w:rsidRPr="00307ECC" w:rsidRDefault="008172A6" w:rsidP="005B4096">
      <w:pPr>
        <w:pStyle w:val="ListBulletLast"/>
      </w:pPr>
      <w:r w:rsidRPr="00307ECC">
        <w:t>the ACMA is otherwise reasonably satisfied that their revenue is below the stated threshold</w:t>
      </w:r>
      <w:r w:rsidR="00B9480B" w:rsidRPr="00307ECC">
        <w:t>.</w:t>
      </w:r>
      <w:r w:rsidR="009E783D" w:rsidRPr="00307ECC">
        <w:rPr>
          <w:rStyle w:val="FootnoteReference"/>
          <w:szCs w:val="20"/>
        </w:rPr>
        <w:footnoteReference w:id="3"/>
      </w:r>
      <w:r w:rsidR="009E783D" w:rsidRPr="00307ECC">
        <w:t xml:space="preserve"> </w:t>
      </w:r>
    </w:p>
    <w:p w14:paraId="2DA03092" w14:textId="77777777" w:rsidR="009E783D" w:rsidRDefault="009E783D" w:rsidP="009E783D">
      <w:r w:rsidRPr="00A84CBD">
        <w:t xml:space="preserve">Any carrier who </w:t>
      </w:r>
      <w:r w:rsidR="005F3B11">
        <w:t>held</w:t>
      </w:r>
      <w:r w:rsidR="005F3B11" w:rsidRPr="00A84CBD">
        <w:t xml:space="preserve"> </w:t>
      </w:r>
      <w:r w:rsidRPr="00A84CBD">
        <w:t>a</w:t>
      </w:r>
      <w:r w:rsidR="005F3B11">
        <w:t xml:space="preserve"> carrier</w:t>
      </w:r>
      <w:r w:rsidRPr="00A84CBD">
        <w:t xml:space="preserve"> licence on 1</w:t>
      </w:r>
      <w:r w:rsidR="00B030F0">
        <w:t> July 201</w:t>
      </w:r>
      <w:r w:rsidR="00974F74">
        <w:t>7</w:t>
      </w:r>
      <w:r w:rsidRPr="00A84CBD">
        <w:t xml:space="preserve"> and is not a non-participating person is requi</w:t>
      </w:r>
      <w:r w:rsidR="00B030F0">
        <w:t>red to pay the ACLC for the 201</w:t>
      </w:r>
      <w:r w:rsidR="005F2077">
        <w:t>7</w:t>
      </w:r>
      <w:r w:rsidR="00B030F0">
        <w:t>–1</w:t>
      </w:r>
      <w:r w:rsidR="005F2077">
        <w:t>8</w:t>
      </w:r>
      <w:r w:rsidRPr="00A84CBD">
        <w:t xml:space="preserve"> financial year, irrespective of whether they have surrendered </w:t>
      </w:r>
      <w:r w:rsidR="005F2077" w:rsidRPr="00A84CBD">
        <w:t xml:space="preserve">their licence </w:t>
      </w:r>
      <w:r w:rsidRPr="00A84CBD">
        <w:t>or</w:t>
      </w:r>
      <w:r w:rsidR="005F2077">
        <w:t xml:space="preserve"> had their licence</w:t>
      </w:r>
      <w:r w:rsidRPr="00A84CBD">
        <w:t xml:space="preserve"> cancelled subsequent to this date, and will be held liable for payment of </w:t>
      </w:r>
      <w:r>
        <w:t xml:space="preserve">the charge when it </w:t>
      </w:r>
      <w:r w:rsidR="006B519D">
        <w:t xml:space="preserve">is </w:t>
      </w:r>
      <w:r>
        <w:t>due.</w:t>
      </w:r>
    </w:p>
    <w:p w14:paraId="75742B06" w14:textId="77777777" w:rsidR="009E783D" w:rsidRPr="0008218E" w:rsidRDefault="009E783D" w:rsidP="00EA3B0D">
      <w:pPr>
        <w:pStyle w:val="Heading2"/>
      </w:pPr>
      <w:bookmarkStart w:id="18" w:name="_Toc511634383"/>
      <w:bookmarkStart w:id="19" w:name="_Toc532543390"/>
      <w:r w:rsidRPr="0008218E">
        <w:t xml:space="preserve">1.3 </w:t>
      </w:r>
      <w:r w:rsidR="00CB3D67">
        <w:tab/>
      </w:r>
      <w:r w:rsidRPr="0008218E">
        <w:t>Stakeholders</w:t>
      </w:r>
      <w:bookmarkEnd w:id="18"/>
      <w:bookmarkEnd w:id="19"/>
    </w:p>
    <w:p w14:paraId="04A38B28" w14:textId="7ED22EED" w:rsidR="009E783D" w:rsidRDefault="004B052A" w:rsidP="009E783D">
      <w:r>
        <w:t>K</w:t>
      </w:r>
      <w:r w:rsidR="009E783D">
        <w:t>ey stakeholders are telecommunications carriers, telecommunications carriage service providers, telecommunications industry bodies (</w:t>
      </w:r>
      <w:r w:rsidR="006B519D">
        <w:t>for example,</w:t>
      </w:r>
      <w:r w:rsidR="009E783D">
        <w:t xml:space="preserve"> Co</w:t>
      </w:r>
      <w:r w:rsidR="00CB7A04">
        <w:t>mmunications</w:t>
      </w:r>
      <w:r w:rsidR="009E783D">
        <w:t xml:space="preserve"> Alliance) and telecommunications consumer bodies (</w:t>
      </w:r>
      <w:r w:rsidR="006B519D">
        <w:t>for example,</w:t>
      </w:r>
      <w:r w:rsidR="009E783D">
        <w:t xml:space="preserve"> </w:t>
      </w:r>
      <w:r w:rsidR="009D3C4F">
        <w:t xml:space="preserve">the </w:t>
      </w:r>
      <w:r w:rsidR="009E783D">
        <w:t>Australian Communications Consumer Action Network).</w:t>
      </w:r>
      <w:r w:rsidR="009E783D" w:rsidDel="00863C10">
        <w:t xml:space="preserve"> </w:t>
      </w:r>
    </w:p>
    <w:p w14:paraId="111E2852" w14:textId="77777777" w:rsidR="009E783D" w:rsidRPr="00EA3B0D" w:rsidRDefault="009E783D" w:rsidP="0007149B">
      <w:pPr>
        <w:pStyle w:val="Heading1"/>
        <w:ind w:left="851" w:right="-551" w:hanging="852"/>
      </w:pPr>
      <w:bookmarkStart w:id="20" w:name="_Toc355953985"/>
      <w:bookmarkStart w:id="21" w:name="_Toc385256315"/>
      <w:bookmarkStart w:id="22" w:name="_Toc417990942"/>
      <w:bookmarkStart w:id="23" w:name="_Toc511634384"/>
      <w:bookmarkStart w:id="24" w:name="_Toc532543391"/>
      <w:r w:rsidRPr="0008218E">
        <w:t xml:space="preserve">2. </w:t>
      </w:r>
      <w:r w:rsidRPr="0008218E">
        <w:tab/>
        <w:t xml:space="preserve">Policy and statutory authority to </w:t>
      </w:r>
      <w:r w:rsidR="00387831">
        <w:t xml:space="preserve">undertake </w:t>
      </w:r>
      <w:r w:rsidRPr="0008218E">
        <w:t>cost recover</w:t>
      </w:r>
      <w:bookmarkStart w:id="25" w:name="_Toc355953986"/>
      <w:bookmarkStart w:id="26" w:name="_Toc385256316"/>
      <w:bookmarkStart w:id="27" w:name="_Toc417990943"/>
      <w:bookmarkEnd w:id="20"/>
      <w:bookmarkEnd w:id="21"/>
      <w:bookmarkEnd w:id="22"/>
      <w:r w:rsidR="00387831">
        <w:t>y</w:t>
      </w:r>
      <w:bookmarkEnd w:id="23"/>
      <w:bookmarkEnd w:id="24"/>
    </w:p>
    <w:p w14:paraId="4CFD7A66" w14:textId="77777777" w:rsidR="009E783D" w:rsidRDefault="009E783D" w:rsidP="00EA3B0D">
      <w:pPr>
        <w:pStyle w:val="Heading2"/>
      </w:pPr>
      <w:bookmarkStart w:id="28" w:name="_Toc511634385"/>
      <w:bookmarkStart w:id="29" w:name="_Toc532543392"/>
      <w:r w:rsidRPr="00EA3B0D">
        <w:t>2.1</w:t>
      </w:r>
      <w:r w:rsidRPr="00EA3B0D">
        <w:tab/>
        <w:t xml:space="preserve">Government policy approval to </w:t>
      </w:r>
      <w:r w:rsidR="00387831" w:rsidRPr="00EA3B0D">
        <w:t xml:space="preserve">recover </w:t>
      </w:r>
      <w:r w:rsidRPr="00EA3B0D">
        <w:t>cost</w:t>
      </w:r>
      <w:r w:rsidR="00387831">
        <w:t>s</w:t>
      </w:r>
      <w:bookmarkEnd w:id="28"/>
      <w:bookmarkEnd w:id="29"/>
      <w:r w:rsidRPr="00EA3B0D">
        <w:t xml:space="preserve"> </w:t>
      </w:r>
      <w:bookmarkEnd w:id="25"/>
      <w:bookmarkEnd w:id="26"/>
      <w:bookmarkEnd w:id="27"/>
    </w:p>
    <w:p w14:paraId="334D8621" w14:textId="77777777" w:rsidR="003A2CEA" w:rsidRPr="00CF5341" w:rsidRDefault="003A2CEA" w:rsidP="00B64534">
      <w:pPr>
        <w:spacing w:after="80"/>
        <w:rPr>
          <w:rFonts w:cs="Arial"/>
          <w:szCs w:val="20"/>
        </w:rPr>
      </w:pPr>
      <w:r w:rsidRPr="00CF5341">
        <w:rPr>
          <w:rFonts w:cs="Arial"/>
          <w:szCs w:val="20"/>
        </w:rPr>
        <w:t>As an outcome of the Communications Portfolio Charging Review in the financial year 2014</w:t>
      </w:r>
      <w:r w:rsidR="00B9480B">
        <w:rPr>
          <w:rFonts w:cs="Arial"/>
          <w:szCs w:val="20"/>
        </w:rPr>
        <w:t>–</w:t>
      </w:r>
      <w:r w:rsidRPr="00CF5341">
        <w:rPr>
          <w:rFonts w:cs="Arial"/>
          <w:szCs w:val="20"/>
        </w:rPr>
        <w:t xml:space="preserve">15, the </w:t>
      </w:r>
      <w:r w:rsidR="00B9480B">
        <w:rPr>
          <w:rFonts w:cs="Arial"/>
          <w:szCs w:val="20"/>
        </w:rPr>
        <w:t>g</w:t>
      </w:r>
      <w:r w:rsidRPr="00CF5341">
        <w:rPr>
          <w:rFonts w:cs="Arial"/>
          <w:szCs w:val="20"/>
        </w:rPr>
        <w:t xml:space="preserve">overnment confirmed the appropriateness of cost recovery for the following activities through the ACLC: </w:t>
      </w:r>
    </w:p>
    <w:p w14:paraId="401F691E" w14:textId="77777777" w:rsidR="003A2CEA" w:rsidRPr="00F5728D" w:rsidRDefault="003A2CEA" w:rsidP="00F5728D">
      <w:pPr>
        <w:pStyle w:val="ListBullet"/>
      </w:pPr>
      <w:r w:rsidRPr="00CF5341">
        <w:t xml:space="preserve">the </w:t>
      </w:r>
      <w:r w:rsidRPr="00F5728D">
        <w:t>ACMA regulating telecommunications entities</w:t>
      </w:r>
    </w:p>
    <w:p w14:paraId="10108888" w14:textId="77777777" w:rsidR="003A2CEA" w:rsidRPr="00F5728D" w:rsidRDefault="003A2CEA" w:rsidP="00F5728D">
      <w:pPr>
        <w:pStyle w:val="ListBullet"/>
      </w:pPr>
      <w:r w:rsidRPr="00F5728D">
        <w:t>the ACCC regulating telecommunications entities</w:t>
      </w:r>
    </w:p>
    <w:p w14:paraId="65527AB5" w14:textId="77777777" w:rsidR="003A2CEA" w:rsidRPr="00F5728D" w:rsidRDefault="003A2CEA" w:rsidP="00F5728D">
      <w:pPr>
        <w:pStyle w:val="ListBullet"/>
      </w:pPr>
      <w:r w:rsidRPr="00F5728D">
        <w:t xml:space="preserve">developing industry codes by a telecommunications industry body or association under Part 6 of the </w:t>
      </w:r>
      <w:r w:rsidR="00817409" w:rsidRPr="00F5728D">
        <w:t xml:space="preserve">Telco </w:t>
      </w:r>
      <w:r w:rsidR="00B33282" w:rsidRPr="00F5728D">
        <w:t>Act</w:t>
      </w:r>
    </w:p>
    <w:p w14:paraId="283A5F87" w14:textId="77777777" w:rsidR="003A2CEA" w:rsidRPr="00CF5341" w:rsidRDefault="003A2CEA" w:rsidP="00F5728D">
      <w:pPr>
        <w:pStyle w:val="ListBullet"/>
      </w:pPr>
      <w:r w:rsidRPr="00F5728D">
        <w:t>contributing</w:t>
      </w:r>
      <w:r w:rsidRPr="00CF5341">
        <w:t xml:space="preserve"> to the budget of the International Telecommunication Union</w:t>
      </w:r>
      <w:r w:rsidR="004B052A">
        <w:t xml:space="preserve"> (ITU)</w:t>
      </w:r>
    </w:p>
    <w:p w14:paraId="626F757D" w14:textId="77777777" w:rsidR="003A2CEA" w:rsidRPr="00CF5341" w:rsidRDefault="003A2CEA" w:rsidP="00B64534">
      <w:pPr>
        <w:pStyle w:val="ListBulletLast"/>
      </w:pPr>
      <w:r w:rsidRPr="00CF5341">
        <w:t xml:space="preserve">contributing grants of financial assistance to consumer </w:t>
      </w:r>
      <w:r w:rsidR="00FB476B" w:rsidRPr="00CF5341">
        <w:t>bod</w:t>
      </w:r>
      <w:r w:rsidR="00FB476B">
        <w:t xml:space="preserve">ies to support </w:t>
      </w:r>
      <w:r w:rsidRPr="00CF5341">
        <w:t>consumer</w:t>
      </w:r>
      <w:r w:rsidR="00FB476B">
        <w:t xml:space="preserve"> representation in the</w:t>
      </w:r>
      <w:r w:rsidRPr="00CF5341">
        <w:t xml:space="preserve"> telecommunication </w:t>
      </w:r>
      <w:r w:rsidR="00FB476B" w:rsidRPr="00FB476B">
        <w:t>sector</w:t>
      </w:r>
      <w:r w:rsidRPr="00CF5341">
        <w:t>.</w:t>
      </w:r>
    </w:p>
    <w:p w14:paraId="68FB2622" w14:textId="77777777" w:rsidR="00830147" w:rsidRDefault="003A2CEA" w:rsidP="00D522C8">
      <w:r w:rsidRPr="00CF5341">
        <w:t>Prior to 2014</w:t>
      </w:r>
      <w:r w:rsidR="00B9480B">
        <w:t>–</w:t>
      </w:r>
      <w:r w:rsidRPr="00CF5341">
        <w:t>15, the</w:t>
      </w:r>
      <w:r w:rsidR="00005F61" w:rsidRPr="00CF5341">
        <w:t xml:space="preserve"> </w:t>
      </w:r>
      <w:r w:rsidR="00B9480B">
        <w:t>g</w:t>
      </w:r>
      <w:r w:rsidR="00005F61" w:rsidRPr="00CF5341">
        <w:t>overnment made a series of decisions</w:t>
      </w:r>
      <w:r w:rsidRPr="00E230DB">
        <w:rPr>
          <w:rStyle w:val="FootnoteReference"/>
          <w:szCs w:val="20"/>
        </w:rPr>
        <w:footnoteReference w:id="4"/>
      </w:r>
      <w:r w:rsidR="00005F61" w:rsidRPr="00CF5341">
        <w:t xml:space="preserve"> </w:t>
      </w:r>
      <w:r w:rsidR="005F2077">
        <w:t>determining</w:t>
      </w:r>
      <w:r w:rsidR="005F2077" w:rsidRPr="00CF5341">
        <w:t xml:space="preserve"> </w:t>
      </w:r>
      <w:r w:rsidRPr="00CF5341">
        <w:t xml:space="preserve">these </w:t>
      </w:r>
      <w:r w:rsidR="00005F61" w:rsidRPr="00CF5341">
        <w:t xml:space="preserve">activities to be </w:t>
      </w:r>
      <w:r w:rsidR="00387831" w:rsidRPr="00CF5341">
        <w:t xml:space="preserve">the subject of </w:t>
      </w:r>
      <w:r w:rsidR="00005F61" w:rsidRPr="00CF5341">
        <w:t>c</w:t>
      </w:r>
      <w:r w:rsidR="00620438" w:rsidRPr="00CF5341">
        <w:t>ost recover</w:t>
      </w:r>
      <w:r w:rsidR="00387831" w:rsidRPr="00CF5341">
        <w:t>y</w:t>
      </w:r>
      <w:r w:rsidR="00620438" w:rsidRPr="00CF5341">
        <w:t xml:space="preserve"> through the ACLC</w:t>
      </w:r>
      <w:r w:rsidR="00E1418A" w:rsidRPr="00CF5341">
        <w:t>.</w:t>
      </w:r>
    </w:p>
    <w:p w14:paraId="05F2CB82" w14:textId="3E2D88DF" w:rsidR="00830147" w:rsidRPr="00933079" w:rsidRDefault="00830147" w:rsidP="00933079">
      <w:pPr>
        <w:rPr>
          <w:rFonts w:cs="Arial"/>
        </w:rPr>
      </w:pPr>
      <w:bookmarkStart w:id="30" w:name="_Toc355953988"/>
      <w:bookmarkStart w:id="31" w:name="_Toc385256317"/>
      <w:bookmarkStart w:id="32" w:name="_Toc417990944"/>
      <w:r w:rsidRPr="006B48BA">
        <w:rPr>
          <w:rFonts w:cs="Arial"/>
        </w:rPr>
        <w:t>The cost</w:t>
      </w:r>
      <w:r w:rsidR="009906F9">
        <w:rPr>
          <w:rFonts w:cs="Arial"/>
        </w:rPr>
        <w:t>s</w:t>
      </w:r>
      <w:r w:rsidR="00DC1CE8" w:rsidRPr="006B48BA">
        <w:rPr>
          <w:rFonts w:cs="Arial"/>
        </w:rPr>
        <w:t xml:space="preserve"> of these activities </w:t>
      </w:r>
      <w:r w:rsidRPr="006B48BA">
        <w:rPr>
          <w:rFonts w:cs="Arial"/>
        </w:rPr>
        <w:t xml:space="preserve">will be recovered by the ACMA </w:t>
      </w:r>
      <w:r w:rsidR="00B92EA4" w:rsidRPr="006B48BA">
        <w:rPr>
          <w:rFonts w:cs="Arial"/>
        </w:rPr>
        <w:t xml:space="preserve">through </w:t>
      </w:r>
      <w:r w:rsidR="000B1895" w:rsidRPr="006B48BA">
        <w:rPr>
          <w:rFonts w:cs="Arial"/>
        </w:rPr>
        <w:t xml:space="preserve">the </w:t>
      </w:r>
      <w:r w:rsidR="00B92EA4" w:rsidRPr="006B48BA">
        <w:rPr>
          <w:rFonts w:cs="Arial"/>
        </w:rPr>
        <w:t xml:space="preserve">ACLC </w:t>
      </w:r>
      <w:r w:rsidRPr="006B48BA">
        <w:rPr>
          <w:rFonts w:cs="Arial"/>
        </w:rPr>
        <w:t>and</w:t>
      </w:r>
      <w:r w:rsidR="00252477" w:rsidRPr="006B48BA">
        <w:rPr>
          <w:rFonts w:cs="Arial"/>
        </w:rPr>
        <w:t xml:space="preserve"> </w:t>
      </w:r>
      <w:r w:rsidR="009906F9">
        <w:rPr>
          <w:rFonts w:cs="Arial"/>
        </w:rPr>
        <w:t>are</w:t>
      </w:r>
      <w:r w:rsidR="00252477" w:rsidRPr="006B48BA">
        <w:rPr>
          <w:rFonts w:cs="Arial"/>
        </w:rPr>
        <w:t xml:space="preserve"> </w:t>
      </w:r>
      <w:r w:rsidR="00252477" w:rsidRPr="00C64E29">
        <w:rPr>
          <w:rFonts w:cs="Arial"/>
        </w:rPr>
        <w:t>reflected in Table 1</w:t>
      </w:r>
      <w:r w:rsidR="005156D0" w:rsidRPr="00C64E29">
        <w:rPr>
          <w:rFonts w:cs="Arial"/>
        </w:rPr>
        <w:t>3</w:t>
      </w:r>
      <w:r w:rsidR="00F5728D">
        <w:rPr>
          <w:rFonts w:cs="Arial"/>
        </w:rPr>
        <w:t xml:space="preserve">, </w:t>
      </w:r>
      <w:r w:rsidRPr="005B4096">
        <w:rPr>
          <w:rFonts w:cs="Arial"/>
          <w:i/>
        </w:rPr>
        <w:t>Financial estimates by activity</w:t>
      </w:r>
      <w:r w:rsidRPr="00C64E29">
        <w:rPr>
          <w:rFonts w:cs="Arial"/>
        </w:rPr>
        <w:t>.</w:t>
      </w:r>
    </w:p>
    <w:p w14:paraId="4E75F5F2" w14:textId="77777777" w:rsidR="009E783D" w:rsidRPr="00C320F6" w:rsidRDefault="009E783D" w:rsidP="009E783D">
      <w:pPr>
        <w:pStyle w:val="Heading2"/>
        <w:rPr>
          <w:sz w:val="24"/>
        </w:rPr>
      </w:pPr>
      <w:bookmarkStart w:id="33" w:name="_Toc511634386"/>
      <w:bookmarkStart w:id="34" w:name="_Toc532543393"/>
      <w:r>
        <w:rPr>
          <w:sz w:val="24"/>
        </w:rPr>
        <w:t>2.2</w:t>
      </w:r>
      <w:r w:rsidRPr="00C320F6">
        <w:rPr>
          <w:sz w:val="24"/>
        </w:rPr>
        <w:tab/>
      </w:r>
      <w:r>
        <w:rPr>
          <w:sz w:val="24"/>
        </w:rPr>
        <w:t>Statutory</w:t>
      </w:r>
      <w:r w:rsidRPr="00C320F6">
        <w:rPr>
          <w:sz w:val="24"/>
        </w:rPr>
        <w:t xml:space="preserve"> authority to impose </w:t>
      </w:r>
      <w:bookmarkEnd w:id="30"/>
      <w:r>
        <w:rPr>
          <w:sz w:val="24"/>
        </w:rPr>
        <w:t>cost recovery charges</w:t>
      </w:r>
      <w:bookmarkEnd w:id="31"/>
      <w:bookmarkEnd w:id="32"/>
      <w:bookmarkEnd w:id="33"/>
      <w:bookmarkEnd w:id="34"/>
    </w:p>
    <w:p w14:paraId="1E6915D7" w14:textId="73E8B491" w:rsidR="009E783D" w:rsidRPr="005D0BC8" w:rsidRDefault="009E783D" w:rsidP="009E783D">
      <w:r w:rsidRPr="00A84CBD">
        <w:t xml:space="preserve">Section 12 of the Act imposes </w:t>
      </w:r>
      <w:r>
        <w:t>an annual charge</w:t>
      </w:r>
      <w:r w:rsidRPr="00A84CBD">
        <w:t xml:space="preserve"> on carrier licences that are in force at the beginning of a financial year (</w:t>
      </w:r>
      <w:r w:rsidR="006E423A">
        <w:t xml:space="preserve">1 July </w:t>
      </w:r>
      <w:r w:rsidR="006E423A" w:rsidRPr="00817409">
        <w:t>201</w:t>
      </w:r>
      <w:r w:rsidR="00696EF1">
        <w:t>7</w:t>
      </w:r>
      <w:r w:rsidRPr="00A84CBD">
        <w:t xml:space="preserve"> </w:t>
      </w:r>
      <w:r>
        <w:t>for the purposes of this CRIS).</w:t>
      </w:r>
    </w:p>
    <w:p w14:paraId="4077932D" w14:textId="77777777" w:rsidR="009E783D" w:rsidRPr="005D0BC8" w:rsidRDefault="009E783D" w:rsidP="009E783D">
      <w:r w:rsidRPr="00A84CBD">
        <w:t xml:space="preserve">Subsection 14(1) of the Act specifies that the amount of the charge to be imposed on a carrier licence is the amount ascertained in accordance with a written determination made by the ACMA. </w:t>
      </w:r>
    </w:p>
    <w:p w14:paraId="4655F66C" w14:textId="361BD0DA" w:rsidR="006A7342" w:rsidRPr="002223D2" w:rsidRDefault="009906F9" w:rsidP="005B4096">
      <w:pPr>
        <w:shd w:val="clear" w:color="auto" w:fill="FFFFFF"/>
        <w:spacing w:after="80" w:line="240" w:lineRule="auto"/>
        <w:rPr>
          <w:rFonts w:cs="Arial"/>
          <w:szCs w:val="20"/>
          <w:lang w:val="en-US"/>
        </w:rPr>
      </w:pPr>
      <w:r>
        <w:t>T</w:t>
      </w:r>
      <w:r w:rsidR="00CB7A04">
        <w:t xml:space="preserve">he </w:t>
      </w:r>
      <w:r w:rsidR="00CB7A04" w:rsidRPr="002223D2">
        <w:rPr>
          <w:rFonts w:cs="Arial"/>
        </w:rPr>
        <w:t>Australian Communications and Media Authority (Annual Carrier Licence Charge) Direction 2017</w:t>
      </w:r>
      <w:r w:rsidR="00C259F8">
        <w:rPr>
          <w:rStyle w:val="FootnoteReference"/>
          <w:rFonts w:cs="Arial"/>
        </w:rPr>
        <w:footnoteReference w:id="5"/>
      </w:r>
      <w:r w:rsidR="004F3816">
        <w:rPr>
          <w:rFonts w:cs="Arial"/>
        </w:rPr>
        <w:t xml:space="preserve"> </w:t>
      </w:r>
      <w:r w:rsidR="002223D2">
        <w:rPr>
          <w:rFonts w:cs="Arial"/>
        </w:rPr>
        <w:t xml:space="preserve">(the </w:t>
      </w:r>
      <w:r>
        <w:rPr>
          <w:rFonts w:cs="Arial"/>
        </w:rPr>
        <w:t xml:space="preserve">2017 </w:t>
      </w:r>
      <w:r w:rsidR="002223D2">
        <w:rPr>
          <w:rFonts w:cs="Arial"/>
        </w:rPr>
        <w:t>Direction)</w:t>
      </w:r>
      <w:r w:rsidR="00CB7A04">
        <w:rPr>
          <w:rFonts w:cs="Arial"/>
        </w:rPr>
        <w:t xml:space="preserve"> applies </w:t>
      </w:r>
      <w:r w:rsidR="00F5728D">
        <w:rPr>
          <w:rFonts w:cs="Arial"/>
        </w:rPr>
        <w:t>to</w:t>
      </w:r>
      <w:r w:rsidR="00CB7A04">
        <w:rPr>
          <w:rFonts w:cs="Arial"/>
        </w:rPr>
        <w:t xml:space="preserve"> carrier licences t</w:t>
      </w:r>
      <w:r w:rsidR="004F3816">
        <w:rPr>
          <w:rFonts w:cs="Arial"/>
        </w:rPr>
        <w:t xml:space="preserve">hat were in force on </w:t>
      </w:r>
      <w:r w:rsidR="00F5728D">
        <w:rPr>
          <w:rFonts w:cs="Arial"/>
        </w:rPr>
        <w:t>1 </w:t>
      </w:r>
      <w:r w:rsidR="004F3816">
        <w:rPr>
          <w:rFonts w:cs="Arial"/>
        </w:rPr>
        <w:t>July 2017</w:t>
      </w:r>
      <w:r w:rsidR="00CB7A04">
        <w:rPr>
          <w:rFonts w:cs="Arial"/>
        </w:rPr>
        <w:t xml:space="preserve">. </w:t>
      </w:r>
      <w:r w:rsidR="006A7342" w:rsidRPr="006A7342">
        <w:rPr>
          <w:rFonts w:cs="Arial"/>
          <w:szCs w:val="20"/>
        </w:rPr>
        <w:t xml:space="preserve">The </w:t>
      </w:r>
      <w:r w:rsidR="00CE1BCF">
        <w:rPr>
          <w:rFonts w:cs="Arial"/>
          <w:szCs w:val="20"/>
        </w:rPr>
        <w:t xml:space="preserve">2017 </w:t>
      </w:r>
      <w:r w:rsidR="006A7342" w:rsidRPr="006A7342">
        <w:rPr>
          <w:rFonts w:cs="Arial"/>
          <w:szCs w:val="20"/>
        </w:rPr>
        <w:t xml:space="preserve">Direction requires the ACMA to </w:t>
      </w:r>
      <w:r w:rsidR="006A7342" w:rsidRPr="002223D2">
        <w:rPr>
          <w:rFonts w:cs="Arial"/>
          <w:szCs w:val="20"/>
        </w:rPr>
        <w:t>make such determinations as are necessary under subsection 14(1) of the Act to have the effect of imposing an annual carrier licence charge in the amount of $0 on each carrier licence that is:</w:t>
      </w:r>
    </w:p>
    <w:p w14:paraId="6ADB553D" w14:textId="6428109D" w:rsidR="006A7342" w:rsidRPr="007B5ADB" w:rsidRDefault="006A7342" w:rsidP="005B4096">
      <w:pPr>
        <w:pStyle w:val="ListBullet"/>
        <w:rPr>
          <w:lang w:val="en-US"/>
        </w:rPr>
      </w:pPr>
      <w:r w:rsidRPr="007B5ADB">
        <w:t>in force at the beginning of a relevant financial year</w:t>
      </w:r>
      <w:r w:rsidR="002223D2" w:rsidRPr="007B5ADB">
        <w:rPr>
          <w:rStyle w:val="FootnoteReference"/>
          <w:rFonts w:cs="Arial"/>
          <w:szCs w:val="20"/>
        </w:rPr>
        <w:footnoteReference w:id="6"/>
      </w:r>
    </w:p>
    <w:p w14:paraId="7B61F45A" w14:textId="70123392" w:rsidR="006A7342" w:rsidRPr="007B5ADB" w:rsidRDefault="006A7342" w:rsidP="005B4096">
      <w:pPr>
        <w:pStyle w:val="ListBulletLast"/>
      </w:pPr>
      <w:r w:rsidRPr="007B5ADB">
        <w:t>held by a carrier that was a non-participating person for the eligible revenue period immediately preceding that financial year.</w:t>
      </w:r>
    </w:p>
    <w:p w14:paraId="77E80FD0" w14:textId="77777777" w:rsidR="009E783D" w:rsidRPr="005D0BC8" w:rsidRDefault="009E783D" w:rsidP="009E783D">
      <w:r>
        <w:t>Accordingly, under the</w:t>
      </w:r>
      <w:r w:rsidRPr="00E4568B">
        <w:t xml:space="preserve"> </w:t>
      </w:r>
      <w:r w:rsidR="005A035B">
        <w:t xml:space="preserve">proposed </w:t>
      </w:r>
      <w:r w:rsidRPr="00C259F8">
        <w:t>Telecommunications (Annual Carrier Licence</w:t>
      </w:r>
      <w:r w:rsidR="006E423A" w:rsidRPr="00C259F8">
        <w:t xml:space="preserve"> Charge) Determination 201</w:t>
      </w:r>
      <w:r w:rsidR="004F3816" w:rsidRPr="00C259F8">
        <w:t>8</w:t>
      </w:r>
      <w:r w:rsidR="007F15C9" w:rsidRPr="0007149B">
        <w:t xml:space="preserve"> </w:t>
      </w:r>
      <w:r w:rsidR="007F15C9">
        <w:t xml:space="preserve">to be made </w:t>
      </w:r>
      <w:r w:rsidR="003C50CF">
        <w:t xml:space="preserve">by the ACMA </w:t>
      </w:r>
      <w:r w:rsidR="007F15C9">
        <w:t xml:space="preserve">under subsection 14(1) of the Act, </w:t>
      </w:r>
      <w:r w:rsidRPr="00A84CBD">
        <w:t>carriers who were non-participating persons</w:t>
      </w:r>
      <w:r w:rsidRPr="005D0BC8">
        <w:t xml:space="preserve"> </w:t>
      </w:r>
      <w:r w:rsidRPr="00A84CBD">
        <w:t xml:space="preserve">for the </w:t>
      </w:r>
      <w:r w:rsidR="00B15F8A">
        <w:t>201</w:t>
      </w:r>
      <w:r w:rsidR="004F3816">
        <w:t>6</w:t>
      </w:r>
      <w:r w:rsidR="00145727">
        <w:t>–</w:t>
      </w:r>
      <w:r w:rsidR="00B15F8A">
        <w:t>1</w:t>
      </w:r>
      <w:r w:rsidR="004F3816">
        <w:t>7</w:t>
      </w:r>
      <w:r w:rsidR="00B15F8A">
        <w:t xml:space="preserve"> </w:t>
      </w:r>
      <w:r w:rsidRPr="00A84CBD">
        <w:t xml:space="preserve">eligible revenue period </w:t>
      </w:r>
      <w:r w:rsidR="00CE1BCF">
        <w:t>will</w:t>
      </w:r>
      <w:r w:rsidRPr="00A84CBD">
        <w:t xml:space="preserve">, in effect, </w:t>
      </w:r>
      <w:r w:rsidR="00CE1BCF">
        <w:t xml:space="preserve">be </w:t>
      </w:r>
      <w:r w:rsidRPr="00A84CBD">
        <w:t xml:space="preserve">exempted from the liability to pay the ACLC. </w:t>
      </w:r>
    </w:p>
    <w:p w14:paraId="1CB386CA" w14:textId="7C5BEE74" w:rsidR="009E783D" w:rsidRDefault="009E783D" w:rsidP="009E783D">
      <w:r w:rsidRPr="00A84CBD">
        <w:t>S</w:t>
      </w:r>
      <w:r>
        <w:t>ubs</w:t>
      </w:r>
      <w:r w:rsidRPr="00A84CBD">
        <w:t>ection 15</w:t>
      </w:r>
      <w:r>
        <w:t>(1)</w:t>
      </w:r>
      <w:r w:rsidRPr="00A84CBD">
        <w:t xml:space="preserve"> of the Act requires that the total of the charges that are imposed on carrier licences </w:t>
      </w:r>
      <w:r>
        <w:t xml:space="preserve">in force at the beginning of a financial year </w:t>
      </w:r>
      <w:r w:rsidRPr="00A84CBD">
        <w:t>must not exceed the sum of the cost components identified in paragraphs 15(1)(a) to 15(1)(d) of the Act (see Table</w:t>
      </w:r>
      <w:r w:rsidR="00DC78B0">
        <w:t> </w:t>
      </w:r>
      <w:r w:rsidRPr="00A84CBD">
        <w:t xml:space="preserve">1). Further information on these cost components is provided in </w:t>
      </w:r>
      <w:r w:rsidR="0027788D">
        <w:t xml:space="preserve">Chapter </w:t>
      </w:r>
      <w:r w:rsidR="0014060A">
        <w:t xml:space="preserve">3 in this </w:t>
      </w:r>
      <w:r w:rsidR="00144A3A" w:rsidRPr="00144A3A">
        <w:t>CRIS</w:t>
      </w:r>
      <w:r w:rsidRPr="00A84CBD">
        <w:t>.</w:t>
      </w:r>
    </w:p>
    <w:p w14:paraId="2E46C056" w14:textId="77777777" w:rsidR="00261921" w:rsidRPr="006A56FD" w:rsidRDefault="00261921" w:rsidP="006A56FD">
      <w:pPr>
        <w:pStyle w:val="ACMATableHeader"/>
      </w:pPr>
      <w:r w:rsidRPr="006A56FD">
        <w:t>Structural components of the ACLC</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57" w:type="dxa"/>
          <w:bottom w:w="57" w:type="dxa"/>
        </w:tblCellMar>
        <w:tblLook w:val="04A0" w:firstRow="1" w:lastRow="0" w:firstColumn="1" w:lastColumn="0" w:noHBand="0" w:noVBand="1"/>
        <w:tblCaption w:val="Structural components of the ACLC"/>
        <w:tblDescription w:val="Includes reference in the Act and cost component"/>
      </w:tblPr>
      <w:tblGrid>
        <w:gridCol w:w="2070"/>
        <w:gridCol w:w="5585"/>
      </w:tblGrid>
      <w:tr w:rsidR="00B4734C" w:rsidRPr="00C320F6" w14:paraId="2898E2EA" w14:textId="77777777" w:rsidTr="00B64534">
        <w:trPr>
          <w:trHeight w:val="319"/>
          <w:tblHeader/>
        </w:trPr>
        <w:tc>
          <w:tcPr>
            <w:tcW w:w="1352" w:type="pct"/>
            <w:shd w:val="clear" w:color="auto" w:fill="404040" w:themeFill="text1" w:themeFillTint="BF"/>
          </w:tcPr>
          <w:p w14:paraId="6B4D6B9F" w14:textId="77777777" w:rsidR="00B4734C" w:rsidRPr="00B64534" w:rsidRDefault="00B4734C" w:rsidP="00B64534">
            <w:pPr>
              <w:pStyle w:val="TableHeading"/>
              <w:rPr>
                <w:b w:val="0"/>
                <w:color w:val="FFFFFF" w:themeColor="background1"/>
              </w:rPr>
            </w:pPr>
            <w:r w:rsidRPr="00B64534">
              <w:rPr>
                <w:color w:val="FFFFFF" w:themeColor="background1"/>
              </w:rPr>
              <w:t>Reference in the Act</w:t>
            </w:r>
          </w:p>
        </w:tc>
        <w:tc>
          <w:tcPr>
            <w:tcW w:w="3648" w:type="pct"/>
            <w:tcBorders>
              <w:top w:val="single" w:sz="6" w:space="0" w:color="auto"/>
            </w:tcBorders>
            <w:shd w:val="clear" w:color="auto" w:fill="404040" w:themeFill="text1" w:themeFillTint="BF"/>
          </w:tcPr>
          <w:p w14:paraId="14269E70" w14:textId="77777777" w:rsidR="00B4734C" w:rsidRPr="00B64534" w:rsidRDefault="00B4734C" w:rsidP="00B64534">
            <w:pPr>
              <w:pStyle w:val="TableHeading"/>
              <w:rPr>
                <w:b w:val="0"/>
                <w:color w:val="FFFFFF" w:themeColor="background1"/>
              </w:rPr>
            </w:pPr>
            <w:r w:rsidRPr="00B64534">
              <w:rPr>
                <w:color w:val="FFFFFF" w:themeColor="background1"/>
              </w:rPr>
              <w:t>Cost component</w:t>
            </w:r>
          </w:p>
        </w:tc>
      </w:tr>
      <w:tr w:rsidR="00B4734C" w:rsidRPr="00C320F6" w14:paraId="13739874" w14:textId="77777777" w:rsidTr="00E230DB">
        <w:trPr>
          <w:trHeight w:val="163"/>
          <w:tblHeader/>
        </w:trPr>
        <w:tc>
          <w:tcPr>
            <w:tcW w:w="1352" w:type="pct"/>
          </w:tcPr>
          <w:p w14:paraId="0C45F5A4" w14:textId="77777777" w:rsidR="00B4734C" w:rsidRPr="00426212" w:rsidRDefault="00B4734C" w:rsidP="002534A7">
            <w:pPr>
              <w:keepNext/>
              <w:spacing w:after="0"/>
              <w:rPr>
                <w:rFonts w:cs="Arial"/>
                <w:szCs w:val="20"/>
              </w:rPr>
            </w:pPr>
            <w:r w:rsidRPr="00426212">
              <w:rPr>
                <w:rFonts w:cs="Arial"/>
                <w:szCs w:val="20"/>
              </w:rPr>
              <w:t>15(1)(a)</w:t>
            </w:r>
          </w:p>
        </w:tc>
        <w:tc>
          <w:tcPr>
            <w:tcW w:w="3648" w:type="pct"/>
          </w:tcPr>
          <w:p w14:paraId="72ED44C1" w14:textId="77777777" w:rsidR="00B4734C" w:rsidRPr="00426212" w:rsidRDefault="00145727" w:rsidP="002534A7">
            <w:pPr>
              <w:keepNext/>
              <w:spacing w:after="0"/>
              <w:rPr>
                <w:rFonts w:cs="Arial"/>
                <w:szCs w:val="20"/>
              </w:rPr>
            </w:pPr>
            <w:r>
              <w:rPr>
                <w:rFonts w:cs="Arial"/>
                <w:szCs w:val="20"/>
              </w:rPr>
              <w:t>T</w:t>
            </w:r>
            <w:r w:rsidR="00B4734C">
              <w:rPr>
                <w:rFonts w:cs="Arial"/>
                <w:szCs w:val="20"/>
              </w:rPr>
              <w:t xml:space="preserve">he </w:t>
            </w:r>
            <w:r w:rsidR="00B4734C" w:rsidRPr="00426212">
              <w:rPr>
                <w:rFonts w:cs="Arial"/>
                <w:szCs w:val="20"/>
              </w:rPr>
              <w:t>ACMA’s cost component</w:t>
            </w:r>
          </w:p>
        </w:tc>
      </w:tr>
      <w:tr w:rsidR="00B4734C" w:rsidRPr="00C320F6" w14:paraId="7DB193AB" w14:textId="77777777" w:rsidTr="00E230DB">
        <w:trPr>
          <w:trHeight w:val="211"/>
          <w:tblHeader/>
        </w:trPr>
        <w:tc>
          <w:tcPr>
            <w:tcW w:w="1352" w:type="pct"/>
          </w:tcPr>
          <w:p w14:paraId="54AC42D3" w14:textId="77777777" w:rsidR="00B4734C" w:rsidRPr="00426212" w:rsidRDefault="00B4734C" w:rsidP="002534A7">
            <w:pPr>
              <w:keepNext/>
              <w:spacing w:after="0"/>
              <w:rPr>
                <w:rFonts w:cs="Arial"/>
                <w:szCs w:val="20"/>
              </w:rPr>
            </w:pPr>
            <w:r w:rsidRPr="00426212">
              <w:rPr>
                <w:rFonts w:cs="Arial"/>
                <w:szCs w:val="20"/>
              </w:rPr>
              <w:t>15(1)(b)</w:t>
            </w:r>
          </w:p>
        </w:tc>
        <w:tc>
          <w:tcPr>
            <w:tcW w:w="3648" w:type="pct"/>
          </w:tcPr>
          <w:p w14:paraId="6F8C8AB1" w14:textId="77777777" w:rsidR="00B4734C" w:rsidRPr="00426212" w:rsidRDefault="00145727" w:rsidP="002534A7">
            <w:pPr>
              <w:keepNext/>
              <w:spacing w:after="0"/>
              <w:rPr>
                <w:rFonts w:cs="Arial"/>
                <w:szCs w:val="20"/>
              </w:rPr>
            </w:pPr>
            <w:r>
              <w:rPr>
                <w:rFonts w:cs="Arial"/>
                <w:szCs w:val="20"/>
              </w:rPr>
              <w:t>T</w:t>
            </w:r>
            <w:r w:rsidR="00B4734C">
              <w:rPr>
                <w:rFonts w:cs="Arial"/>
                <w:szCs w:val="20"/>
              </w:rPr>
              <w:t xml:space="preserve">he </w:t>
            </w:r>
            <w:r w:rsidR="00B4734C" w:rsidRPr="00426212">
              <w:rPr>
                <w:rFonts w:cs="Arial"/>
                <w:szCs w:val="20"/>
              </w:rPr>
              <w:t>ACCC’s cost component</w:t>
            </w:r>
            <w:r w:rsidR="00004252">
              <w:rPr>
                <w:rStyle w:val="FootnoteReference"/>
                <w:rFonts w:cs="Arial"/>
                <w:szCs w:val="20"/>
              </w:rPr>
              <w:footnoteReference w:id="7"/>
            </w:r>
          </w:p>
        </w:tc>
      </w:tr>
      <w:tr w:rsidR="00B4734C" w:rsidRPr="00C320F6" w14:paraId="5E077F83" w14:textId="77777777" w:rsidTr="00E230DB">
        <w:trPr>
          <w:trHeight w:val="131"/>
          <w:tblHeader/>
        </w:trPr>
        <w:tc>
          <w:tcPr>
            <w:tcW w:w="1352" w:type="pct"/>
          </w:tcPr>
          <w:p w14:paraId="207B1291" w14:textId="77777777" w:rsidR="00B4734C" w:rsidRPr="00426212" w:rsidRDefault="00B4734C" w:rsidP="002534A7">
            <w:pPr>
              <w:keepNext/>
              <w:spacing w:after="0"/>
              <w:rPr>
                <w:rFonts w:cs="Arial"/>
                <w:szCs w:val="20"/>
              </w:rPr>
            </w:pPr>
            <w:r w:rsidRPr="00426212">
              <w:rPr>
                <w:rFonts w:cs="Arial"/>
                <w:szCs w:val="20"/>
              </w:rPr>
              <w:t>15(1)(c)</w:t>
            </w:r>
          </w:p>
        </w:tc>
        <w:tc>
          <w:tcPr>
            <w:tcW w:w="3648" w:type="pct"/>
          </w:tcPr>
          <w:p w14:paraId="2C83F980" w14:textId="05CA90B8" w:rsidR="00B4734C" w:rsidRPr="00426212" w:rsidRDefault="00252477" w:rsidP="00252477">
            <w:pPr>
              <w:keepNext/>
              <w:spacing w:after="0"/>
              <w:rPr>
                <w:rFonts w:cs="Arial"/>
                <w:szCs w:val="20"/>
              </w:rPr>
            </w:pPr>
            <w:r>
              <w:rPr>
                <w:rFonts w:cs="Arial"/>
                <w:szCs w:val="20"/>
              </w:rPr>
              <w:t xml:space="preserve">ITU </w:t>
            </w:r>
            <w:r w:rsidR="00B4734C" w:rsidRPr="00426212">
              <w:rPr>
                <w:rFonts w:cs="Arial"/>
                <w:szCs w:val="20"/>
              </w:rPr>
              <w:t>contribution</w:t>
            </w:r>
          </w:p>
        </w:tc>
      </w:tr>
      <w:tr w:rsidR="00B4734C" w:rsidRPr="00C320F6" w14:paraId="4898BC2E" w14:textId="77777777" w:rsidTr="00B64534">
        <w:trPr>
          <w:trHeight w:val="405"/>
          <w:tblHeader/>
        </w:trPr>
        <w:tc>
          <w:tcPr>
            <w:tcW w:w="1352" w:type="pct"/>
          </w:tcPr>
          <w:p w14:paraId="60B3A086" w14:textId="77777777" w:rsidR="00B4734C" w:rsidRPr="00426212" w:rsidRDefault="00B4734C" w:rsidP="002534A7">
            <w:pPr>
              <w:keepNext/>
              <w:spacing w:after="0"/>
              <w:rPr>
                <w:rFonts w:cs="Arial"/>
                <w:szCs w:val="20"/>
              </w:rPr>
            </w:pPr>
            <w:r w:rsidRPr="00426212">
              <w:rPr>
                <w:rFonts w:cs="Arial"/>
                <w:szCs w:val="20"/>
              </w:rPr>
              <w:t>15(1)(ca)</w:t>
            </w:r>
          </w:p>
        </w:tc>
        <w:tc>
          <w:tcPr>
            <w:tcW w:w="3648" w:type="pct"/>
          </w:tcPr>
          <w:p w14:paraId="66223002" w14:textId="77777777" w:rsidR="00B4734C" w:rsidRPr="00426212" w:rsidRDefault="00B15F8A" w:rsidP="00B15F8A">
            <w:pPr>
              <w:keepNext/>
              <w:spacing w:after="0"/>
              <w:rPr>
                <w:rFonts w:cs="Arial"/>
                <w:szCs w:val="20"/>
              </w:rPr>
            </w:pPr>
            <w:r>
              <w:rPr>
                <w:rFonts w:cs="Arial"/>
                <w:szCs w:val="20"/>
              </w:rPr>
              <w:t>Reimbursement of cost of d</w:t>
            </w:r>
            <w:r w:rsidR="00B4734C" w:rsidRPr="00426212">
              <w:rPr>
                <w:rFonts w:cs="Arial"/>
                <w:szCs w:val="20"/>
              </w:rPr>
              <w:t>evelop</w:t>
            </w:r>
            <w:r>
              <w:rPr>
                <w:rFonts w:cs="Arial"/>
                <w:szCs w:val="20"/>
              </w:rPr>
              <w:t>ing or varying</w:t>
            </w:r>
            <w:r w:rsidR="00B4734C" w:rsidRPr="00426212">
              <w:rPr>
                <w:rFonts w:cs="Arial"/>
                <w:szCs w:val="20"/>
              </w:rPr>
              <w:t xml:space="preserve"> consumer protection related industry codes</w:t>
            </w:r>
          </w:p>
        </w:tc>
      </w:tr>
      <w:tr w:rsidR="00B4734C" w:rsidRPr="00C320F6" w14:paraId="53F1BA38" w14:textId="77777777" w:rsidTr="00E230DB">
        <w:trPr>
          <w:trHeight w:val="159"/>
          <w:tblHeader/>
        </w:trPr>
        <w:tc>
          <w:tcPr>
            <w:tcW w:w="1352" w:type="pct"/>
          </w:tcPr>
          <w:p w14:paraId="2678096E" w14:textId="77777777" w:rsidR="00B4734C" w:rsidRPr="00426212" w:rsidRDefault="00B4734C" w:rsidP="002534A7">
            <w:pPr>
              <w:keepNext/>
              <w:spacing w:after="0"/>
              <w:rPr>
                <w:rFonts w:cs="Arial"/>
                <w:szCs w:val="20"/>
              </w:rPr>
            </w:pPr>
            <w:r w:rsidRPr="00426212">
              <w:rPr>
                <w:rFonts w:cs="Arial"/>
                <w:szCs w:val="20"/>
              </w:rPr>
              <w:t>15(1)(d)</w:t>
            </w:r>
          </w:p>
        </w:tc>
        <w:tc>
          <w:tcPr>
            <w:tcW w:w="3648" w:type="pct"/>
          </w:tcPr>
          <w:p w14:paraId="660E76D5" w14:textId="77777777" w:rsidR="00B4734C" w:rsidRPr="00426212" w:rsidRDefault="00B4734C" w:rsidP="002534A7">
            <w:pPr>
              <w:keepNext/>
              <w:spacing w:after="0"/>
              <w:rPr>
                <w:rFonts w:cs="Arial"/>
                <w:szCs w:val="20"/>
              </w:rPr>
            </w:pPr>
            <w:r>
              <w:rPr>
                <w:rFonts w:cs="Arial"/>
                <w:szCs w:val="20"/>
              </w:rPr>
              <w:t>Government g</w:t>
            </w:r>
            <w:r w:rsidRPr="00426212">
              <w:rPr>
                <w:rFonts w:cs="Arial"/>
                <w:szCs w:val="20"/>
              </w:rPr>
              <w:t>rants</w:t>
            </w:r>
            <w:r>
              <w:rPr>
                <w:rFonts w:cs="Arial"/>
                <w:szCs w:val="20"/>
              </w:rPr>
              <w:t>—</w:t>
            </w:r>
            <w:r w:rsidRPr="00120B54">
              <w:rPr>
                <w:rFonts w:cs="Arial"/>
                <w:szCs w:val="20"/>
              </w:rPr>
              <w:t>consumer representation and research</w:t>
            </w:r>
          </w:p>
        </w:tc>
      </w:tr>
    </w:tbl>
    <w:p w14:paraId="7B81E54F" w14:textId="77777777" w:rsidR="00145727" w:rsidRDefault="00145727" w:rsidP="00004252">
      <w:pPr>
        <w:pStyle w:val="ACMASpaceaftertable"/>
      </w:pPr>
    </w:p>
    <w:p w14:paraId="41470847" w14:textId="77777777" w:rsidR="004856ED" w:rsidRDefault="007F15C9" w:rsidP="003F7E3A">
      <w:pPr>
        <w:spacing w:before="240"/>
      </w:pPr>
      <w:r>
        <w:t xml:space="preserve">The </w:t>
      </w:r>
      <w:r w:rsidR="009E783D" w:rsidRPr="00A84CBD">
        <w:t xml:space="preserve">ACMA </w:t>
      </w:r>
      <w:r w:rsidR="00876B93">
        <w:t xml:space="preserve">will </w:t>
      </w:r>
      <w:r w:rsidR="009E783D" w:rsidRPr="00A84CBD">
        <w:t>make a determination</w:t>
      </w:r>
      <w:r>
        <w:t xml:space="preserve"> under </w:t>
      </w:r>
      <w:r w:rsidRPr="00A84CBD">
        <w:t>s</w:t>
      </w:r>
      <w:r>
        <w:t>ubs</w:t>
      </w:r>
      <w:r w:rsidRPr="00A84CBD">
        <w:t>ection 1</w:t>
      </w:r>
      <w:r>
        <w:t>4(1)</w:t>
      </w:r>
      <w:r w:rsidRPr="00A84CBD">
        <w:t xml:space="preserve"> of the Act</w:t>
      </w:r>
      <w:r w:rsidR="009E783D" w:rsidRPr="00A84CBD">
        <w:t xml:space="preserve"> </w:t>
      </w:r>
      <w:r w:rsidR="00145727">
        <w:t xml:space="preserve">that </w:t>
      </w:r>
      <w:r w:rsidR="009E783D">
        <w:t>set</w:t>
      </w:r>
      <w:r w:rsidR="00E70CCD">
        <w:t>s</w:t>
      </w:r>
      <w:r w:rsidR="009E783D">
        <w:t xml:space="preserve"> out the ACLC imposed on liable individual carrier licences</w:t>
      </w:r>
      <w:r w:rsidR="00145727">
        <w:t>,</w:t>
      </w:r>
      <w:r w:rsidR="009E783D">
        <w:t xml:space="preserve"> and the method of ascertaining the amount of the charge</w:t>
      </w:r>
      <w:r w:rsidR="009E783D" w:rsidRPr="00A84CBD">
        <w:t>.</w:t>
      </w:r>
    </w:p>
    <w:p w14:paraId="5D1559F1" w14:textId="77777777" w:rsidR="009E783D" w:rsidRPr="005D0BC8" w:rsidRDefault="009E783D" w:rsidP="003F7E3A">
      <w:pPr>
        <w:spacing w:before="240"/>
      </w:pPr>
      <w:r w:rsidRPr="00A84CBD">
        <w:t xml:space="preserve">In accordance with </w:t>
      </w:r>
      <w:r>
        <w:t>sub</w:t>
      </w:r>
      <w:r w:rsidRPr="00A84CBD">
        <w:t>section 1</w:t>
      </w:r>
      <w:r>
        <w:t>5(1)</w:t>
      </w:r>
      <w:r w:rsidRPr="00A84CBD">
        <w:t xml:space="preserve"> of the Act, the ACMA </w:t>
      </w:r>
      <w:r w:rsidR="00876B93">
        <w:t xml:space="preserve">will also </w:t>
      </w:r>
      <w:r w:rsidRPr="00A84CBD">
        <w:t xml:space="preserve">make a separate determination </w:t>
      </w:r>
      <w:r>
        <w:t>specifying the amounts under paragraphs 15(1)(a), 15(1)(</w:t>
      </w:r>
      <w:r w:rsidR="00B15F8A">
        <w:t>c</w:t>
      </w:r>
      <w:r>
        <w:t>) and 15(1)(ca) of the Act</w:t>
      </w:r>
      <w:r w:rsidRPr="00A84CBD">
        <w:t xml:space="preserve">. </w:t>
      </w:r>
    </w:p>
    <w:p w14:paraId="606475AA" w14:textId="16C0658F" w:rsidR="001E75F7" w:rsidRDefault="00931AC7" w:rsidP="009E783D">
      <w:r>
        <w:t>T</w:t>
      </w:r>
      <w:r w:rsidR="009E783D" w:rsidRPr="00A84CBD">
        <w:t xml:space="preserve">he ACCC </w:t>
      </w:r>
      <w:r w:rsidR="001E75F7">
        <w:t>has</w:t>
      </w:r>
      <w:r w:rsidR="004F3816">
        <w:t xml:space="preserve"> ma</w:t>
      </w:r>
      <w:r w:rsidR="001E75F7">
        <w:t>d</w:t>
      </w:r>
      <w:r w:rsidR="004F3816">
        <w:t>e</w:t>
      </w:r>
      <w:r w:rsidR="009E783D" w:rsidRPr="00A84CBD">
        <w:t xml:space="preserve"> </w:t>
      </w:r>
      <w:r w:rsidR="00185049">
        <w:t xml:space="preserve">a </w:t>
      </w:r>
      <w:r w:rsidR="009E783D" w:rsidRPr="00A84CBD">
        <w:t>determination</w:t>
      </w:r>
      <w:r w:rsidR="001E75F7">
        <w:rPr>
          <w:rStyle w:val="FootnoteReference"/>
        </w:rPr>
        <w:footnoteReference w:id="8"/>
      </w:r>
      <w:r w:rsidR="009E783D" w:rsidRPr="00A84CBD">
        <w:t xml:space="preserve"> </w:t>
      </w:r>
      <w:r w:rsidR="001E75F7">
        <w:t>specifying</w:t>
      </w:r>
      <w:r w:rsidR="009E783D" w:rsidRPr="00A84CBD">
        <w:t xml:space="preserve"> the costs described in paragraph 15(1)(b) of the Act</w:t>
      </w:r>
      <w:r w:rsidR="00A61505">
        <w:t>.</w:t>
      </w:r>
      <w:r w:rsidR="009E783D" w:rsidRPr="00A84CBD">
        <w:t xml:space="preserve"> </w:t>
      </w:r>
    </w:p>
    <w:p w14:paraId="58995594" w14:textId="0902DF77" w:rsidR="002C5439" w:rsidRDefault="009E783D" w:rsidP="009E783D">
      <w:r w:rsidRPr="00A84CBD">
        <w:t xml:space="preserve">All </w:t>
      </w:r>
      <w:r w:rsidR="00876B93">
        <w:t xml:space="preserve">the </w:t>
      </w:r>
      <w:r w:rsidRPr="00A84CBD">
        <w:t xml:space="preserve">determinations </w:t>
      </w:r>
      <w:r w:rsidR="00876B93">
        <w:t>will be</w:t>
      </w:r>
      <w:r w:rsidR="00876B93" w:rsidRPr="00A84CBD">
        <w:t xml:space="preserve"> </w:t>
      </w:r>
      <w:r w:rsidRPr="00A84CBD">
        <w:t>registered on the Federal Register of Legislati</w:t>
      </w:r>
      <w:r w:rsidR="00B15F8A">
        <w:t>on</w:t>
      </w:r>
      <w:r w:rsidRPr="00A84CBD">
        <w:t xml:space="preserve"> by the respective entities before the invoices are forwarded by the ACMA to the licensed carriers.</w:t>
      </w:r>
    </w:p>
    <w:p w14:paraId="0D74F545" w14:textId="77777777" w:rsidR="00A622CC" w:rsidRPr="006A56FD" w:rsidRDefault="00A622CC" w:rsidP="005B4096">
      <w:pPr>
        <w:pStyle w:val="ACMATableHeader"/>
        <w:keepNext/>
      </w:pPr>
      <w:r w:rsidRPr="006A56FD">
        <w:t>List of legislative instruments for imp</w:t>
      </w:r>
      <w:r w:rsidR="006E423A" w:rsidRPr="006A56FD">
        <w:t>osition of the ACLC for the 201</w:t>
      </w:r>
      <w:r w:rsidR="004F3816">
        <w:t>7</w:t>
      </w:r>
      <w:r w:rsidR="006E423A" w:rsidRPr="006A56FD">
        <w:t>–1</w:t>
      </w:r>
      <w:r w:rsidR="004F3816">
        <w:t>8</w:t>
      </w:r>
      <w:r w:rsidRPr="006A56FD">
        <w:t xml:space="preserve"> financial year</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57" w:type="dxa"/>
          <w:bottom w:w="57" w:type="dxa"/>
        </w:tblCellMar>
        <w:tblLook w:val="04A0" w:firstRow="1" w:lastRow="0" w:firstColumn="1" w:lastColumn="0" w:noHBand="0" w:noVBand="1"/>
        <w:tblCaption w:val="List of legislative instruments for imposition of the ACLC for the 2015–16 financial year"/>
        <w:tblDescription w:val="Includes the number, the determination and which paragraph of the Act the determination was made under."/>
      </w:tblPr>
      <w:tblGrid>
        <w:gridCol w:w="5287"/>
        <w:gridCol w:w="2368"/>
      </w:tblGrid>
      <w:tr w:rsidR="005B4096" w:rsidRPr="00426212" w14:paraId="6F6ABF99" w14:textId="77777777" w:rsidTr="005B4096">
        <w:trPr>
          <w:cantSplit/>
          <w:trHeight w:val="343"/>
          <w:tblHeader/>
        </w:trPr>
        <w:tc>
          <w:tcPr>
            <w:tcW w:w="3453" w:type="pct"/>
            <w:shd w:val="clear" w:color="auto" w:fill="404040" w:themeFill="text1" w:themeFillTint="BF"/>
            <w:vAlign w:val="center"/>
          </w:tcPr>
          <w:p w14:paraId="157A8519" w14:textId="77777777" w:rsidR="005B4096" w:rsidRPr="00B64534" w:rsidRDefault="005B4096" w:rsidP="00B64534">
            <w:pPr>
              <w:pStyle w:val="TableHeading"/>
              <w:rPr>
                <w:b w:val="0"/>
                <w:color w:val="FFFFFF" w:themeColor="background1"/>
              </w:rPr>
            </w:pPr>
            <w:r w:rsidRPr="00B64534">
              <w:rPr>
                <w:color w:val="FFFFFF" w:themeColor="background1"/>
              </w:rPr>
              <w:t>Determination</w:t>
            </w:r>
          </w:p>
        </w:tc>
        <w:tc>
          <w:tcPr>
            <w:tcW w:w="1547" w:type="pct"/>
            <w:tcBorders>
              <w:top w:val="single" w:sz="6" w:space="0" w:color="auto"/>
            </w:tcBorders>
            <w:shd w:val="clear" w:color="auto" w:fill="404040" w:themeFill="text1" w:themeFillTint="BF"/>
            <w:vAlign w:val="center"/>
          </w:tcPr>
          <w:p w14:paraId="1850D0E6" w14:textId="77777777" w:rsidR="005B4096" w:rsidRPr="00B64534" w:rsidRDefault="005B4096" w:rsidP="00B64534">
            <w:pPr>
              <w:pStyle w:val="TableHeading"/>
              <w:rPr>
                <w:b w:val="0"/>
                <w:color w:val="FFFFFF" w:themeColor="background1"/>
              </w:rPr>
            </w:pPr>
            <w:r w:rsidRPr="00B64534">
              <w:rPr>
                <w:color w:val="FFFFFF" w:themeColor="background1"/>
              </w:rPr>
              <w:t>Made under</w:t>
            </w:r>
          </w:p>
        </w:tc>
      </w:tr>
      <w:tr w:rsidR="005B4096" w:rsidRPr="00426212" w14:paraId="3DE5A6CC" w14:textId="77777777" w:rsidTr="005B4096">
        <w:trPr>
          <w:cantSplit/>
          <w:trHeight w:val="408"/>
          <w:tblHeader/>
        </w:trPr>
        <w:tc>
          <w:tcPr>
            <w:tcW w:w="3453" w:type="pct"/>
          </w:tcPr>
          <w:p w14:paraId="16758990" w14:textId="77777777" w:rsidR="005B4096" w:rsidRPr="00A61505" w:rsidRDefault="005B4096" w:rsidP="002534A7">
            <w:pPr>
              <w:keepNext/>
              <w:spacing w:after="80"/>
              <w:ind w:right="34"/>
              <w:rPr>
                <w:rFonts w:cs="Arial"/>
                <w:szCs w:val="20"/>
              </w:rPr>
            </w:pPr>
            <w:r w:rsidRPr="00A61505">
              <w:rPr>
                <w:rFonts w:cs="Arial"/>
                <w:szCs w:val="20"/>
              </w:rPr>
              <w:t>Telecommunications (Annual Carrier Licence Charge) Determination 201</w:t>
            </w:r>
            <w:r>
              <w:rPr>
                <w:rFonts w:cs="Arial"/>
                <w:szCs w:val="20"/>
              </w:rPr>
              <w:t>8</w:t>
            </w:r>
          </w:p>
          <w:p w14:paraId="362B1F12" w14:textId="77777777" w:rsidR="005B4096" w:rsidRPr="003A1B6D" w:rsidRDefault="005B4096" w:rsidP="002C5439">
            <w:pPr>
              <w:keepNext/>
              <w:spacing w:after="0"/>
              <w:ind w:right="34"/>
              <w:rPr>
                <w:rFonts w:cs="Arial"/>
                <w:i/>
                <w:szCs w:val="20"/>
              </w:rPr>
            </w:pPr>
            <w:r w:rsidRPr="00A84CBD">
              <w:rPr>
                <w:rFonts w:cs="Arial"/>
                <w:i/>
                <w:szCs w:val="20"/>
              </w:rPr>
              <w:t>(</w:t>
            </w:r>
            <w:r>
              <w:rPr>
                <w:rFonts w:cs="Arial"/>
                <w:i/>
                <w:szCs w:val="20"/>
              </w:rPr>
              <w:t xml:space="preserve">to be </w:t>
            </w:r>
            <w:r w:rsidRPr="00A84CBD">
              <w:rPr>
                <w:rFonts w:cs="Arial"/>
                <w:i/>
                <w:szCs w:val="20"/>
              </w:rPr>
              <w:t>made by the ACMA)</w:t>
            </w:r>
          </w:p>
        </w:tc>
        <w:tc>
          <w:tcPr>
            <w:tcW w:w="1547" w:type="pct"/>
          </w:tcPr>
          <w:p w14:paraId="2F53D380" w14:textId="77777777" w:rsidR="005B4096" w:rsidRPr="00426212" w:rsidRDefault="005B4096" w:rsidP="006174BB">
            <w:pPr>
              <w:keepNext/>
              <w:ind w:right="55"/>
              <w:rPr>
                <w:rFonts w:cs="Arial"/>
                <w:szCs w:val="20"/>
              </w:rPr>
            </w:pPr>
            <w:r w:rsidRPr="00426212">
              <w:rPr>
                <w:rFonts w:cs="Arial"/>
                <w:szCs w:val="20"/>
              </w:rPr>
              <w:t>S</w:t>
            </w:r>
            <w:r>
              <w:rPr>
                <w:rFonts w:cs="Arial"/>
                <w:szCs w:val="20"/>
              </w:rPr>
              <w:t>ubs</w:t>
            </w:r>
            <w:r w:rsidRPr="00426212">
              <w:rPr>
                <w:rFonts w:cs="Arial"/>
                <w:szCs w:val="20"/>
              </w:rPr>
              <w:t>ection 14</w:t>
            </w:r>
            <w:r>
              <w:rPr>
                <w:rFonts w:cs="Arial"/>
                <w:szCs w:val="20"/>
              </w:rPr>
              <w:t>(1)</w:t>
            </w:r>
            <w:r w:rsidRPr="00426212">
              <w:rPr>
                <w:rFonts w:cs="Arial"/>
                <w:szCs w:val="20"/>
              </w:rPr>
              <w:t xml:space="preserve"> of the </w:t>
            </w:r>
            <w:r>
              <w:rPr>
                <w:rFonts w:cs="Arial"/>
                <w:szCs w:val="20"/>
              </w:rPr>
              <w:t>Act</w:t>
            </w:r>
          </w:p>
        </w:tc>
      </w:tr>
      <w:tr w:rsidR="005B4096" w:rsidRPr="00426212" w14:paraId="5E6120F4" w14:textId="77777777" w:rsidTr="005B4096">
        <w:trPr>
          <w:cantSplit/>
          <w:trHeight w:val="799"/>
          <w:tblHeader/>
        </w:trPr>
        <w:tc>
          <w:tcPr>
            <w:tcW w:w="3453" w:type="pct"/>
          </w:tcPr>
          <w:p w14:paraId="6B2C4BA5" w14:textId="77777777" w:rsidR="005B4096" w:rsidRPr="00A61505" w:rsidRDefault="005B4096" w:rsidP="002534A7">
            <w:pPr>
              <w:keepNext/>
              <w:spacing w:after="80"/>
              <w:ind w:right="34"/>
              <w:rPr>
                <w:rFonts w:cs="Arial"/>
                <w:szCs w:val="20"/>
              </w:rPr>
            </w:pPr>
            <w:r w:rsidRPr="00A61505">
              <w:rPr>
                <w:rFonts w:cs="Arial"/>
                <w:szCs w:val="20"/>
              </w:rPr>
              <w:t>Telecommunications (Specification of Costs by ACMA) Determination 201</w:t>
            </w:r>
            <w:r>
              <w:rPr>
                <w:rFonts w:cs="Arial"/>
                <w:szCs w:val="20"/>
              </w:rPr>
              <w:t>8</w:t>
            </w:r>
          </w:p>
          <w:p w14:paraId="1D5EE930" w14:textId="77777777" w:rsidR="005B4096" w:rsidRPr="003A1B6D" w:rsidRDefault="005B4096" w:rsidP="002C5439">
            <w:pPr>
              <w:keepNext/>
              <w:spacing w:after="0"/>
              <w:ind w:right="34"/>
              <w:rPr>
                <w:rFonts w:cs="Arial"/>
                <w:i/>
                <w:szCs w:val="20"/>
              </w:rPr>
            </w:pPr>
            <w:r w:rsidRPr="00A84CBD">
              <w:rPr>
                <w:rFonts w:cs="Arial"/>
                <w:i/>
                <w:szCs w:val="20"/>
              </w:rPr>
              <w:t>(</w:t>
            </w:r>
            <w:r>
              <w:rPr>
                <w:rFonts w:cs="Arial"/>
                <w:i/>
                <w:szCs w:val="20"/>
              </w:rPr>
              <w:t xml:space="preserve">to be </w:t>
            </w:r>
            <w:r w:rsidRPr="00A84CBD">
              <w:rPr>
                <w:rFonts w:cs="Arial"/>
                <w:i/>
                <w:szCs w:val="20"/>
              </w:rPr>
              <w:t>made by the ACMA)</w:t>
            </w:r>
          </w:p>
        </w:tc>
        <w:tc>
          <w:tcPr>
            <w:tcW w:w="1547" w:type="pct"/>
          </w:tcPr>
          <w:p w14:paraId="5D248DCF" w14:textId="77777777" w:rsidR="005B4096" w:rsidRPr="00426212" w:rsidRDefault="005B4096" w:rsidP="002534A7">
            <w:pPr>
              <w:keepNext/>
              <w:spacing w:after="0"/>
              <w:ind w:right="55"/>
              <w:rPr>
                <w:rFonts w:cs="Arial"/>
                <w:szCs w:val="20"/>
              </w:rPr>
            </w:pPr>
            <w:r w:rsidRPr="00426212">
              <w:rPr>
                <w:rFonts w:cs="Arial"/>
                <w:szCs w:val="20"/>
              </w:rPr>
              <w:t xml:space="preserve">Paragraphs 15(1)(a), (c) and (ca) of the </w:t>
            </w:r>
            <w:r>
              <w:rPr>
                <w:rFonts w:cs="Arial"/>
                <w:szCs w:val="20"/>
              </w:rPr>
              <w:t>Act</w:t>
            </w:r>
          </w:p>
        </w:tc>
      </w:tr>
      <w:tr w:rsidR="005B4096" w:rsidRPr="00426212" w14:paraId="133BBF23" w14:textId="77777777" w:rsidTr="005B4096">
        <w:trPr>
          <w:cantSplit/>
          <w:trHeight w:val="420"/>
          <w:tblHeader/>
        </w:trPr>
        <w:tc>
          <w:tcPr>
            <w:tcW w:w="3453" w:type="pct"/>
          </w:tcPr>
          <w:p w14:paraId="030107B8" w14:textId="77777777" w:rsidR="005B4096" w:rsidRPr="00A61505" w:rsidRDefault="005B4096" w:rsidP="002534A7">
            <w:pPr>
              <w:keepNext/>
              <w:spacing w:after="80"/>
              <w:ind w:right="34"/>
              <w:rPr>
                <w:rFonts w:cs="Arial"/>
                <w:szCs w:val="20"/>
              </w:rPr>
            </w:pPr>
            <w:r w:rsidRPr="00A61505">
              <w:rPr>
                <w:rFonts w:cs="Arial"/>
                <w:szCs w:val="20"/>
              </w:rPr>
              <w:t xml:space="preserve">Determination </w:t>
            </w:r>
            <w:r>
              <w:rPr>
                <w:rFonts w:cs="Arial"/>
                <w:szCs w:val="20"/>
              </w:rPr>
              <w:t>u</w:t>
            </w:r>
            <w:r w:rsidRPr="00A61505">
              <w:rPr>
                <w:rFonts w:cs="Arial"/>
                <w:szCs w:val="20"/>
              </w:rPr>
              <w:t xml:space="preserve">nder </w:t>
            </w:r>
            <w:r>
              <w:rPr>
                <w:rFonts w:cs="Arial"/>
                <w:szCs w:val="20"/>
              </w:rPr>
              <w:t>p</w:t>
            </w:r>
            <w:r w:rsidRPr="00A61505">
              <w:rPr>
                <w:rFonts w:cs="Arial"/>
                <w:szCs w:val="20"/>
              </w:rPr>
              <w:t>aragraph 15(1)(b)</w:t>
            </w:r>
          </w:p>
          <w:p w14:paraId="5991CBEC" w14:textId="6E04D38C" w:rsidR="005B4096" w:rsidRPr="003A1B6D" w:rsidRDefault="005B4096" w:rsidP="002534A7">
            <w:pPr>
              <w:keepNext/>
              <w:spacing w:after="0"/>
              <w:ind w:right="34"/>
              <w:rPr>
                <w:rFonts w:cs="Arial"/>
                <w:i/>
                <w:szCs w:val="20"/>
              </w:rPr>
            </w:pPr>
            <w:r w:rsidRPr="00A84CBD">
              <w:rPr>
                <w:rFonts w:cs="Arial"/>
                <w:i/>
                <w:szCs w:val="20"/>
              </w:rPr>
              <w:t>(made by the ACCC)</w:t>
            </w:r>
          </w:p>
        </w:tc>
        <w:tc>
          <w:tcPr>
            <w:tcW w:w="1547" w:type="pct"/>
          </w:tcPr>
          <w:p w14:paraId="494911C6" w14:textId="77777777" w:rsidR="005B4096" w:rsidRPr="00426212" w:rsidRDefault="005B4096" w:rsidP="002534A7">
            <w:pPr>
              <w:keepNext/>
              <w:spacing w:after="0"/>
              <w:ind w:right="55"/>
              <w:rPr>
                <w:rFonts w:cs="Arial"/>
                <w:szCs w:val="20"/>
              </w:rPr>
            </w:pPr>
            <w:r w:rsidRPr="00426212">
              <w:rPr>
                <w:rFonts w:cs="Arial"/>
                <w:szCs w:val="20"/>
              </w:rPr>
              <w:t>Paragraph 15(1)(b) of the</w:t>
            </w:r>
            <w:r>
              <w:rPr>
                <w:rFonts w:cs="Arial"/>
                <w:szCs w:val="20"/>
              </w:rPr>
              <w:t xml:space="preserve"> Act</w:t>
            </w:r>
            <w:r w:rsidRPr="00426212">
              <w:rPr>
                <w:rFonts w:cs="Arial"/>
                <w:szCs w:val="20"/>
              </w:rPr>
              <w:t xml:space="preserve"> </w:t>
            </w:r>
          </w:p>
        </w:tc>
      </w:tr>
      <w:tr w:rsidR="005B4096" w:rsidRPr="00426212" w14:paraId="104514BB" w14:textId="77777777" w:rsidTr="005B4096">
        <w:trPr>
          <w:cantSplit/>
          <w:trHeight w:val="411"/>
          <w:tblHeader/>
        </w:trPr>
        <w:tc>
          <w:tcPr>
            <w:tcW w:w="3453" w:type="pct"/>
          </w:tcPr>
          <w:p w14:paraId="500C9A82" w14:textId="77777777" w:rsidR="005B4096" w:rsidRPr="004A3F35" w:rsidRDefault="005B4096" w:rsidP="002534A7">
            <w:pPr>
              <w:keepNext/>
              <w:spacing w:after="80"/>
              <w:ind w:right="34"/>
              <w:rPr>
                <w:rFonts w:cs="Arial"/>
                <w:szCs w:val="20"/>
              </w:rPr>
            </w:pPr>
            <w:r w:rsidRPr="004A3F35">
              <w:rPr>
                <w:rFonts w:cs="Arial"/>
                <w:i/>
                <w:szCs w:val="20"/>
              </w:rPr>
              <w:t>Telecommunications (Carrier Licence Charges) Act 1997</w:t>
            </w:r>
            <w:r w:rsidRPr="004A3F35">
              <w:rPr>
                <w:rFonts w:cs="Arial"/>
                <w:szCs w:val="20"/>
              </w:rPr>
              <w:t xml:space="preserve"> — Determination under paragraph 15(1)(d) No. 1 of 2018</w:t>
            </w:r>
            <w:r>
              <w:rPr>
                <w:rStyle w:val="FootnoteReference"/>
                <w:rFonts w:cs="Arial"/>
                <w:szCs w:val="20"/>
              </w:rPr>
              <w:footnoteReference w:id="9"/>
            </w:r>
          </w:p>
          <w:p w14:paraId="0E90530F" w14:textId="77777777" w:rsidR="005B4096" w:rsidRPr="004A3F35" w:rsidRDefault="005B4096" w:rsidP="00CE1BCF">
            <w:pPr>
              <w:keepNext/>
              <w:spacing w:after="0"/>
              <w:ind w:right="34"/>
              <w:rPr>
                <w:rFonts w:cs="Arial"/>
                <w:i/>
                <w:szCs w:val="20"/>
              </w:rPr>
            </w:pPr>
            <w:r w:rsidRPr="004A3F35">
              <w:rPr>
                <w:rFonts w:cs="Arial"/>
                <w:i/>
                <w:szCs w:val="20"/>
              </w:rPr>
              <w:t>(made by the Minister for Communications)</w:t>
            </w:r>
          </w:p>
        </w:tc>
        <w:tc>
          <w:tcPr>
            <w:tcW w:w="1547" w:type="pct"/>
          </w:tcPr>
          <w:p w14:paraId="51CF1428" w14:textId="77777777" w:rsidR="005B4096" w:rsidRPr="00426212" w:rsidRDefault="005B4096" w:rsidP="002534A7">
            <w:pPr>
              <w:keepNext/>
              <w:spacing w:after="0"/>
              <w:ind w:right="55"/>
              <w:rPr>
                <w:rFonts w:cs="Arial"/>
                <w:szCs w:val="20"/>
              </w:rPr>
            </w:pPr>
            <w:r w:rsidRPr="004A3F35">
              <w:rPr>
                <w:rFonts w:cs="Arial"/>
                <w:szCs w:val="20"/>
              </w:rPr>
              <w:t>Paragraph 15(1)(d) of the Act</w:t>
            </w:r>
          </w:p>
        </w:tc>
      </w:tr>
    </w:tbl>
    <w:p w14:paraId="45390760" w14:textId="77777777" w:rsidR="00A622CC" w:rsidRDefault="00A622CC" w:rsidP="004E2F7E">
      <w:pPr>
        <w:pStyle w:val="ACMASpaceaftertable"/>
      </w:pPr>
    </w:p>
    <w:p w14:paraId="37DCC59E" w14:textId="77777777" w:rsidR="009E783D" w:rsidRPr="00CC3F4B" w:rsidRDefault="009E783D" w:rsidP="009E783D">
      <w:pPr>
        <w:pStyle w:val="Heading1"/>
      </w:pPr>
      <w:bookmarkStart w:id="35" w:name="_Toc355953989"/>
      <w:bookmarkStart w:id="36" w:name="_Toc385256318"/>
      <w:bookmarkStart w:id="37" w:name="_Toc417990945"/>
      <w:bookmarkStart w:id="38" w:name="_Toc511634387"/>
      <w:bookmarkStart w:id="39" w:name="_Toc532543394"/>
      <w:r w:rsidRPr="00CC3F4B">
        <w:t>3.</w:t>
      </w:r>
      <w:r w:rsidRPr="00CC3F4B">
        <w:tab/>
        <w:t>C</w:t>
      </w:r>
      <w:r>
        <w:t>ost recovery</w:t>
      </w:r>
      <w:r w:rsidRPr="00CC3F4B">
        <w:t xml:space="preserve"> </w:t>
      </w:r>
      <w:bookmarkEnd w:id="35"/>
      <w:bookmarkEnd w:id="36"/>
      <w:r>
        <w:t>model</w:t>
      </w:r>
      <w:bookmarkEnd w:id="37"/>
      <w:bookmarkEnd w:id="38"/>
      <w:bookmarkEnd w:id="39"/>
    </w:p>
    <w:p w14:paraId="2B960CC6" w14:textId="77777777" w:rsidR="009E783D" w:rsidRPr="003F7E3A" w:rsidRDefault="009E783D" w:rsidP="003F7E3A">
      <w:bookmarkStart w:id="40" w:name="basisorcharging"/>
      <w:r w:rsidRPr="00A84CBD">
        <w:t xml:space="preserve">There are five distinct </w:t>
      </w:r>
      <w:r w:rsidR="00A372F1">
        <w:t>regulatory</w:t>
      </w:r>
      <w:r>
        <w:t xml:space="preserve"> activities</w:t>
      </w:r>
      <w:r w:rsidRPr="00A84CBD">
        <w:t xml:space="preserve"> </w:t>
      </w:r>
      <w:r>
        <w:t xml:space="preserve">(cost components) </w:t>
      </w:r>
      <w:r w:rsidRPr="00A84CBD">
        <w:t>that are included in the total amount of the ACLC and levied on carrier licences on an annual basis.</w:t>
      </w:r>
    </w:p>
    <w:p w14:paraId="3674E19F" w14:textId="472B6293" w:rsidR="009E783D" w:rsidRDefault="009E783D" w:rsidP="003F7E3A">
      <w:pPr>
        <w:pStyle w:val="Heading2"/>
        <w:spacing w:after="240"/>
      </w:pPr>
      <w:bookmarkStart w:id="41" w:name="_Toc355953990"/>
      <w:bookmarkStart w:id="42" w:name="_Toc385256319"/>
      <w:bookmarkStart w:id="43" w:name="_Toc417990946"/>
      <w:bookmarkStart w:id="44" w:name="_Toc511634388"/>
      <w:bookmarkStart w:id="45" w:name="_Toc532543395"/>
      <w:r w:rsidRPr="003F7E3A">
        <w:t>3.1</w:t>
      </w:r>
      <w:r w:rsidRPr="003F7E3A">
        <w:tab/>
      </w:r>
      <w:bookmarkEnd w:id="41"/>
      <w:bookmarkEnd w:id="42"/>
      <w:r w:rsidRPr="003F7E3A">
        <w:t>Determination of cost component</w:t>
      </w:r>
      <w:r w:rsidR="00627665">
        <w:t xml:space="preserve"> for </w:t>
      </w:r>
      <w:r w:rsidRPr="003F7E3A">
        <w:t xml:space="preserve">the ACMA’s </w:t>
      </w:r>
      <w:bookmarkEnd w:id="43"/>
      <w:r w:rsidRPr="003F7E3A">
        <w:t>activity</w:t>
      </w:r>
      <w:bookmarkEnd w:id="44"/>
      <w:bookmarkEnd w:id="45"/>
    </w:p>
    <w:p w14:paraId="3D00547F" w14:textId="77777777" w:rsidR="009E783D" w:rsidRPr="003F7E3A" w:rsidRDefault="009E783D" w:rsidP="003F7E3A">
      <w:pPr>
        <w:pStyle w:val="Heading3"/>
      </w:pPr>
      <w:bookmarkStart w:id="46" w:name="_Toc417990947"/>
      <w:bookmarkStart w:id="47" w:name="_Toc511634389"/>
      <w:bookmarkStart w:id="48" w:name="_Toc532543396"/>
      <w:r w:rsidRPr="003F7E3A">
        <w:t>3.1.1</w:t>
      </w:r>
      <w:r w:rsidRPr="003F7E3A">
        <w:tab/>
        <w:t>Outputs and business processes of the activity</w:t>
      </w:r>
      <w:bookmarkEnd w:id="46"/>
      <w:bookmarkEnd w:id="47"/>
      <w:bookmarkEnd w:id="48"/>
    </w:p>
    <w:p w14:paraId="50B66DC5" w14:textId="415F429F" w:rsidR="00EB6DAE" w:rsidRDefault="009E783D" w:rsidP="00B64534">
      <w:pPr>
        <w:spacing w:after="80"/>
      </w:pPr>
      <w:r w:rsidRPr="00A84CBD">
        <w:t xml:space="preserve">This component </w:t>
      </w:r>
      <w:r w:rsidR="00627665">
        <w:t>(</w:t>
      </w:r>
      <w:r w:rsidR="00627665" w:rsidRPr="00627665">
        <w:t>under paragraph 15(1)(a) of the Act</w:t>
      </w:r>
      <w:r w:rsidR="00627665">
        <w:t xml:space="preserve">) </w:t>
      </w:r>
      <w:r w:rsidRPr="00A84CBD">
        <w:t>represents the ACMA’s costs incurre</w:t>
      </w:r>
      <w:r w:rsidR="00BA6431">
        <w:t xml:space="preserve">d during the </w:t>
      </w:r>
      <w:r w:rsidR="00103218" w:rsidRPr="00EC5AC1">
        <w:t>2016</w:t>
      </w:r>
      <w:r w:rsidR="0007149B" w:rsidRPr="00EC5AC1">
        <w:t>–</w:t>
      </w:r>
      <w:r w:rsidR="00103218" w:rsidRPr="00EC5AC1">
        <w:t>17</w:t>
      </w:r>
      <w:r w:rsidR="003C50CF">
        <w:t xml:space="preserve"> </w:t>
      </w:r>
      <w:r w:rsidR="00BA6431">
        <w:t xml:space="preserve">financial year </w:t>
      </w:r>
      <w:r w:rsidRPr="00A84CBD">
        <w:t xml:space="preserve">in </w:t>
      </w:r>
      <w:r w:rsidR="00EB6DAE">
        <w:t>performing</w:t>
      </w:r>
      <w:r w:rsidRPr="00A84CBD">
        <w:t xml:space="preserve"> its telecommunications functions </w:t>
      </w:r>
      <w:r>
        <w:t>set out in</w:t>
      </w:r>
      <w:r w:rsidRPr="00A84CBD">
        <w:t xml:space="preserve"> section </w:t>
      </w:r>
      <w:r>
        <w:t>8 of the ACMA Act</w:t>
      </w:r>
      <w:r w:rsidR="0007149B">
        <w:t>,</w:t>
      </w:r>
      <w:r>
        <w:t xml:space="preserve"> and </w:t>
      </w:r>
      <w:r w:rsidR="00EB6DAE">
        <w:t xml:space="preserve">in exercising its </w:t>
      </w:r>
      <w:r>
        <w:t>telecommunications powers as defined in section 7</w:t>
      </w:r>
      <w:r w:rsidRPr="00A84CBD">
        <w:t xml:space="preserve"> of the </w:t>
      </w:r>
      <w:r w:rsidR="00817409" w:rsidRPr="00817409">
        <w:t>Tel</w:t>
      </w:r>
      <w:r w:rsidR="00817409" w:rsidRPr="00144A3A">
        <w:t>co</w:t>
      </w:r>
      <w:r w:rsidR="00817409" w:rsidRPr="00817409">
        <w:t xml:space="preserve"> </w:t>
      </w:r>
      <w:r w:rsidR="00B33282" w:rsidRPr="00817409">
        <w:t>Act</w:t>
      </w:r>
      <w:r w:rsidR="00EB6DAE">
        <w:t>,</w:t>
      </w:r>
      <w:r>
        <w:t xml:space="preserve"> </w:t>
      </w:r>
      <w:r w:rsidR="00EB6DAE">
        <w:t>except for functions and powers conferred on the ACMA by or under</w:t>
      </w:r>
      <w:r w:rsidR="00737F52">
        <w:rPr>
          <w:rStyle w:val="FootnoteReference"/>
        </w:rPr>
        <w:footnoteReference w:id="10"/>
      </w:r>
      <w:r w:rsidR="00EB6DAE">
        <w:t>:</w:t>
      </w:r>
    </w:p>
    <w:p w14:paraId="019DEC0C" w14:textId="77777777" w:rsidR="00EB6DAE" w:rsidRPr="00A875F1" w:rsidRDefault="00EB6DAE" w:rsidP="00E14E43">
      <w:pPr>
        <w:pStyle w:val="ListBullet"/>
      </w:pPr>
      <w:r w:rsidRPr="00A875F1">
        <w:t xml:space="preserve">the </w:t>
      </w:r>
      <w:r w:rsidRPr="00E230DB">
        <w:rPr>
          <w:i/>
        </w:rPr>
        <w:t>Do Not Call Register Act 2006</w:t>
      </w:r>
      <w:r w:rsidRPr="00A875F1">
        <w:t>; or</w:t>
      </w:r>
    </w:p>
    <w:p w14:paraId="227534CB" w14:textId="41217121" w:rsidR="00EB6DAE" w:rsidRPr="00A875F1" w:rsidRDefault="00EB6DAE" w:rsidP="00E14E43">
      <w:pPr>
        <w:pStyle w:val="ListBullet"/>
      </w:pPr>
      <w:r w:rsidRPr="00A875F1">
        <w:t xml:space="preserve">the </w:t>
      </w:r>
      <w:r w:rsidR="00817409" w:rsidRPr="00B33282">
        <w:t>Tel</w:t>
      </w:r>
      <w:r w:rsidR="00817409">
        <w:t>co</w:t>
      </w:r>
      <w:r w:rsidR="00817409" w:rsidRPr="00B33282">
        <w:t xml:space="preserve"> </w:t>
      </w:r>
      <w:r w:rsidR="00B33282" w:rsidRPr="00B33282">
        <w:t>Act</w:t>
      </w:r>
      <w:r w:rsidR="00F5728D">
        <w:t>,</w:t>
      </w:r>
      <w:r w:rsidRPr="00A875F1">
        <w:t xml:space="preserve"> to the extent to which </w:t>
      </w:r>
      <w:r w:rsidR="00F5728D">
        <w:t>it</w:t>
      </w:r>
      <w:r w:rsidRPr="00A875F1">
        <w:t xml:space="preserve"> relates to the Do Not Call Register Act; or</w:t>
      </w:r>
    </w:p>
    <w:p w14:paraId="05771E93" w14:textId="3AFDDDC6" w:rsidR="00EB6DAE" w:rsidRDefault="00EB6DAE" w:rsidP="00E230DB">
      <w:pPr>
        <w:pStyle w:val="ListBulletLast"/>
      </w:pPr>
      <w:r w:rsidRPr="00A875F1">
        <w:t xml:space="preserve">Part 6 of the </w:t>
      </w:r>
      <w:r w:rsidR="0027788D">
        <w:t>Tel</w:t>
      </w:r>
      <w:r w:rsidR="009B7744" w:rsidRPr="00E230DB">
        <w:t>co Act</w:t>
      </w:r>
      <w:r w:rsidRPr="00A875F1">
        <w:t xml:space="preserve"> to the extent to which </w:t>
      </w:r>
      <w:r w:rsidR="00F5728D">
        <w:t>it</w:t>
      </w:r>
      <w:r w:rsidRPr="00A875F1">
        <w:t xml:space="preserve"> relates to telemarketing activities (within the meaning of that Part).</w:t>
      </w:r>
    </w:p>
    <w:p w14:paraId="45DCAFAD" w14:textId="77777777" w:rsidR="009E783D" w:rsidRPr="00E648E5" w:rsidRDefault="009E783D" w:rsidP="000E0EFD">
      <w:pPr>
        <w:pStyle w:val="Definition"/>
        <w:spacing w:before="0" w:after="80" w:line="240" w:lineRule="atLeast"/>
        <w:ind w:left="0"/>
        <w:rPr>
          <w:rFonts w:ascii="Arial" w:hAnsi="Arial" w:cs="Arial"/>
          <w:sz w:val="20"/>
        </w:rPr>
      </w:pPr>
      <w:r>
        <w:rPr>
          <w:rFonts w:ascii="Arial" w:hAnsi="Arial" w:cs="Arial"/>
          <w:sz w:val="20"/>
        </w:rPr>
        <w:t>As a regulator of the telecommunications industry, t</w:t>
      </w:r>
      <w:r w:rsidRPr="00E648E5">
        <w:rPr>
          <w:rFonts w:ascii="Arial" w:hAnsi="Arial" w:cs="Arial"/>
          <w:sz w:val="20"/>
        </w:rPr>
        <w:t xml:space="preserve">he ACMA </w:t>
      </w:r>
      <w:r>
        <w:rPr>
          <w:rFonts w:ascii="Arial" w:hAnsi="Arial" w:cs="Arial"/>
          <w:sz w:val="20"/>
        </w:rPr>
        <w:t>exercises</w:t>
      </w:r>
      <w:r w:rsidRPr="00E648E5">
        <w:rPr>
          <w:rFonts w:ascii="Arial" w:hAnsi="Arial" w:cs="Arial"/>
          <w:sz w:val="20"/>
        </w:rPr>
        <w:t xml:space="preserve"> powers conferred by the following Acts</w:t>
      </w:r>
      <w:r w:rsidR="003B0551">
        <w:rPr>
          <w:rFonts w:ascii="Arial" w:hAnsi="Arial" w:cs="Arial"/>
          <w:sz w:val="20"/>
        </w:rPr>
        <w:t xml:space="preserve"> relevant to the ACLC</w:t>
      </w:r>
      <w:r w:rsidRPr="00E648E5">
        <w:rPr>
          <w:rFonts w:ascii="Arial" w:hAnsi="Arial" w:cs="Arial"/>
          <w:sz w:val="20"/>
        </w:rPr>
        <w:t>:</w:t>
      </w:r>
    </w:p>
    <w:p w14:paraId="3E4C5FDE" w14:textId="77777777" w:rsidR="009E783D" w:rsidRPr="00E648E5" w:rsidRDefault="009E783D" w:rsidP="000B3645">
      <w:pPr>
        <w:pStyle w:val="ListBullet"/>
      </w:pPr>
      <w:r w:rsidRPr="00E648E5">
        <w:t xml:space="preserve">the </w:t>
      </w:r>
      <w:r w:rsidR="00B33282" w:rsidRPr="00E230DB">
        <w:t>Tel</w:t>
      </w:r>
      <w:r w:rsidR="004856ED" w:rsidRPr="00E230DB">
        <w:t>co</w:t>
      </w:r>
      <w:r w:rsidR="00B33282" w:rsidRPr="00E230DB">
        <w:t xml:space="preserve"> Act</w:t>
      </w:r>
    </w:p>
    <w:p w14:paraId="1306ABE8" w14:textId="77777777" w:rsidR="009E783D" w:rsidRPr="000E0EFD" w:rsidRDefault="009E783D" w:rsidP="000B3645">
      <w:pPr>
        <w:pStyle w:val="ListBullet"/>
        <w:rPr>
          <w:i/>
        </w:rPr>
      </w:pPr>
      <w:r w:rsidRPr="00E648E5">
        <w:t xml:space="preserve">the </w:t>
      </w:r>
      <w:r w:rsidRPr="00C259F8">
        <w:rPr>
          <w:i/>
        </w:rPr>
        <w:t>Telecommunications (Consumer Protection and Service Standards) Act</w:t>
      </w:r>
      <w:r w:rsidR="00CE1BCF">
        <w:rPr>
          <w:i/>
        </w:rPr>
        <w:t xml:space="preserve"> 1999</w:t>
      </w:r>
    </w:p>
    <w:p w14:paraId="01FD981C" w14:textId="77777777" w:rsidR="009E783D" w:rsidRPr="00E648E5" w:rsidRDefault="00CE1BCF" w:rsidP="000B3645">
      <w:pPr>
        <w:pStyle w:val="ListBullet"/>
      </w:pPr>
      <w:r>
        <w:t>C</w:t>
      </w:r>
      <w:r w:rsidR="009E783D" w:rsidRPr="00E648E5">
        <w:t>hapter</w:t>
      </w:r>
      <w:r w:rsidR="00A0328F">
        <w:t>s</w:t>
      </w:r>
      <w:r w:rsidR="009E783D" w:rsidRPr="00E648E5">
        <w:t xml:space="preserve"> 4 </w:t>
      </w:r>
      <w:r w:rsidR="00A0328F">
        <w:t>and</w:t>
      </w:r>
      <w:r w:rsidR="009E783D" w:rsidRPr="00E648E5">
        <w:t xml:space="preserve"> 5 of the </w:t>
      </w:r>
      <w:r w:rsidR="009E783D" w:rsidRPr="000E0EFD">
        <w:rPr>
          <w:i/>
        </w:rPr>
        <w:t>Telecommunications (Interception and Access) Act 1979</w:t>
      </w:r>
    </w:p>
    <w:p w14:paraId="78C11FD1" w14:textId="77777777" w:rsidR="009E783D" w:rsidRPr="00E648E5" w:rsidRDefault="009E783D" w:rsidP="000B3645">
      <w:pPr>
        <w:pStyle w:val="ListBullet"/>
      </w:pPr>
      <w:r w:rsidRPr="00E648E5">
        <w:t xml:space="preserve">Part XIC of the </w:t>
      </w:r>
      <w:r w:rsidRPr="000E0EFD">
        <w:rPr>
          <w:i/>
        </w:rPr>
        <w:t>Competition and Consumer Act 2010</w:t>
      </w:r>
      <w:r w:rsidR="008E3864">
        <w:t xml:space="preserve"> (Competition and Consumer Act)</w:t>
      </w:r>
    </w:p>
    <w:p w14:paraId="23EE973B" w14:textId="77777777" w:rsidR="009E783D" w:rsidRDefault="009E783D" w:rsidP="000B3645">
      <w:pPr>
        <w:pStyle w:val="ListBulletLast"/>
      </w:pPr>
      <w:r w:rsidRPr="00E648E5">
        <w:t xml:space="preserve">section 12 of the </w:t>
      </w:r>
      <w:r w:rsidRPr="00E230DB">
        <w:t>A</w:t>
      </w:r>
      <w:r w:rsidR="00A0328F">
        <w:t>CMA</w:t>
      </w:r>
      <w:r w:rsidRPr="00E230DB">
        <w:t xml:space="preserve"> Act</w:t>
      </w:r>
      <w:r w:rsidR="00F5728D">
        <w:t>,</w:t>
      </w:r>
      <w:r w:rsidR="00370E1B">
        <w:t xml:space="preserve"> in so far as it relates to the ACMA’s telecommunications functions</w:t>
      </w:r>
      <w:r w:rsidR="00261225">
        <w:rPr>
          <w:i/>
        </w:rPr>
        <w:t>.</w:t>
      </w:r>
    </w:p>
    <w:p w14:paraId="132C780C" w14:textId="05C72622" w:rsidR="009E783D" w:rsidRDefault="009E783D" w:rsidP="009E783D">
      <w:r>
        <w:t>The outputs in relation to th</w:t>
      </w:r>
      <w:r w:rsidR="003B0551">
        <w:t>e ACMA’s telecommunication</w:t>
      </w:r>
      <w:r>
        <w:t>s acti</w:t>
      </w:r>
      <w:r w:rsidR="003F7E3A">
        <w:t>vit</w:t>
      </w:r>
      <w:r w:rsidR="003B0551">
        <w:t>ies</w:t>
      </w:r>
      <w:r w:rsidR="003F7E3A">
        <w:t xml:space="preserve"> are summarised </w:t>
      </w:r>
      <w:r w:rsidR="00F5728D">
        <w:t>below.</w:t>
      </w:r>
    </w:p>
    <w:p w14:paraId="2C060E05" w14:textId="77777777" w:rsidR="009E783D" w:rsidRPr="00094042" w:rsidRDefault="009E783D" w:rsidP="0031688A">
      <w:pPr>
        <w:pStyle w:val="BodySubHeader"/>
      </w:pPr>
      <w:r w:rsidRPr="00094042">
        <w:t>Regulat</w:t>
      </w:r>
      <w:r>
        <w:t xml:space="preserve">ion development </w:t>
      </w:r>
    </w:p>
    <w:p w14:paraId="7F54AF5A" w14:textId="0C4A406A" w:rsidR="009E783D" w:rsidRDefault="00AF228C" w:rsidP="003F7E3A">
      <w:pPr>
        <w:keepLines/>
      </w:pPr>
      <w:r>
        <w:t>I</w:t>
      </w:r>
      <w:r w:rsidR="009E783D" w:rsidRPr="00A84CBD">
        <w:t>ncludes regulat</w:t>
      </w:r>
      <w:r w:rsidR="009E783D">
        <w:t>ory</w:t>
      </w:r>
      <w:r w:rsidR="009E783D" w:rsidRPr="00A84CBD">
        <w:t xml:space="preserve"> development under the existing legislative framework</w:t>
      </w:r>
      <w:r w:rsidR="00F5728D">
        <w:t>,</w:t>
      </w:r>
      <w:r w:rsidR="009E783D">
        <w:t xml:space="preserve"> including</w:t>
      </w:r>
      <w:r w:rsidR="009E783D" w:rsidRPr="00A84CBD">
        <w:t xml:space="preserve"> the promotion of self</w:t>
      </w:r>
      <w:r w:rsidR="00F5728D">
        <w:t>-</w:t>
      </w:r>
      <w:r w:rsidR="009E783D" w:rsidRPr="00A84CBD">
        <w:t xml:space="preserve"> and co-regulation and competition in the telecommunications industry, the development and variation of telecommunications </w:t>
      </w:r>
      <w:r w:rsidR="009E783D">
        <w:t xml:space="preserve">industry </w:t>
      </w:r>
      <w:r w:rsidR="009E783D" w:rsidRPr="00A84CBD">
        <w:t>standards</w:t>
      </w:r>
      <w:r w:rsidR="00F5728D">
        <w:t>;</w:t>
      </w:r>
      <w:r w:rsidR="009E783D" w:rsidRPr="00A84CBD">
        <w:t xml:space="preserve"> the conduct of research on matters affecting telecommunications regulations</w:t>
      </w:r>
      <w:r w:rsidR="00F5728D">
        <w:t>;</w:t>
      </w:r>
      <w:r w:rsidR="009E783D" w:rsidRPr="00A84CBD">
        <w:t xml:space="preserve"> and the management of technical regulatory arrangements.</w:t>
      </w:r>
    </w:p>
    <w:p w14:paraId="723FD85D" w14:textId="1795D9F5" w:rsidR="000B3645" w:rsidRDefault="006475A0" w:rsidP="0031688A">
      <w:pPr>
        <w:spacing w:after="80"/>
      </w:pPr>
      <w:r>
        <w:t xml:space="preserve">The activities undertaken under this output </w:t>
      </w:r>
      <w:r w:rsidR="000B3645">
        <w:t>include</w:t>
      </w:r>
      <w:r>
        <w:t>:</w:t>
      </w:r>
    </w:p>
    <w:p w14:paraId="165C68E4" w14:textId="77777777" w:rsidR="00F5728D" w:rsidRPr="007B5ADB" w:rsidRDefault="00F5728D" w:rsidP="0031688A">
      <w:pPr>
        <w:pStyle w:val="ListBullet"/>
      </w:pPr>
      <w:r>
        <w:t>m</w:t>
      </w:r>
      <w:r w:rsidRPr="007B5ADB">
        <w:t>ak</w:t>
      </w:r>
      <w:r w:rsidR="00FF1C39">
        <w:t>ing</w:t>
      </w:r>
      <w:r w:rsidRPr="007B5ADB">
        <w:t xml:space="preserve"> authorisations relating to Integrated Public Number Database (IPND) Scheme </w:t>
      </w:r>
      <w:r>
        <w:t>and</w:t>
      </w:r>
      <w:r w:rsidRPr="007B5ADB">
        <w:t xml:space="preserve"> monitor and enforc</w:t>
      </w:r>
      <w:r w:rsidR="00FF1C39">
        <w:t>ing</w:t>
      </w:r>
      <w:r w:rsidRPr="007B5ADB">
        <w:t xml:space="preserve"> compliance with IPND requirements</w:t>
      </w:r>
    </w:p>
    <w:p w14:paraId="7230A51A" w14:textId="77777777" w:rsidR="00F5728D" w:rsidRPr="00307ECC" w:rsidRDefault="00AF228C" w:rsidP="0031688A">
      <w:pPr>
        <w:pStyle w:val="ListBullet"/>
      </w:pPr>
      <w:r>
        <w:t>c</w:t>
      </w:r>
      <w:r w:rsidR="00F5728D" w:rsidRPr="00307ECC">
        <w:t>onsider</w:t>
      </w:r>
      <w:r w:rsidR="00FF1C39">
        <w:t>ing</w:t>
      </w:r>
      <w:r w:rsidR="00F5728D" w:rsidRPr="00307ECC">
        <w:t xml:space="preserve"> red-tape reduction proposals </w:t>
      </w:r>
    </w:p>
    <w:p w14:paraId="4F3AD214" w14:textId="77777777" w:rsidR="00F5728D" w:rsidRPr="00307ECC" w:rsidRDefault="00FF1C39" w:rsidP="0031688A">
      <w:pPr>
        <w:pStyle w:val="ListBullet"/>
      </w:pPr>
      <w:r w:rsidRPr="00307ECC">
        <w:t>coordinati</w:t>
      </w:r>
      <w:r>
        <w:t>ng</w:t>
      </w:r>
      <w:r w:rsidRPr="00307ECC">
        <w:t xml:space="preserve"> </w:t>
      </w:r>
      <w:r w:rsidR="00AF228C">
        <w:t>d</w:t>
      </w:r>
      <w:r w:rsidR="00F5728D" w:rsidRPr="00307ECC">
        <w:t>eregulation agenda</w:t>
      </w:r>
      <w:r>
        <w:t>s</w:t>
      </w:r>
      <w:r w:rsidR="00F5728D" w:rsidRPr="00307ECC">
        <w:t xml:space="preserve"> and </w:t>
      </w:r>
      <w:r>
        <w:t xml:space="preserve">reporting </w:t>
      </w:r>
      <w:r w:rsidR="00F5728D" w:rsidRPr="00307ECC">
        <w:t xml:space="preserve">Regulator Performance Framework </w:t>
      </w:r>
    </w:p>
    <w:p w14:paraId="1E9A1805" w14:textId="77777777" w:rsidR="00F5728D" w:rsidRPr="00307ECC" w:rsidRDefault="00AF228C" w:rsidP="0031688A">
      <w:pPr>
        <w:pStyle w:val="ListBullet"/>
      </w:pPr>
      <w:r>
        <w:t>m</w:t>
      </w:r>
      <w:r w:rsidR="00F5728D" w:rsidRPr="00307ECC">
        <w:t>anag</w:t>
      </w:r>
      <w:r w:rsidR="00FF1C39">
        <w:t xml:space="preserve">ing </w:t>
      </w:r>
      <w:r w:rsidR="00F5728D" w:rsidRPr="00307ECC">
        <w:t>telecommunications labelling notices and standards</w:t>
      </w:r>
    </w:p>
    <w:p w14:paraId="189827A0" w14:textId="77777777" w:rsidR="00F5728D" w:rsidRPr="00307ECC" w:rsidRDefault="00AF228C" w:rsidP="0031688A">
      <w:pPr>
        <w:pStyle w:val="ListBullet"/>
      </w:pPr>
      <w:r>
        <w:t>r</w:t>
      </w:r>
      <w:r w:rsidR="00F5728D" w:rsidRPr="00307ECC">
        <w:t>egist</w:t>
      </w:r>
      <w:r w:rsidR="00FF1C39">
        <w:t>ering</w:t>
      </w:r>
      <w:r w:rsidR="00F5728D" w:rsidRPr="00307ECC">
        <w:t xml:space="preserve"> telecommunications operational codes</w:t>
      </w:r>
    </w:p>
    <w:p w14:paraId="2034D442" w14:textId="77777777" w:rsidR="00F5728D" w:rsidRPr="00307ECC" w:rsidRDefault="00AF228C" w:rsidP="0031688A">
      <w:pPr>
        <w:pStyle w:val="ListBullet"/>
      </w:pPr>
      <w:r>
        <w:t>r</w:t>
      </w:r>
      <w:r w:rsidR="00FF1C39">
        <w:t>esearching r</w:t>
      </w:r>
      <w:r w:rsidR="00F5728D" w:rsidRPr="00307ECC">
        <w:t xml:space="preserve">egulatory practice and design </w:t>
      </w:r>
    </w:p>
    <w:p w14:paraId="25BFA51F" w14:textId="77777777" w:rsidR="00F5728D" w:rsidRPr="00307ECC" w:rsidRDefault="00AF228C" w:rsidP="0031688A">
      <w:pPr>
        <w:pStyle w:val="ListBullet"/>
      </w:pPr>
      <w:r>
        <w:t>r</w:t>
      </w:r>
      <w:r w:rsidR="00F5728D" w:rsidRPr="00307ECC">
        <w:t>eporting on the cost of</w:t>
      </w:r>
      <w:r w:rsidR="00F5728D">
        <w:t xml:space="preserve"> data retention and </w:t>
      </w:r>
      <w:r>
        <w:t>telecommunications sector security r</w:t>
      </w:r>
      <w:r w:rsidR="00F5728D" w:rsidRPr="00307ECC">
        <w:t>eforms</w:t>
      </w:r>
    </w:p>
    <w:p w14:paraId="6AD74F5D" w14:textId="77777777" w:rsidR="0031688A" w:rsidRDefault="00AF228C" w:rsidP="0031688A">
      <w:pPr>
        <w:pStyle w:val="ListBullet"/>
      </w:pPr>
      <w:r>
        <w:t>r</w:t>
      </w:r>
      <w:r w:rsidR="00F5728D" w:rsidRPr="00307ECC">
        <w:t>eporting on the number of disclosures of customer information and the costs of provi</w:t>
      </w:r>
      <w:r>
        <w:t>ding an interception capability;</w:t>
      </w:r>
      <w:r w:rsidR="00F5728D" w:rsidRPr="00307ECC">
        <w:t xml:space="preserve"> </w:t>
      </w:r>
    </w:p>
    <w:p w14:paraId="442E5221" w14:textId="610C87F0" w:rsidR="00F5728D" w:rsidRPr="00307ECC" w:rsidRDefault="00AF228C" w:rsidP="0031688A">
      <w:pPr>
        <w:pStyle w:val="ListBullet"/>
      </w:pPr>
      <w:r>
        <w:t>e</w:t>
      </w:r>
      <w:r w:rsidR="00F5728D" w:rsidRPr="00307ECC">
        <w:t>nforc</w:t>
      </w:r>
      <w:r w:rsidR="00FF1C39">
        <w:t>ing</w:t>
      </w:r>
      <w:r w:rsidR="00F5728D" w:rsidRPr="00307ECC">
        <w:t xml:space="preserve"> compliance with </w:t>
      </w:r>
      <w:r w:rsidR="00FF1C39">
        <w:t xml:space="preserve">the </w:t>
      </w:r>
      <w:r w:rsidR="00F5728D" w:rsidRPr="00307ECC">
        <w:t>requirement to submit interception capability plans</w:t>
      </w:r>
    </w:p>
    <w:p w14:paraId="40119AD9" w14:textId="77777777" w:rsidR="00F5728D" w:rsidRPr="00307ECC" w:rsidRDefault="00AF228C" w:rsidP="0031688A">
      <w:pPr>
        <w:pStyle w:val="ListBullet"/>
      </w:pPr>
      <w:r>
        <w:t>r</w:t>
      </w:r>
      <w:r w:rsidR="00F5728D" w:rsidRPr="00307ECC">
        <w:t>esearch</w:t>
      </w:r>
      <w:r w:rsidR="00FF1C39">
        <w:t>ing</w:t>
      </w:r>
      <w:r w:rsidR="00F5728D" w:rsidRPr="00307ECC">
        <w:t xml:space="preserve"> market developments</w:t>
      </w:r>
    </w:p>
    <w:p w14:paraId="7E6E4F05" w14:textId="77777777" w:rsidR="00F5728D" w:rsidRPr="00307ECC" w:rsidRDefault="00FF1C39" w:rsidP="0031688A">
      <w:pPr>
        <w:pStyle w:val="ListBullet"/>
      </w:pPr>
      <w:r>
        <w:t xml:space="preserve">providing </w:t>
      </w:r>
      <w:r w:rsidR="00AF228C">
        <w:t>s</w:t>
      </w:r>
      <w:r w:rsidR="00F5728D" w:rsidRPr="00307ECC">
        <w:t>ecretariat function to Emergency Ca</w:t>
      </w:r>
      <w:r w:rsidR="00AF228C">
        <w:t>ll Service Advisory committee; monitor</w:t>
      </w:r>
      <w:r>
        <w:t>ing</w:t>
      </w:r>
      <w:r w:rsidR="00AF228C">
        <w:t xml:space="preserve"> and report</w:t>
      </w:r>
      <w:r>
        <w:t>ing</w:t>
      </w:r>
      <w:r w:rsidR="00F5728D" w:rsidRPr="00307ECC">
        <w:t xml:space="preserve"> on Emergency Call Person compliance</w:t>
      </w:r>
    </w:p>
    <w:p w14:paraId="68DA6B00" w14:textId="77777777" w:rsidR="00F5728D" w:rsidRPr="00307ECC" w:rsidRDefault="00FF1C39" w:rsidP="0031688A">
      <w:pPr>
        <w:pStyle w:val="ListBullet"/>
      </w:pPr>
      <w:r>
        <w:t xml:space="preserve">providing </w:t>
      </w:r>
      <w:r w:rsidR="00AF228C">
        <w:t>s</w:t>
      </w:r>
      <w:r w:rsidR="00F5728D" w:rsidRPr="00307ECC">
        <w:t>ecretariat function to the Con</w:t>
      </w:r>
      <w:r w:rsidR="00AF228C">
        <w:t>sumer Consultative Forum (CCF); o</w:t>
      </w:r>
      <w:r>
        <w:t>ngoing consul</w:t>
      </w:r>
      <w:r w:rsidR="00F5728D" w:rsidRPr="00307ECC">
        <w:t>ti</w:t>
      </w:r>
      <w:r>
        <w:t>ng</w:t>
      </w:r>
      <w:r w:rsidR="00F5728D" w:rsidRPr="00307ECC">
        <w:t xml:space="preserve"> </w:t>
      </w:r>
      <w:r w:rsidR="00AF228C">
        <w:t xml:space="preserve">with stakeholders; </w:t>
      </w:r>
      <w:r>
        <w:t xml:space="preserve">educating </w:t>
      </w:r>
      <w:r w:rsidR="00AF228C">
        <w:t>i</w:t>
      </w:r>
      <w:r w:rsidR="00F5728D" w:rsidRPr="00307ECC">
        <w:t>ndustry and consumer</w:t>
      </w:r>
      <w:r>
        <w:t>s</w:t>
      </w:r>
      <w:r w:rsidR="00F5728D" w:rsidRPr="00307ECC">
        <w:t xml:space="preserve"> on safeguards</w:t>
      </w:r>
    </w:p>
    <w:p w14:paraId="1E47C654" w14:textId="77777777" w:rsidR="00F5728D" w:rsidRPr="00307ECC" w:rsidRDefault="00AF228C" w:rsidP="0031688A">
      <w:pPr>
        <w:pStyle w:val="ListBullet"/>
      </w:pPr>
      <w:r>
        <w:t>s</w:t>
      </w:r>
      <w:r w:rsidR="00F5728D" w:rsidRPr="00307ECC">
        <w:t>etting cabling standards and rules</w:t>
      </w:r>
    </w:p>
    <w:p w14:paraId="42904A80" w14:textId="77777777" w:rsidR="00F5728D" w:rsidRPr="00307ECC" w:rsidRDefault="00FF1C39" w:rsidP="0031688A">
      <w:pPr>
        <w:pStyle w:val="ListBullet"/>
      </w:pPr>
      <w:r>
        <w:t xml:space="preserve">providing </w:t>
      </w:r>
      <w:r w:rsidR="00AF228C">
        <w:t>s</w:t>
      </w:r>
      <w:r w:rsidR="00F5728D" w:rsidRPr="00307ECC">
        <w:t xml:space="preserve">taff resources associated with National Broadband Network (NBN) and </w:t>
      </w:r>
      <w:r w:rsidR="00F5728D" w:rsidRPr="0031688A">
        <w:rPr>
          <w:i/>
        </w:rPr>
        <w:t>Reconnecting the Customer</w:t>
      </w:r>
      <w:r w:rsidR="00F5728D" w:rsidRPr="00307ECC">
        <w:t xml:space="preserve"> (RTC) research</w:t>
      </w:r>
    </w:p>
    <w:p w14:paraId="3486DD01" w14:textId="77777777" w:rsidR="00F5728D" w:rsidRPr="00307ECC" w:rsidRDefault="00FF1C39" w:rsidP="0031688A">
      <w:pPr>
        <w:pStyle w:val="ListBulletLast"/>
      </w:pPr>
      <w:r>
        <w:t xml:space="preserve">making </w:t>
      </w:r>
      <w:r w:rsidR="00AF228C">
        <w:t>s</w:t>
      </w:r>
      <w:r w:rsidR="00F5728D" w:rsidRPr="00307ECC">
        <w:t xml:space="preserve">ubmissions to range of </w:t>
      </w:r>
      <w:r w:rsidRPr="00307ECC">
        <w:t xml:space="preserve">consumer safeguards </w:t>
      </w:r>
      <w:r w:rsidR="00F5728D" w:rsidRPr="00307ECC">
        <w:t xml:space="preserve">consultation processes. </w:t>
      </w:r>
    </w:p>
    <w:p w14:paraId="34D9344C" w14:textId="77777777" w:rsidR="009E783D" w:rsidRPr="003F7E3A" w:rsidRDefault="009E783D" w:rsidP="0031688A">
      <w:pPr>
        <w:pStyle w:val="BodySubHeader"/>
      </w:pPr>
      <w:r w:rsidRPr="003F7E3A">
        <w:t>Industry monitoring and</w:t>
      </w:r>
      <w:r w:rsidR="00254990">
        <w:t xml:space="preserve"> </w:t>
      </w:r>
      <w:r w:rsidR="007D2342">
        <w:t>NBN</w:t>
      </w:r>
    </w:p>
    <w:p w14:paraId="0BB825A6" w14:textId="38C7E46B" w:rsidR="009E783D" w:rsidRDefault="00AF228C" w:rsidP="009E783D">
      <w:r>
        <w:t>I</w:t>
      </w:r>
      <w:r w:rsidR="009E783D" w:rsidRPr="00A84CBD">
        <w:t>ncludes monitoring and reporting on the service performance and compliance of telecommunications organisations</w:t>
      </w:r>
      <w:r w:rsidR="009E783D">
        <w:t xml:space="preserve"> with regulatory obligations</w:t>
      </w:r>
      <w:r w:rsidR="009E783D" w:rsidRPr="00A81E46">
        <w:t>,</w:t>
      </w:r>
      <w:r w:rsidR="009E783D" w:rsidRPr="00A84CBD">
        <w:t xml:space="preserve"> monitoring consumer safeguards that establish minimum performance standards, and monitoring the implementation of appropriate NBN standards and codes.</w:t>
      </w:r>
    </w:p>
    <w:p w14:paraId="32890335" w14:textId="77777777" w:rsidR="006475A0" w:rsidRDefault="003B261B" w:rsidP="0031688A">
      <w:pPr>
        <w:spacing w:after="80"/>
      </w:pPr>
      <w:r w:rsidRPr="003B261B">
        <w:t xml:space="preserve">The activities undertaken under this output </w:t>
      </w:r>
      <w:r w:rsidR="000B3645">
        <w:t>include</w:t>
      </w:r>
      <w:r w:rsidRPr="003B261B">
        <w:t>:</w:t>
      </w:r>
    </w:p>
    <w:p w14:paraId="4D4CE10B" w14:textId="77777777" w:rsidR="00AF228C" w:rsidRPr="00307ECC" w:rsidRDefault="00FF1C39" w:rsidP="0031688A">
      <w:pPr>
        <w:pStyle w:val="ListBullet"/>
      </w:pPr>
      <w:r>
        <w:t xml:space="preserve">providing </w:t>
      </w:r>
      <w:r w:rsidR="00AF228C">
        <w:t>a</w:t>
      </w:r>
      <w:r w:rsidR="00AF228C" w:rsidRPr="00307ECC">
        <w:t>dvice on parts 7 and 8 of the Telco Act</w:t>
      </w:r>
    </w:p>
    <w:p w14:paraId="19624634" w14:textId="77777777" w:rsidR="00AF228C" w:rsidRPr="00307ECC" w:rsidRDefault="00AF228C" w:rsidP="0031688A">
      <w:pPr>
        <w:pStyle w:val="ListBulletLast"/>
      </w:pPr>
      <w:r w:rsidRPr="00120B54">
        <w:t>assess</w:t>
      </w:r>
      <w:r w:rsidR="00FF1C39" w:rsidRPr="00120B54">
        <w:t>ing</w:t>
      </w:r>
      <w:r w:rsidRPr="00120B54">
        <w:t xml:space="preserve"> compliance, approv</w:t>
      </w:r>
      <w:r w:rsidR="00FF1C39" w:rsidRPr="00120B54">
        <w:t>ing</w:t>
      </w:r>
      <w:r w:rsidRPr="00120B54">
        <w:t xml:space="preserve"> reports and deal</w:t>
      </w:r>
      <w:r w:rsidR="00FF1C39" w:rsidRPr="00120B54">
        <w:t>ing</w:t>
      </w:r>
      <w:r w:rsidRPr="00120B54">
        <w:t xml:space="preserve"> with complaints </w:t>
      </w:r>
      <w:r w:rsidR="00FF1C39" w:rsidRPr="00120B54">
        <w:t>about the</w:t>
      </w:r>
      <w:r w:rsidRPr="00120B54">
        <w:t xml:space="preserve"> customer service guarantee</w:t>
      </w:r>
      <w:r w:rsidRPr="00307ECC">
        <w:t>,</w:t>
      </w:r>
      <w:r>
        <w:t xml:space="preserve"> National Relay S</w:t>
      </w:r>
      <w:r w:rsidRPr="00307ECC">
        <w:t>ervice and pay phones</w:t>
      </w:r>
      <w:r w:rsidR="00FF1C39">
        <w:t>.</w:t>
      </w:r>
    </w:p>
    <w:p w14:paraId="3428AC74" w14:textId="77777777" w:rsidR="009E783D" w:rsidRPr="003F7E3A" w:rsidRDefault="009E783D" w:rsidP="0007149B">
      <w:pPr>
        <w:pStyle w:val="Bodysubheader0"/>
      </w:pPr>
      <w:r w:rsidRPr="003F7E3A">
        <w:t>Compliance and enforcement</w:t>
      </w:r>
    </w:p>
    <w:p w14:paraId="176CA45A" w14:textId="0338CD21" w:rsidR="009E783D" w:rsidRDefault="00AF228C" w:rsidP="009E783D">
      <w:pPr>
        <w:rPr>
          <w:color w:val="000000"/>
        </w:rPr>
      </w:pPr>
      <w:r>
        <w:rPr>
          <w:color w:val="000000"/>
        </w:rPr>
        <w:t>I</w:t>
      </w:r>
      <w:r w:rsidR="009E783D" w:rsidRPr="00A84CBD">
        <w:rPr>
          <w:color w:val="000000"/>
        </w:rPr>
        <w:t>nvolves handling complaints</w:t>
      </w:r>
      <w:r w:rsidR="009E783D">
        <w:rPr>
          <w:color w:val="000000"/>
        </w:rPr>
        <w:t xml:space="preserve"> from the telecommunications industry and consumers</w:t>
      </w:r>
      <w:r w:rsidR="009E783D" w:rsidRPr="00A84CBD">
        <w:rPr>
          <w:color w:val="000000"/>
        </w:rPr>
        <w:t xml:space="preserve">, compliance monitoring of devices subject to labelling arrangements and telecommunications cabling, </w:t>
      </w:r>
      <w:r w:rsidR="00594C25">
        <w:rPr>
          <w:color w:val="000000"/>
        </w:rPr>
        <w:t xml:space="preserve">compliance monitoring of </w:t>
      </w:r>
      <w:r w:rsidR="009E783D" w:rsidRPr="00A84CBD">
        <w:rPr>
          <w:color w:val="000000"/>
        </w:rPr>
        <w:t xml:space="preserve">electromagnetic </w:t>
      </w:r>
      <w:r w:rsidR="00CF5341">
        <w:rPr>
          <w:color w:val="000000"/>
        </w:rPr>
        <w:t>activities</w:t>
      </w:r>
      <w:r w:rsidR="009E783D" w:rsidRPr="00A84CBD">
        <w:rPr>
          <w:color w:val="000000"/>
        </w:rPr>
        <w:t>, compliance with consumer protection codes, undertaking audit programs, issuing warning notices</w:t>
      </w:r>
      <w:r>
        <w:rPr>
          <w:color w:val="000000"/>
        </w:rPr>
        <w:t xml:space="preserve"> and </w:t>
      </w:r>
      <w:r w:rsidR="00CE1BCF">
        <w:rPr>
          <w:color w:val="000000"/>
        </w:rPr>
        <w:t>directions to comply</w:t>
      </w:r>
      <w:r>
        <w:rPr>
          <w:color w:val="000000"/>
        </w:rPr>
        <w:t>,</w:t>
      </w:r>
      <w:r w:rsidR="00CE1BCF">
        <w:rPr>
          <w:color w:val="000000"/>
        </w:rPr>
        <w:t xml:space="preserve"> </w:t>
      </w:r>
      <w:r w:rsidR="009E783D" w:rsidRPr="00A84CBD">
        <w:rPr>
          <w:color w:val="000000"/>
        </w:rPr>
        <w:t xml:space="preserve">and </w:t>
      </w:r>
      <w:r w:rsidR="003B0551">
        <w:rPr>
          <w:color w:val="000000"/>
        </w:rPr>
        <w:t xml:space="preserve">taking other </w:t>
      </w:r>
      <w:r w:rsidR="009E783D" w:rsidRPr="00A84CBD">
        <w:rPr>
          <w:color w:val="000000"/>
        </w:rPr>
        <w:t xml:space="preserve">enforcement </w:t>
      </w:r>
      <w:r w:rsidR="009E783D">
        <w:rPr>
          <w:color w:val="000000"/>
        </w:rPr>
        <w:t>actions</w:t>
      </w:r>
      <w:r w:rsidR="009E783D" w:rsidRPr="00A84CBD">
        <w:rPr>
          <w:color w:val="000000"/>
        </w:rPr>
        <w:t>.</w:t>
      </w:r>
    </w:p>
    <w:p w14:paraId="3DE9CBBD" w14:textId="77777777" w:rsidR="003B261B" w:rsidRDefault="003B261B" w:rsidP="0031688A">
      <w:pPr>
        <w:spacing w:after="80"/>
        <w:rPr>
          <w:color w:val="000000"/>
        </w:rPr>
      </w:pPr>
      <w:r w:rsidRPr="003B261B">
        <w:rPr>
          <w:color w:val="000000"/>
        </w:rPr>
        <w:t xml:space="preserve">The activities undertaken under this output </w:t>
      </w:r>
      <w:r w:rsidR="006F4C16">
        <w:rPr>
          <w:color w:val="000000"/>
        </w:rPr>
        <w:t>include</w:t>
      </w:r>
      <w:r w:rsidRPr="003B261B">
        <w:rPr>
          <w:color w:val="000000"/>
        </w:rPr>
        <w:t>:</w:t>
      </w:r>
    </w:p>
    <w:p w14:paraId="42CFD661" w14:textId="0B3D8577" w:rsidR="009D5810" w:rsidRPr="00307ECC" w:rsidRDefault="00AF228C" w:rsidP="0031688A">
      <w:pPr>
        <w:pStyle w:val="ListBullet"/>
      </w:pPr>
      <w:r>
        <w:t>d</w:t>
      </w:r>
      <w:r w:rsidR="009D5810" w:rsidRPr="00307ECC">
        <w:t>esig</w:t>
      </w:r>
      <w:r w:rsidR="00FF1C39">
        <w:t xml:space="preserve">ning, </w:t>
      </w:r>
      <w:r w:rsidRPr="00307ECC">
        <w:t>prepar</w:t>
      </w:r>
      <w:r w:rsidR="00FF1C39">
        <w:t>ing</w:t>
      </w:r>
      <w:r w:rsidRPr="00307ECC">
        <w:t xml:space="preserve"> </w:t>
      </w:r>
      <w:r w:rsidR="00FF1C39">
        <w:t>and delivering the</w:t>
      </w:r>
      <w:r w:rsidRPr="00307ECC">
        <w:t xml:space="preserve"> </w:t>
      </w:r>
      <w:r w:rsidR="009D5810" w:rsidRPr="00307ECC">
        <w:t xml:space="preserve">national </w:t>
      </w:r>
      <w:r w:rsidR="00CE1BCF">
        <w:t>c</w:t>
      </w:r>
      <w:r w:rsidR="009D5810" w:rsidRPr="00307ECC">
        <w:t>abling inspection program</w:t>
      </w:r>
    </w:p>
    <w:p w14:paraId="3A6014F1" w14:textId="7691CA90" w:rsidR="009D5810" w:rsidRPr="00307ECC" w:rsidRDefault="00FF1C39" w:rsidP="0031688A">
      <w:pPr>
        <w:pStyle w:val="ListBullet"/>
      </w:pPr>
      <w:r>
        <w:t xml:space="preserve">taking </w:t>
      </w:r>
      <w:r w:rsidR="00AF228C">
        <w:t>e</w:t>
      </w:r>
      <w:r w:rsidR="009D5810" w:rsidRPr="00307ECC">
        <w:t>nforcement action resulting from non-compliance with TCP Code</w:t>
      </w:r>
    </w:p>
    <w:p w14:paraId="131022E4" w14:textId="1DEAD288" w:rsidR="009D5810" w:rsidRPr="00307ECC" w:rsidRDefault="00AF228C" w:rsidP="0031688A">
      <w:pPr>
        <w:pStyle w:val="ListBullet"/>
      </w:pPr>
      <w:r>
        <w:t>i</w:t>
      </w:r>
      <w:r w:rsidR="009D5810" w:rsidRPr="00307ECC">
        <w:t>nvestigat</w:t>
      </w:r>
      <w:r w:rsidR="00FF1C39">
        <w:t>ing</w:t>
      </w:r>
      <w:r w:rsidR="009D5810" w:rsidRPr="00307ECC">
        <w:t xml:space="preserve"> non-compliant cabling work </w:t>
      </w:r>
    </w:p>
    <w:p w14:paraId="6D174749" w14:textId="549B7A74" w:rsidR="009D5810" w:rsidRPr="00307ECC" w:rsidRDefault="00AF228C" w:rsidP="0031688A">
      <w:pPr>
        <w:pStyle w:val="ListBullet"/>
      </w:pPr>
      <w:r>
        <w:t>m</w:t>
      </w:r>
      <w:r w:rsidRPr="00307ECC">
        <w:t>anag</w:t>
      </w:r>
      <w:r>
        <w:t>ing</w:t>
      </w:r>
      <w:r w:rsidRPr="00307ECC">
        <w:t xml:space="preserve"> </w:t>
      </w:r>
      <w:r w:rsidR="009D5810" w:rsidRPr="00307ECC">
        <w:t xml:space="preserve">complaints relating to cabling and </w:t>
      </w:r>
      <w:r w:rsidR="00CE1BCF">
        <w:t>t</w:t>
      </w:r>
      <w:r w:rsidR="009D5810" w:rsidRPr="00307ECC">
        <w:t>elecommunications equipment compliance</w:t>
      </w:r>
    </w:p>
    <w:p w14:paraId="3116C025" w14:textId="694FF0B4" w:rsidR="009D5810" w:rsidRPr="00307ECC" w:rsidRDefault="00AF228C" w:rsidP="0031688A">
      <w:pPr>
        <w:pStyle w:val="ListBullet"/>
      </w:pPr>
      <w:r>
        <w:t>m</w:t>
      </w:r>
      <w:r w:rsidR="009D5810" w:rsidRPr="00307ECC">
        <w:t>anag</w:t>
      </w:r>
      <w:r>
        <w:t xml:space="preserve">ing </w:t>
      </w:r>
      <w:r w:rsidR="009D5810" w:rsidRPr="00307ECC">
        <w:t>outsourced arrangements and numbering allocation</w:t>
      </w:r>
    </w:p>
    <w:p w14:paraId="50D61266" w14:textId="3AD22ADE" w:rsidR="009D5810" w:rsidRPr="00307ECC" w:rsidRDefault="00AF228C" w:rsidP="0031688A">
      <w:pPr>
        <w:pStyle w:val="ListBullet"/>
      </w:pPr>
      <w:r>
        <w:t>m</w:t>
      </w:r>
      <w:r w:rsidR="009D5810" w:rsidRPr="00307ECC">
        <w:t xml:space="preserve">onitoring and preliminary enquiries into compliance with consumer safeguards such as </w:t>
      </w:r>
      <w:r>
        <w:t xml:space="preserve">the </w:t>
      </w:r>
      <w:r w:rsidR="009D5810" w:rsidRPr="00307ECC">
        <w:t xml:space="preserve">Mobile Premium Service Code, </w:t>
      </w:r>
      <w:r w:rsidR="00254990" w:rsidRPr="00307ECC">
        <w:t xml:space="preserve">TCP Code </w:t>
      </w:r>
      <w:r w:rsidR="009D5810" w:rsidRPr="00307ECC">
        <w:t>and International Mobile Roaming Standard</w:t>
      </w:r>
    </w:p>
    <w:p w14:paraId="3F8CAD6B" w14:textId="00A1755D" w:rsidR="009D5810" w:rsidRPr="00307ECC" w:rsidRDefault="00AF228C" w:rsidP="0031688A">
      <w:pPr>
        <w:pStyle w:val="ListBullet"/>
      </w:pPr>
      <w:r>
        <w:t>p</w:t>
      </w:r>
      <w:r w:rsidR="009D5810" w:rsidRPr="00307ECC">
        <w:t>rocess</w:t>
      </w:r>
      <w:r>
        <w:t>ing</w:t>
      </w:r>
      <w:r w:rsidR="009D5810" w:rsidRPr="00307ECC">
        <w:t xml:space="preserve"> exemptions and deal</w:t>
      </w:r>
      <w:r>
        <w:t>ing</w:t>
      </w:r>
      <w:r w:rsidR="009D5810" w:rsidRPr="00307ECC">
        <w:t xml:space="preserve"> with complaints </w:t>
      </w:r>
      <w:r>
        <w:t>about</w:t>
      </w:r>
      <w:r w:rsidR="009D5810" w:rsidRPr="00307ECC">
        <w:t xml:space="preserve"> number portability, pre-selection and industry codes</w:t>
      </w:r>
    </w:p>
    <w:p w14:paraId="12E5BDF6" w14:textId="26BD4159" w:rsidR="009D5810" w:rsidRPr="00307ECC" w:rsidRDefault="00AF228C" w:rsidP="0031688A">
      <w:pPr>
        <w:pStyle w:val="ListBullet"/>
      </w:pPr>
      <w:r>
        <w:t>r</w:t>
      </w:r>
      <w:r w:rsidRPr="00307ECC">
        <w:t>espon</w:t>
      </w:r>
      <w:r>
        <w:t>ding</w:t>
      </w:r>
      <w:r w:rsidRPr="00307ECC">
        <w:t xml:space="preserve"> </w:t>
      </w:r>
      <w:r w:rsidR="009D5810" w:rsidRPr="00307ECC">
        <w:t>to providers</w:t>
      </w:r>
      <w:r w:rsidR="00CE1BCF">
        <w:t>’</w:t>
      </w:r>
      <w:r w:rsidR="009D5810" w:rsidRPr="00307ECC">
        <w:t xml:space="preserve"> queries about the Telecommunications Industry Ombudsman's (TIO) scheme</w:t>
      </w:r>
      <w:r>
        <w:t>; h</w:t>
      </w:r>
      <w:r w:rsidR="009D5810" w:rsidRPr="00307ECC">
        <w:t xml:space="preserve">andling TIO referrals </w:t>
      </w:r>
      <w:r>
        <w:t>about</w:t>
      </w:r>
      <w:r w:rsidRPr="00307ECC">
        <w:t xml:space="preserve"> </w:t>
      </w:r>
      <w:r w:rsidR="009D5810" w:rsidRPr="00307ECC">
        <w:t xml:space="preserve">potential non-compliance with </w:t>
      </w:r>
      <w:r>
        <w:t xml:space="preserve">the </w:t>
      </w:r>
      <w:r w:rsidR="009D5810" w:rsidRPr="00307ECC">
        <w:t>scheme</w:t>
      </w:r>
      <w:r>
        <w:t>; making p</w:t>
      </w:r>
      <w:r w:rsidR="009D5810" w:rsidRPr="00307ECC">
        <w:t xml:space="preserve">reliminary enquiries and </w:t>
      </w:r>
      <w:r w:rsidRPr="00307ECC">
        <w:t>investigati</w:t>
      </w:r>
      <w:r>
        <w:t>ng</w:t>
      </w:r>
      <w:r w:rsidRPr="00307ECC">
        <w:t xml:space="preserve"> </w:t>
      </w:r>
      <w:r w:rsidR="009D5810" w:rsidRPr="00307ECC">
        <w:t>compliance with the scheme</w:t>
      </w:r>
      <w:r w:rsidR="00FF1C39">
        <w:t>; c</w:t>
      </w:r>
      <w:r w:rsidR="009D5810" w:rsidRPr="00307ECC">
        <w:t>onsider</w:t>
      </w:r>
      <w:r w:rsidR="00FF1C39">
        <w:t>ing</w:t>
      </w:r>
      <w:r w:rsidR="009D5810" w:rsidRPr="00307ECC">
        <w:t xml:space="preserve"> exemption requests</w:t>
      </w:r>
    </w:p>
    <w:p w14:paraId="12B542EA" w14:textId="4580C3F4" w:rsidR="009D5810" w:rsidRPr="00307ECC" w:rsidRDefault="00FF1C39" w:rsidP="0031688A">
      <w:pPr>
        <w:pStyle w:val="ListBulletLast"/>
      </w:pPr>
      <w:r>
        <w:t>r</w:t>
      </w:r>
      <w:r w:rsidR="009D5810" w:rsidRPr="00307ECC">
        <w:t xml:space="preserve">evenue </w:t>
      </w:r>
      <w:r w:rsidR="00277A10" w:rsidRPr="00307ECC">
        <w:t xml:space="preserve">collection and </w:t>
      </w:r>
      <w:r w:rsidR="009D5810" w:rsidRPr="00307ECC">
        <w:t>compliance</w:t>
      </w:r>
      <w:r w:rsidR="00CE1BCF">
        <w:t>.</w:t>
      </w:r>
    </w:p>
    <w:p w14:paraId="51437C3D" w14:textId="77777777" w:rsidR="009E783D" w:rsidRPr="003F7E3A" w:rsidRDefault="009E783D" w:rsidP="0007149B">
      <w:pPr>
        <w:pStyle w:val="Bodysubheader0"/>
      </w:pPr>
      <w:r w:rsidRPr="007B5ADB">
        <w:t xml:space="preserve">Licensing and </w:t>
      </w:r>
      <w:r w:rsidR="004B2779" w:rsidRPr="007B5ADB">
        <w:t xml:space="preserve">number </w:t>
      </w:r>
      <w:r w:rsidRPr="007B5ADB">
        <w:t>allocation</w:t>
      </w:r>
    </w:p>
    <w:p w14:paraId="2502055B" w14:textId="6ED77F7D" w:rsidR="009E783D" w:rsidRDefault="00FF1C39" w:rsidP="009E783D">
      <w:r>
        <w:t>I</w:t>
      </w:r>
      <w:r w:rsidR="009E783D" w:rsidRPr="00A84CBD">
        <w:t xml:space="preserve">ncludes planning, development and management </w:t>
      </w:r>
      <w:r>
        <w:t>of</w:t>
      </w:r>
      <w:r w:rsidR="009E783D" w:rsidRPr="00A84CBD">
        <w:t xml:space="preserve"> telecommunications licences, and the planning, </w:t>
      </w:r>
      <w:r w:rsidR="009E783D">
        <w:t xml:space="preserve">development, </w:t>
      </w:r>
      <w:r w:rsidR="009E783D" w:rsidRPr="00A84CBD">
        <w:t xml:space="preserve">allocation and </w:t>
      </w:r>
      <w:r w:rsidR="009E783D">
        <w:t xml:space="preserve">maintenance </w:t>
      </w:r>
      <w:r w:rsidR="009E783D" w:rsidRPr="00A84CBD">
        <w:t xml:space="preserve">of telecommunications numbers. </w:t>
      </w:r>
      <w:r>
        <w:t>I</w:t>
      </w:r>
      <w:r w:rsidR="009E783D" w:rsidRPr="00A84CBD">
        <w:t xml:space="preserve">ssuing licences and allocating </w:t>
      </w:r>
      <w:r w:rsidR="009E783D">
        <w:t xml:space="preserve">certain </w:t>
      </w:r>
      <w:r w:rsidR="009E783D" w:rsidRPr="00A84CBD">
        <w:t>numbers</w:t>
      </w:r>
      <w:r>
        <w:t>,</w:t>
      </w:r>
      <w:r w:rsidR="009E783D" w:rsidRPr="00A84CBD">
        <w:t xml:space="preserve"> such as geographic, free-phone, local </w:t>
      </w:r>
      <w:r w:rsidR="004B2779">
        <w:t xml:space="preserve">rate </w:t>
      </w:r>
      <w:r w:rsidR="009E783D" w:rsidRPr="00A84CBD">
        <w:t>and premium numbers are not included</w:t>
      </w:r>
      <w:r w:rsidR="00261225">
        <w:t>,</w:t>
      </w:r>
      <w:r w:rsidR="009E783D" w:rsidRPr="00A84CBD">
        <w:t xml:space="preserve"> as these services are delivered on a fee-for-service basis.</w:t>
      </w:r>
    </w:p>
    <w:p w14:paraId="59943BB0" w14:textId="77777777" w:rsidR="003B261B" w:rsidRDefault="003B261B" w:rsidP="0031688A">
      <w:pPr>
        <w:spacing w:after="80"/>
      </w:pPr>
      <w:r w:rsidRPr="003B261B">
        <w:t xml:space="preserve">The activities undertaken under this output </w:t>
      </w:r>
      <w:r w:rsidR="004D04D6">
        <w:t xml:space="preserve">also </w:t>
      </w:r>
      <w:r w:rsidR="006F4C16">
        <w:t>include</w:t>
      </w:r>
      <w:r w:rsidRPr="003B261B">
        <w:t>:</w:t>
      </w:r>
    </w:p>
    <w:p w14:paraId="26C2C1A8" w14:textId="5C42C104" w:rsidR="006F4C16" w:rsidRPr="00307ECC" w:rsidRDefault="00FF1C39" w:rsidP="0031688A">
      <w:pPr>
        <w:pStyle w:val="ListBullet"/>
      </w:pPr>
      <w:r>
        <w:t>a</w:t>
      </w:r>
      <w:r w:rsidR="006F4C16" w:rsidRPr="00307ECC">
        <w:t>dministering the carrier licensing regime</w:t>
      </w:r>
    </w:p>
    <w:p w14:paraId="4E104FD2" w14:textId="262CDC55" w:rsidR="003B261B" w:rsidRPr="003F7E3A" w:rsidRDefault="00FF1C39" w:rsidP="0031688A">
      <w:pPr>
        <w:pStyle w:val="ListBulletLast"/>
      </w:pPr>
      <w:r>
        <w:t>g</w:t>
      </w:r>
      <w:r w:rsidR="006F4C16" w:rsidRPr="00307ECC">
        <w:t>rant</w:t>
      </w:r>
      <w:r>
        <w:t>ing</w:t>
      </w:r>
      <w:r w:rsidR="006F4C16" w:rsidRPr="00307ECC">
        <w:t xml:space="preserve"> permits and consider</w:t>
      </w:r>
      <w:r>
        <w:t>ing</w:t>
      </w:r>
      <w:r w:rsidR="006F4C16" w:rsidRPr="00307ECC">
        <w:t xml:space="preserve"> </w:t>
      </w:r>
      <w:r w:rsidR="004B2779">
        <w:t xml:space="preserve">submarine </w:t>
      </w:r>
      <w:r w:rsidR="006F4C16" w:rsidRPr="00307ECC">
        <w:t>protection zone application</w:t>
      </w:r>
      <w:r w:rsidR="002220E3" w:rsidRPr="00307ECC">
        <w:t>s</w:t>
      </w:r>
      <w:r w:rsidR="004D04D6">
        <w:t>.</w:t>
      </w:r>
    </w:p>
    <w:p w14:paraId="62D302CE" w14:textId="77777777" w:rsidR="009E783D" w:rsidRPr="003F7E3A" w:rsidRDefault="009E783D" w:rsidP="0007149B">
      <w:pPr>
        <w:pStyle w:val="Bodysubheader0"/>
      </w:pPr>
      <w:r w:rsidRPr="003F7E3A">
        <w:t>Other outputs</w:t>
      </w:r>
    </w:p>
    <w:p w14:paraId="541F78AB" w14:textId="77777777" w:rsidR="009E783D" w:rsidRDefault="009E783D" w:rsidP="009E783D">
      <w:r w:rsidRPr="00A84CBD">
        <w:t xml:space="preserve">All other </w:t>
      </w:r>
      <w:r>
        <w:t>outputs</w:t>
      </w:r>
      <w:r w:rsidRPr="00A84CBD">
        <w:t xml:space="preserve"> in relation to the ACMA’s telecommunications functions and powers are considered in this category</w:t>
      </w:r>
      <w:r w:rsidR="00261225">
        <w:t>,</w:t>
      </w:r>
      <w:r w:rsidRPr="00A84CBD">
        <w:t xml:space="preserve"> including dealing with the telecommunications industry on national interest</w:t>
      </w:r>
      <w:r w:rsidR="003F6205">
        <w:t xml:space="preserve"> issues</w:t>
      </w:r>
      <w:r w:rsidRPr="00A84CBD">
        <w:t>.</w:t>
      </w:r>
    </w:p>
    <w:p w14:paraId="56651E2C" w14:textId="77777777" w:rsidR="003B261B" w:rsidRDefault="003B261B" w:rsidP="0031688A">
      <w:pPr>
        <w:spacing w:after="80"/>
      </w:pPr>
      <w:r w:rsidRPr="003B261B">
        <w:t xml:space="preserve">The activities undertaken under this output </w:t>
      </w:r>
      <w:r w:rsidR="006F4C16">
        <w:t>include</w:t>
      </w:r>
      <w:r>
        <w:t>:</w:t>
      </w:r>
    </w:p>
    <w:p w14:paraId="004366F7" w14:textId="220D7C93" w:rsidR="006F4C16" w:rsidRPr="00307ECC" w:rsidRDefault="00FF1C39" w:rsidP="0031688A">
      <w:pPr>
        <w:pStyle w:val="ListBullet"/>
      </w:pPr>
      <w:r>
        <w:t>a</w:t>
      </w:r>
      <w:r w:rsidR="006F4C16" w:rsidRPr="00307ECC">
        <w:t>dministering the carrier licence charging arrangement</w:t>
      </w:r>
    </w:p>
    <w:p w14:paraId="34D1B134" w14:textId="1E7214EA" w:rsidR="006F4C16" w:rsidRPr="00307ECC" w:rsidRDefault="00FF1C39" w:rsidP="0031688A">
      <w:pPr>
        <w:pStyle w:val="ListBulletLast"/>
      </w:pPr>
      <w:r>
        <w:t>c</w:t>
      </w:r>
      <w:r w:rsidR="006F4C16" w:rsidRPr="00307ECC">
        <w:t>oordinat</w:t>
      </w:r>
      <w:r w:rsidR="004B2779">
        <w:t>ing</w:t>
      </w:r>
      <w:r w:rsidR="006F4C16" w:rsidRPr="00307ECC">
        <w:t xml:space="preserve"> </w:t>
      </w:r>
      <w:r>
        <w:t>i</w:t>
      </w:r>
      <w:r w:rsidR="006F4C16" w:rsidRPr="00307ECC">
        <w:t xml:space="preserve">nternational </w:t>
      </w:r>
      <w:r>
        <w:t>e</w:t>
      </w:r>
      <w:r w:rsidR="006F4C16" w:rsidRPr="00307ECC">
        <w:t xml:space="preserve">ngagement </w:t>
      </w:r>
      <w:r w:rsidR="002220E3" w:rsidRPr="00307ECC">
        <w:t xml:space="preserve">with the </w:t>
      </w:r>
      <w:r w:rsidR="004B052A">
        <w:t>ITU–</w:t>
      </w:r>
      <w:r w:rsidR="006F4C16" w:rsidRPr="00307ECC">
        <w:t>Telecommunications Sector</w:t>
      </w:r>
      <w:r w:rsidR="004A3214">
        <w:t>.</w:t>
      </w:r>
    </w:p>
    <w:p w14:paraId="6B87D674" w14:textId="77777777" w:rsidR="009E783D" w:rsidRDefault="009E783D" w:rsidP="00372EAE">
      <w:r w:rsidRPr="00A85742">
        <w:t xml:space="preserve">Further details about the ACMA’s telecommunications </w:t>
      </w:r>
      <w:r>
        <w:t>activities</w:t>
      </w:r>
      <w:r w:rsidRPr="00A85742">
        <w:t xml:space="preserve"> </w:t>
      </w:r>
      <w:r w:rsidR="00387831">
        <w:t>are set out in</w:t>
      </w:r>
      <w:r w:rsidRPr="00A85742">
        <w:t xml:space="preserve"> the ACMA’s annual report.</w:t>
      </w:r>
      <w:r w:rsidRPr="00A85742">
        <w:rPr>
          <w:rStyle w:val="FootnoteReference"/>
          <w:rFonts w:cs="Arial"/>
          <w:szCs w:val="20"/>
        </w:rPr>
        <w:footnoteReference w:id="11"/>
      </w:r>
    </w:p>
    <w:p w14:paraId="553B2211" w14:textId="77777777" w:rsidR="009E783D" w:rsidRPr="005D0BC8" w:rsidRDefault="009E783D" w:rsidP="003F7E3A">
      <w:pPr>
        <w:pStyle w:val="Heading3"/>
      </w:pPr>
      <w:bookmarkStart w:id="49" w:name="_Toc417990948"/>
      <w:bookmarkStart w:id="50" w:name="_Toc511634390"/>
      <w:bookmarkStart w:id="51" w:name="_Toc532543397"/>
      <w:r w:rsidRPr="003F7E3A">
        <w:t>3.1.2</w:t>
      </w:r>
      <w:r w:rsidRPr="003F7E3A">
        <w:tab/>
        <w:t>Costs of the activity</w:t>
      </w:r>
      <w:bookmarkEnd w:id="49"/>
      <w:bookmarkEnd w:id="50"/>
      <w:bookmarkEnd w:id="51"/>
    </w:p>
    <w:p w14:paraId="5896BED1" w14:textId="214E19AD" w:rsidR="009E783D" w:rsidRPr="005D0BC8" w:rsidRDefault="00FF1C39" w:rsidP="009E783D">
      <w:r>
        <w:t>D</w:t>
      </w:r>
      <w:r w:rsidR="009E783D" w:rsidRPr="00A84CBD">
        <w:t>etermin</w:t>
      </w:r>
      <w:r>
        <w:t>ing</w:t>
      </w:r>
      <w:r w:rsidR="009E783D" w:rsidRPr="00A84CBD">
        <w:t xml:space="preserve"> the ACMA’s costs to be recovered </w:t>
      </w:r>
      <w:r w:rsidR="009E783D">
        <w:t>under</w:t>
      </w:r>
      <w:r w:rsidR="009E783D" w:rsidRPr="00A84CBD">
        <w:t xml:space="preserve"> the ACLC is subject to </w:t>
      </w:r>
      <w:r w:rsidR="009E783D" w:rsidRPr="00285099">
        <w:t xml:space="preserve">a rigorous process using an </w:t>
      </w:r>
      <w:r w:rsidR="00E50A27">
        <w:t>A</w:t>
      </w:r>
      <w:r w:rsidR="009E783D" w:rsidRPr="00285099">
        <w:t>ctivity</w:t>
      </w:r>
      <w:r w:rsidR="00E50A27">
        <w:t xml:space="preserve"> B</w:t>
      </w:r>
      <w:r w:rsidR="009E783D" w:rsidRPr="00285099">
        <w:t xml:space="preserve">ased </w:t>
      </w:r>
      <w:r w:rsidR="00E50A27">
        <w:t>C</w:t>
      </w:r>
      <w:r w:rsidR="009E783D" w:rsidRPr="00285099">
        <w:t xml:space="preserve">osting (ABC) </w:t>
      </w:r>
      <w:r w:rsidR="00D16A06">
        <w:t>system</w:t>
      </w:r>
      <w:r w:rsidR="009E783D" w:rsidRPr="00285099">
        <w:t xml:space="preserve">. </w:t>
      </w:r>
      <w:r w:rsidR="001E6B67" w:rsidRPr="00285099">
        <w:t xml:space="preserve">The system </w:t>
      </w:r>
      <w:r w:rsidR="004D642B" w:rsidRPr="00285099">
        <w:t>track</w:t>
      </w:r>
      <w:r w:rsidR="00CF110C">
        <w:t>s</w:t>
      </w:r>
      <w:r w:rsidR="004D642B" w:rsidRPr="00285099">
        <w:t xml:space="preserve"> </w:t>
      </w:r>
      <w:r w:rsidR="009E783D" w:rsidRPr="00285099">
        <w:t xml:space="preserve">direct and support (indirect) costs </w:t>
      </w:r>
      <w:r w:rsidR="004D642B" w:rsidRPr="00285099">
        <w:t xml:space="preserve">and </w:t>
      </w:r>
      <w:r w:rsidR="00E22916" w:rsidRPr="00285099">
        <w:t xml:space="preserve">the type </w:t>
      </w:r>
      <w:r w:rsidR="004D642B" w:rsidRPr="00285099">
        <w:t xml:space="preserve">of expenses </w:t>
      </w:r>
      <w:r w:rsidR="009E783D" w:rsidRPr="00285099">
        <w:t>incurred by the ACMA in exercising its telecommunications functions and powers</w:t>
      </w:r>
      <w:r w:rsidR="001E6B67" w:rsidRPr="00285099">
        <w:t>.</w:t>
      </w:r>
      <w:r w:rsidR="009E783D" w:rsidRPr="00285099">
        <w:t xml:space="preserve"> </w:t>
      </w:r>
      <w:r w:rsidR="00851BD7" w:rsidRPr="00285099">
        <w:t>As in prior year</w:t>
      </w:r>
      <w:r w:rsidR="004A3214">
        <w:t>s</w:t>
      </w:r>
      <w:r w:rsidR="004D642B" w:rsidRPr="00285099">
        <w:t>, t</w:t>
      </w:r>
      <w:r w:rsidR="009E783D" w:rsidRPr="00285099">
        <w:t>ime is used as a primary means of allocating direct costs to activities</w:t>
      </w:r>
      <w:r w:rsidR="00261225">
        <w:t>,</w:t>
      </w:r>
      <w:r w:rsidR="009E783D" w:rsidRPr="00285099">
        <w:t xml:space="preserve"> while support costs are allocated using an appropriate cost driver (further detail on cost drivers is provided later in this section).</w:t>
      </w:r>
      <w:r w:rsidR="009E783D" w:rsidRPr="00A84CBD">
        <w:t xml:space="preserve"> </w:t>
      </w:r>
    </w:p>
    <w:p w14:paraId="2A232D32" w14:textId="62ADF45E" w:rsidR="00434461" w:rsidRDefault="00CF110C" w:rsidP="009E783D">
      <w:r>
        <w:t>T</w:t>
      </w:r>
      <w:r w:rsidRPr="00A84CBD">
        <w:t>he ACMA conducts agency-wide surveys twice a year</w:t>
      </w:r>
      <w:r w:rsidRPr="00A84CBD" w:rsidDel="00CF110C">
        <w:t xml:space="preserve"> </w:t>
      </w:r>
      <w:r>
        <w:t>t</w:t>
      </w:r>
      <w:r w:rsidR="009E783D" w:rsidRPr="00A84CBD">
        <w:t>o ensure the allocation base for the ABC model remains accurate.</w:t>
      </w:r>
      <w:r w:rsidR="009E783D">
        <w:t xml:space="preserve"> </w:t>
      </w:r>
    </w:p>
    <w:p w14:paraId="2289A5C4" w14:textId="77777777" w:rsidR="009E783D" w:rsidRDefault="009E783D" w:rsidP="009E783D">
      <w:r w:rsidRPr="00AD4C5D">
        <w:t>Table 3 provides details for the direct costs and support costs of the ACMA’s component</w:t>
      </w:r>
      <w:r w:rsidR="00CF110C">
        <w:t>s</w:t>
      </w:r>
      <w:r w:rsidRPr="00AD4C5D">
        <w:t xml:space="preserve"> at a</w:t>
      </w:r>
      <w:r>
        <w:t>n</w:t>
      </w:r>
      <w:r w:rsidRPr="00AD4C5D">
        <w:t xml:space="preserve"> </w:t>
      </w:r>
      <w:r>
        <w:t>output</w:t>
      </w:r>
      <w:r w:rsidRPr="00AD4C5D">
        <w:t xml:space="preserve"> level</w:t>
      </w:r>
      <w:r w:rsidR="00261225">
        <w:t>.</w:t>
      </w:r>
    </w:p>
    <w:p w14:paraId="15A91870" w14:textId="77777777" w:rsidR="00C03710" w:rsidRPr="001D64D9" w:rsidRDefault="00C03710" w:rsidP="006A56FD">
      <w:pPr>
        <w:pStyle w:val="ACMATableHeader"/>
        <w:keepNext/>
      </w:pPr>
      <w:r w:rsidRPr="001D64D9">
        <w:t xml:space="preserve">The ACMA’s component at </w:t>
      </w:r>
      <w:r w:rsidR="00FD404F" w:rsidRPr="001D64D9">
        <w:t>output level, 201</w:t>
      </w:r>
      <w:r w:rsidR="00386FB7" w:rsidRPr="001D64D9">
        <w:t>7</w:t>
      </w:r>
      <w:r w:rsidR="00FD404F" w:rsidRPr="001D64D9">
        <w:t>–1</w:t>
      </w:r>
      <w:r w:rsidR="00386FB7" w:rsidRPr="001D64D9">
        <w:t>8 (based on 2016</w:t>
      </w:r>
      <w:r w:rsidR="00AA0DBC" w:rsidRPr="001D64D9">
        <w:t>–</w:t>
      </w:r>
      <w:r w:rsidR="00386FB7" w:rsidRPr="001D64D9">
        <w:t>17</w:t>
      </w:r>
      <w:r w:rsidR="00D8038E" w:rsidRPr="001D64D9">
        <w:t xml:space="preserve"> costs)</w:t>
      </w:r>
    </w:p>
    <w:tbl>
      <w:tblPr>
        <w:tblW w:w="4823"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57" w:type="dxa"/>
          <w:left w:w="57" w:type="dxa"/>
          <w:bottom w:w="57" w:type="dxa"/>
          <w:right w:w="57" w:type="dxa"/>
        </w:tblCellMar>
        <w:tblLook w:val="04A0" w:firstRow="1" w:lastRow="0" w:firstColumn="1" w:lastColumn="0" w:noHBand="0" w:noVBand="1"/>
        <w:tblCaption w:val="The ACMA’s component at output level, 2015–16"/>
        <w:tblDescription w:val="Includes direct, support and total costs of outputs."/>
      </w:tblPr>
      <w:tblGrid>
        <w:gridCol w:w="2989"/>
        <w:gridCol w:w="1465"/>
        <w:gridCol w:w="1465"/>
        <w:gridCol w:w="1465"/>
      </w:tblGrid>
      <w:tr w:rsidR="00192225" w:rsidRPr="00B4771B" w14:paraId="0E728A2E" w14:textId="77777777" w:rsidTr="00410995">
        <w:trPr>
          <w:trHeight w:val="361"/>
          <w:tblHeader/>
        </w:trPr>
        <w:tc>
          <w:tcPr>
            <w:tcW w:w="2024" w:type="pct"/>
            <w:shd w:val="clear" w:color="auto" w:fill="404040" w:themeFill="text1" w:themeFillTint="BF"/>
            <w:vAlign w:val="center"/>
          </w:tcPr>
          <w:p w14:paraId="131B3810" w14:textId="77777777" w:rsidR="00192225" w:rsidRPr="00B64534" w:rsidRDefault="00192225" w:rsidP="00AA0DBC">
            <w:pPr>
              <w:pStyle w:val="TableHeading"/>
              <w:rPr>
                <w:b w:val="0"/>
                <w:color w:val="FFFFFF" w:themeColor="background1"/>
              </w:rPr>
            </w:pPr>
            <w:r w:rsidRPr="00B64534">
              <w:rPr>
                <w:color w:val="FFFFFF" w:themeColor="background1"/>
              </w:rPr>
              <w:t>Output</w:t>
            </w:r>
          </w:p>
        </w:tc>
        <w:tc>
          <w:tcPr>
            <w:tcW w:w="992" w:type="pct"/>
            <w:shd w:val="clear" w:color="000000" w:fill="404040"/>
            <w:vAlign w:val="center"/>
          </w:tcPr>
          <w:p w14:paraId="16427A35" w14:textId="77777777" w:rsidR="00192225" w:rsidRPr="00B64534" w:rsidRDefault="00192225" w:rsidP="00AA0DBC">
            <w:pPr>
              <w:pStyle w:val="TableHeading"/>
              <w:jc w:val="right"/>
              <w:rPr>
                <w:b w:val="0"/>
                <w:color w:val="FFFFFF" w:themeColor="background1"/>
              </w:rPr>
            </w:pPr>
            <w:r w:rsidRPr="00B64534">
              <w:rPr>
                <w:bCs/>
                <w:color w:val="FFFFFF" w:themeColor="background1"/>
              </w:rPr>
              <w:t>Direct cost</w:t>
            </w:r>
            <w:r w:rsidR="00CF110C">
              <w:rPr>
                <w:bCs/>
                <w:color w:val="FFFFFF" w:themeColor="background1"/>
              </w:rPr>
              <w:t xml:space="preserve"> </w:t>
            </w:r>
            <w:r w:rsidR="00CF110C">
              <w:rPr>
                <w:bCs/>
                <w:color w:val="FFFFFF" w:themeColor="background1"/>
              </w:rPr>
              <w:br/>
              <w:t>($)</w:t>
            </w:r>
          </w:p>
        </w:tc>
        <w:tc>
          <w:tcPr>
            <w:tcW w:w="992" w:type="pct"/>
            <w:shd w:val="clear" w:color="000000" w:fill="404040"/>
            <w:vAlign w:val="center"/>
          </w:tcPr>
          <w:p w14:paraId="0F57062B" w14:textId="77777777" w:rsidR="00192225" w:rsidRPr="00B64534" w:rsidRDefault="00192225" w:rsidP="00AA0DBC">
            <w:pPr>
              <w:pStyle w:val="TableHeading"/>
              <w:jc w:val="right"/>
              <w:rPr>
                <w:b w:val="0"/>
                <w:color w:val="FFFFFF" w:themeColor="background1"/>
              </w:rPr>
            </w:pPr>
            <w:r w:rsidRPr="00B64534">
              <w:rPr>
                <w:bCs/>
                <w:color w:val="FFFFFF" w:themeColor="background1"/>
              </w:rPr>
              <w:t>Support cost</w:t>
            </w:r>
            <w:r w:rsidR="00CF110C">
              <w:rPr>
                <w:bCs/>
                <w:color w:val="FFFFFF" w:themeColor="background1"/>
              </w:rPr>
              <w:t xml:space="preserve"> ($)</w:t>
            </w:r>
          </w:p>
        </w:tc>
        <w:tc>
          <w:tcPr>
            <w:tcW w:w="992" w:type="pct"/>
            <w:shd w:val="clear" w:color="000000" w:fill="404040"/>
            <w:vAlign w:val="center"/>
          </w:tcPr>
          <w:p w14:paraId="18945AF8" w14:textId="77777777" w:rsidR="00192225" w:rsidRPr="00B64534" w:rsidRDefault="00192225" w:rsidP="00AA0DBC">
            <w:pPr>
              <w:pStyle w:val="TableHeading"/>
              <w:jc w:val="right"/>
              <w:rPr>
                <w:b w:val="0"/>
                <w:color w:val="FFFFFF" w:themeColor="background1"/>
              </w:rPr>
            </w:pPr>
            <w:r w:rsidRPr="00B64534">
              <w:rPr>
                <w:bCs/>
                <w:color w:val="FFFFFF" w:themeColor="background1"/>
              </w:rPr>
              <w:t>Total cost</w:t>
            </w:r>
            <w:r w:rsidR="00CF110C">
              <w:rPr>
                <w:bCs/>
                <w:color w:val="FFFFFF" w:themeColor="background1"/>
              </w:rPr>
              <w:t xml:space="preserve"> </w:t>
            </w:r>
            <w:r w:rsidR="00CF110C">
              <w:rPr>
                <w:bCs/>
                <w:color w:val="FFFFFF" w:themeColor="background1"/>
              </w:rPr>
              <w:br/>
              <w:t>($)</w:t>
            </w:r>
          </w:p>
        </w:tc>
      </w:tr>
      <w:tr w:rsidR="001D64D9" w:rsidRPr="00B4771B" w14:paraId="295345E8" w14:textId="77777777" w:rsidTr="00410995">
        <w:trPr>
          <w:trHeight w:val="226"/>
        </w:trPr>
        <w:tc>
          <w:tcPr>
            <w:tcW w:w="2024" w:type="pct"/>
            <w:vAlign w:val="center"/>
          </w:tcPr>
          <w:p w14:paraId="5B2BAF05" w14:textId="77777777" w:rsidR="001D64D9" w:rsidRPr="00F45CD9" w:rsidRDefault="001D64D9" w:rsidP="001D64D9">
            <w:pPr>
              <w:keepNext/>
              <w:spacing w:after="0"/>
              <w:rPr>
                <w:rFonts w:cs="Arial"/>
                <w:szCs w:val="20"/>
              </w:rPr>
            </w:pPr>
            <w:r w:rsidRPr="00F45CD9">
              <w:rPr>
                <w:rFonts w:cs="Arial"/>
                <w:szCs w:val="20"/>
              </w:rPr>
              <w:t>Regulat</w:t>
            </w:r>
            <w:r>
              <w:rPr>
                <w:rFonts w:cs="Arial"/>
                <w:szCs w:val="20"/>
              </w:rPr>
              <w:t xml:space="preserve">ion development  </w:t>
            </w:r>
          </w:p>
        </w:tc>
        <w:tc>
          <w:tcPr>
            <w:tcW w:w="992" w:type="pct"/>
            <w:shd w:val="clear" w:color="auto" w:fill="auto"/>
          </w:tcPr>
          <w:p w14:paraId="35E64861" w14:textId="77777777" w:rsidR="001D64D9" w:rsidRDefault="001D64D9" w:rsidP="001D64D9">
            <w:pPr>
              <w:keepNext/>
              <w:spacing w:after="0"/>
              <w:jc w:val="right"/>
              <w:rPr>
                <w:rFonts w:cs="Arial"/>
                <w:color w:val="000000"/>
                <w:szCs w:val="20"/>
              </w:rPr>
            </w:pPr>
            <w:r w:rsidRPr="004A5553">
              <w:t>3,025,497</w:t>
            </w:r>
          </w:p>
        </w:tc>
        <w:tc>
          <w:tcPr>
            <w:tcW w:w="992" w:type="pct"/>
            <w:shd w:val="clear" w:color="auto" w:fill="auto"/>
          </w:tcPr>
          <w:p w14:paraId="5E738ADA" w14:textId="77777777" w:rsidR="001D64D9" w:rsidRDefault="001D64D9" w:rsidP="001D64D9">
            <w:pPr>
              <w:keepNext/>
              <w:spacing w:after="0"/>
              <w:jc w:val="right"/>
              <w:rPr>
                <w:rFonts w:cs="Arial"/>
                <w:color w:val="000000"/>
                <w:szCs w:val="20"/>
              </w:rPr>
            </w:pPr>
            <w:r w:rsidRPr="004A5553">
              <w:t>3,500,724</w:t>
            </w:r>
          </w:p>
        </w:tc>
        <w:tc>
          <w:tcPr>
            <w:tcW w:w="992" w:type="pct"/>
            <w:shd w:val="clear" w:color="auto" w:fill="auto"/>
          </w:tcPr>
          <w:p w14:paraId="11A2B054" w14:textId="77777777" w:rsidR="001D64D9" w:rsidRDefault="001D64D9" w:rsidP="001D64D9">
            <w:pPr>
              <w:keepNext/>
              <w:spacing w:after="0"/>
              <w:jc w:val="right"/>
              <w:rPr>
                <w:rFonts w:cs="Arial"/>
                <w:color w:val="000000"/>
                <w:szCs w:val="20"/>
              </w:rPr>
            </w:pPr>
            <w:r w:rsidRPr="004A5553">
              <w:t>6,526,221</w:t>
            </w:r>
          </w:p>
        </w:tc>
      </w:tr>
      <w:tr w:rsidR="001D64D9" w:rsidRPr="00B4771B" w14:paraId="1E299B3A" w14:textId="77777777" w:rsidTr="00410995">
        <w:trPr>
          <w:trHeight w:val="288"/>
        </w:trPr>
        <w:tc>
          <w:tcPr>
            <w:tcW w:w="2024" w:type="pct"/>
            <w:vAlign w:val="center"/>
          </w:tcPr>
          <w:p w14:paraId="7AADA261" w14:textId="77777777" w:rsidR="001D64D9" w:rsidRPr="00F45CD9" w:rsidRDefault="001D64D9" w:rsidP="001D64D9">
            <w:pPr>
              <w:keepNext/>
              <w:spacing w:after="0"/>
              <w:rPr>
                <w:rFonts w:cs="Arial"/>
                <w:szCs w:val="20"/>
              </w:rPr>
            </w:pPr>
            <w:r w:rsidRPr="00F45CD9">
              <w:rPr>
                <w:rFonts w:cs="Arial"/>
                <w:szCs w:val="20"/>
              </w:rPr>
              <w:t>Industry monitoring and NBN</w:t>
            </w:r>
          </w:p>
        </w:tc>
        <w:tc>
          <w:tcPr>
            <w:tcW w:w="992" w:type="pct"/>
            <w:shd w:val="clear" w:color="auto" w:fill="auto"/>
          </w:tcPr>
          <w:p w14:paraId="723B5FEB" w14:textId="77777777" w:rsidR="001D64D9" w:rsidRDefault="001D64D9" w:rsidP="001D64D9">
            <w:pPr>
              <w:keepNext/>
              <w:spacing w:after="0"/>
              <w:jc w:val="right"/>
              <w:rPr>
                <w:rFonts w:cs="Arial"/>
                <w:color w:val="000000"/>
                <w:szCs w:val="20"/>
              </w:rPr>
            </w:pPr>
            <w:r w:rsidRPr="004A5553">
              <w:t>523,096</w:t>
            </w:r>
          </w:p>
        </w:tc>
        <w:tc>
          <w:tcPr>
            <w:tcW w:w="992" w:type="pct"/>
            <w:shd w:val="clear" w:color="auto" w:fill="auto"/>
          </w:tcPr>
          <w:p w14:paraId="6ADB9DCC" w14:textId="77777777" w:rsidR="001D64D9" w:rsidRDefault="001D64D9" w:rsidP="001D64D9">
            <w:pPr>
              <w:keepNext/>
              <w:spacing w:after="0"/>
              <w:jc w:val="right"/>
              <w:rPr>
                <w:rFonts w:cs="Arial"/>
                <w:color w:val="000000"/>
                <w:szCs w:val="20"/>
              </w:rPr>
            </w:pPr>
            <w:r w:rsidRPr="004A5553">
              <w:t>644,841</w:t>
            </w:r>
          </w:p>
        </w:tc>
        <w:tc>
          <w:tcPr>
            <w:tcW w:w="992" w:type="pct"/>
            <w:shd w:val="clear" w:color="auto" w:fill="auto"/>
          </w:tcPr>
          <w:p w14:paraId="06419CD0" w14:textId="77777777" w:rsidR="001D64D9" w:rsidRDefault="001D64D9" w:rsidP="001D64D9">
            <w:pPr>
              <w:keepNext/>
              <w:spacing w:after="0"/>
              <w:jc w:val="right"/>
              <w:rPr>
                <w:rFonts w:cs="Arial"/>
                <w:color w:val="000000"/>
                <w:szCs w:val="20"/>
              </w:rPr>
            </w:pPr>
            <w:r w:rsidRPr="004A5553">
              <w:t>1,167,937</w:t>
            </w:r>
          </w:p>
        </w:tc>
      </w:tr>
      <w:tr w:rsidR="001D64D9" w:rsidRPr="00B4771B" w14:paraId="6D01790D" w14:textId="77777777" w:rsidTr="00410995">
        <w:trPr>
          <w:trHeight w:val="294"/>
        </w:trPr>
        <w:tc>
          <w:tcPr>
            <w:tcW w:w="2024" w:type="pct"/>
            <w:vAlign w:val="center"/>
          </w:tcPr>
          <w:p w14:paraId="3D34B45F" w14:textId="77777777" w:rsidR="001D64D9" w:rsidRPr="00F45CD9" w:rsidRDefault="001D64D9" w:rsidP="001D64D9">
            <w:pPr>
              <w:keepNext/>
              <w:spacing w:after="0"/>
              <w:rPr>
                <w:rFonts w:cs="Arial"/>
                <w:szCs w:val="20"/>
              </w:rPr>
            </w:pPr>
            <w:r w:rsidRPr="00F45CD9">
              <w:rPr>
                <w:rFonts w:cs="Arial"/>
                <w:szCs w:val="20"/>
              </w:rPr>
              <w:t>Compliance</w:t>
            </w:r>
            <w:r>
              <w:rPr>
                <w:rFonts w:cs="Arial"/>
                <w:szCs w:val="20"/>
              </w:rPr>
              <w:t xml:space="preserve"> and</w:t>
            </w:r>
            <w:r w:rsidRPr="00F45CD9">
              <w:rPr>
                <w:rFonts w:cs="Arial"/>
                <w:szCs w:val="20"/>
              </w:rPr>
              <w:t xml:space="preserve"> </w:t>
            </w:r>
            <w:r>
              <w:rPr>
                <w:rFonts w:cs="Arial"/>
                <w:szCs w:val="20"/>
              </w:rPr>
              <w:t>enforcement</w:t>
            </w:r>
          </w:p>
        </w:tc>
        <w:tc>
          <w:tcPr>
            <w:tcW w:w="992" w:type="pct"/>
            <w:shd w:val="clear" w:color="auto" w:fill="auto"/>
          </w:tcPr>
          <w:p w14:paraId="29F8721C" w14:textId="77777777" w:rsidR="001D64D9" w:rsidRDefault="001D64D9" w:rsidP="001D64D9">
            <w:pPr>
              <w:keepNext/>
              <w:spacing w:after="0"/>
              <w:jc w:val="right"/>
              <w:rPr>
                <w:rFonts w:cs="Arial"/>
                <w:color w:val="000000"/>
                <w:szCs w:val="20"/>
              </w:rPr>
            </w:pPr>
            <w:r w:rsidRPr="004A5553">
              <w:t>2,006,832</w:t>
            </w:r>
          </w:p>
        </w:tc>
        <w:tc>
          <w:tcPr>
            <w:tcW w:w="992" w:type="pct"/>
            <w:shd w:val="clear" w:color="auto" w:fill="auto"/>
          </w:tcPr>
          <w:p w14:paraId="3B3E6E98" w14:textId="77777777" w:rsidR="001D64D9" w:rsidRDefault="001D64D9" w:rsidP="001D64D9">
            <w:pPr>
              <w:keepNext/>
              <w:spacing w:after="0"/>
              <w:jc w:val="right"/>
              <w:rPr>
                <w:rFonts w:cs="Arial"/>
                <w:color w:val="000000"/>
                <w:szCs w:val="20"/>
              </w:rPr>
            </w:pPr>
            <w:r w:rsidRPr="004A5553">
              <w:t>3,004,465</w:t>
            </w:r>
          </w:p>
        </w:tc>
        <w:tc>
          <w:tcPr>
            <w:tcW w:w="992" w:type="pct"/>
            <w:shd w:val="clear" w:color="auto" w:fill="auto"/>
          </w:tcPr>
          <w:p w14:paraId="65258F90" w14:textId="77777777" w:rsidR="001D64D9" w:rsidRDefault="001D64D9" w:rsidP="001D64D9">
            <w:pPr>
              <w:keepNext/>
              <w:spacing w:after="0"/>
              <w:jc w:val="right"/>
              <w:rPr>
                <w:rFonts w:cs="Arial"/>
                <w:color w:val="000000"/>
                <w:szCs w:val="20"/>
              </w:rPr>
            </w:pPr>
            <w:r w:rsidRPr="004A5553">
              <w:t>5,011,297</w:t>
            </w:r>
          </w:p>
        </w:tc>
      </w:tr>
      <w:tr w:rsidR="001D64D9" w:rsidRPr="00B4771B" w14:paraId="637DA35B" w14:textId="77777777" w:rsidTr="00410995">
        <w:trPr>
          <w:trHeight w:val="157"/>
        </w:trPr>
        <w:tc>
          <w:tcPr>
            <w:tcW w:w="2024" w:type="pct"/>
            <w:vAlign w:val="center"/>
          </w:tcPr>
          <w:p w14:paraId="6C8DDD95" w14:textId="77777777" w:rsidR="001D64D9" w:rsidRPr="00F45CD9" w:rsidRDefault="001D64D9" w:rsidP="001D64D9">
            <w:pPr>
              <w:keepNext/>
              <w:spacing w:after="0"/>
              <w:rPr>
                <w:rFonts w:cs="Arial"/>
                <w:szCs w:val="20"/>
              </w:rPr>
            </w:pPr>
            <w:r w:rsidRPr="00F45CD9">
              <w:rPr>
                <w:rFonts w:cs="Arial"/>
                <w:szCs w:val="20"/>
              </w:rPr>
              <w:t xml:space="preserve">Licensing and </w:t>
            </w:r>
            <w:r w:rsidR="004B2779">
              <w:rPr>
                <w:rFonts w:cs="Arial"/>
                <w:szCs w:val="20"/>
              </w:rPr>
              <w:t xml:space="preserve">number </w:t>
            </w:r>
            <w:r w:rsidRPr="00F45CD9">
              <w:rPr>
                <w:rFonts w:cs="Arial"/>
                <w:szCs w:val="20"/>
              </w:rPr>
              <w:t>allocation</w:t>
            </w:r>
          </w:p>
        </w:tc>
        <w:tc>
          <w:tcPr>
            <w:tcW w:w="992" w:type="pct"/>
            <w:shd w:val="clear" w:color="auto" w:fill="auto"/>
          </w:tcPr>
          <w:p w14:paraId="197A92B2" w14:textId="77777777" w:rsidR="001D64D9" w:rsidRDefault="001D64D9" w:rsidP="001D64D9">
            <w:pPr>
              <w:keepNext/>
              <w:spacing w:after="0"/>
              <w:jc w:val="right"/>
              <w:rPr>
                <w:rFonts w:cs="Arial"/>
                <w:color w:val="000000"/>
                <w:szCs w:val="20"/>
              </w:rPr>
            </w:pPr>
            <w:r w:rsidRPr="004A5553">
              <w:t>504,429</w:t>
            </w:r>
          </w:p>
        </w:tc>
        <w:tc>
          <w:tcPr>
            <w:tcW w:w="992" w:type="pct"/>
            <w:shd w:val="clear" w:color="auto" w:fill="auto"/>
          </w:tcPr>
          <w:p w14:paraId="0E5A69FE" w14:textId="77777777" w:rsidR="001D64D9" w:rsidRDefault="001D64D9" w:rsidP="001D64D9">
            <w:pPr>
              <w:keepNext/>
              <w:spacing w:after="0"/>
              <w:jc w:val="right"/>
              <w:rPr>
                <w:rFonts w:cs="Arial"/>
                <w:color w:val="000000"/>
                <w:szCs w:val="20"/>
              </w:rPr>
            </w:pPr>
            <w:r w:rsidRPr="004A5553">
              <w:t>763,996</w:t>
            </w:r>
          </w:p>
        </w:tc>
        <w:tc>
          <w:tcPr>
            <w:tcW w:w="992" w:type="pct"/>
            <w:shd w:val="clear" w:color="auto" w:fill="auto"/>
          </w:tcPr>
          <w:p w14:paraId="3DA0F902" w14:textId="77777777" w:rsidR="001D64D9" w:rsidRDefault="001D64D9" w:rsidP="001D64D9">
            <w:pPr>
              <w:keepNext/>
              <w:spacing w:after="0"/>
              <w:jc w:val="right"/>
              <w:rPr>
                <w:rFonts w:cs="Arial"/>
                <w:color w:val="000000"/>
                <w:szCs w:val="20"/>
              </w:rPr>
            </w:pPr>
            <w:r w:rsidRPr="004A5553">
              <w:t>1,268,425</w:t>
            </w:r>
          </w:p>
        </w:tc>
      </w:tr>
      <w:tr w:rsidR="001D64D9" w:rsidRPr="00B4771B" w14:paraId="2DFCA484" w14:textId="77777777" w:rsidTr="00410995">
        <w:trPr>
          <w:trHeight w:val="219"/>
        </w:trPr>
        <w:tc>
          <w:tcPr>
            <w:tcW w:w="2024" w:type="pct"/>
            <w:vAlign w:val="center"/>
          </w:tcPr>
          <w:p w14:paraId="65F0CDE5" w14:textId="77777777" w:rsidR="001D64D9" w:rsidRPr="00F45CD9" w:rsidRDefault="001D64D9" w:rsidP="001D64D9">
            <w:pPr>
              <w:keepNext/>
              <w:spacing w:after="0"/>
              <w:rPr>
                <w:rFonts w:cs="Arial"/>
                <w:szCs w:val="20"/>
              </w:rPr>
            </w:pPr>
            <w:r w:rsidRPr="00F45CD9">
              <w:rPr>
                <w:rFonts w:cs="Arial"/>
                <w:szCs w:val="20"/>
              </w:rPr>
              <w:t xml:space="preserve">Other </w:t>
            </w:r>
            <w:r>
              <w:rPr>
                <w:rFonts w:cs="Arial"/>
                <w:szCs w:val="20"/>
              </w:rPr>
              <w:t>outputs</w:t>
            </w:r>
          </w:p>
        </w:tc>
        <w:tc>
          <w:tcPr>
            <w:tcW w:w="992" w:type="pct"/>
            <w:shd w:val="clear" w:color="auto" w:fill="auto"/>
          </w:tcPr>
          <w:p w14:paraId="6217C359" w14:textId="77777777" w:rsidR="001D64D9" w:rsidRDefault="001D64D9" w:rsidP="001D64D9">
            <w:pPr>
              <w:keepNext/>
              <w:spacing w:after="0"/>
              <w:jc w:val="right"/>
              <w:rPr>
                <w:rFonts w:cs="Arial"/>
                <w:color w:val="000000"/>
                <w:szCs w:val="20"/>
              </w:rPr>
            </w:pPr>
            <w:r w:rsidRPr="004A5553">
              <w:t>58,086</w:t>
            </w:r>
          </w:p>
        </w:tc>
        <w:tc>
          <w:tcPr>
            <w:tcW w:w="992" w:type="pct"/>
            <w:shd w:val="clear" w:color="auto" w:fill="auto"/>
          </w:tcPr>
          <w:p w14:paraId="44AE2285" w14:textId="77777777" w:rsidR="001D64D9" w:rsidRDefault="001D64D9" w:rsidP="001D64D9">
            <w:pPr>
              <w:keepNext/>
              <w:spacing w:after="0"/>
              <w:jc w:val="right"/>
              <w:rPr>
                <w:rFonts w:cs="Arial"/>
                <w:color w:val="000000"/>
                <w:szCs w:val="20"/>
              </w:rPr>
            </w:pPr>
            <w:r w:rsidRPr="004A5553">
              <w:t>272,053</w:t>
            </w:r>
          </w:p>
        </w:tc>
        <w:tc>
          <w:tcPr>
            <w:tcW w:w="992" w:type="pct"/>
            <w:shd w:val="clear" w:color="auto" w:fill="auto"/>
          </w:tcPr>
          <w:p w14:paraId="676F2573" w14:textId="77777777" w:rsidR="001D64D9" w:rsidRDefault="001D64D9" w:rsidP="001D64D9">
            <w:pPr>
              <w:keepNext/>
              <w:spacing w:after="0"/>
              <w:jc w:val="right"/>
              <w:rPr>
                <w:rFonts w:cs="Arial"/>
                <w:color w:val="000000"/>
                <w:szCs w:val="20"/>
              </w:rPr>
            </w:pPr>
            <w:r w:rsidRPr="004A5553">
              <w:t>330,139</w:t>
            </w:r>
          </w:p>
        </w:tc>
      </w:tr>
      <w:tr w:rsidR="003D3730" w:rsidRPr="00B4771B" w14:paraId="57C6E4F2" w14:textId="77777777" w:rsidTr="00410995">
        <w:trPr>
          <w:trHeight w:val="21"/>
        </w:trPr>
        <w:tc>
          <w:tcPr>
            <w:tcW w:w="2024" w:type="pct"/>
            <w:shd w:val="clear" w:color="auto" w:fill="D9D9D9" w:themeFill="background1" w:themeFillShade="D9"/>
            <w:vAlign w:val="center"/>
          </w:tcPr>
          <w:p w14:paraId="50401978" w14:textId="77777777" w:rsidR="003D3730" w:rsidRPr="00F45CD9" w:rsidRDefault="003D3730" w:rsidP="003D3730">
            <w:pPr>
              <w:keepNext/>
              <w:spacing w:after="0"/>
              <w:rPr>
                <w:rFonts w:cs="Arial"/>
                <w:b/>
                <w:iCs/>
                <w:color w:val="000000" w:themeColor="text1"/>
                <w:szCs w:val="20"/>
              </w:rPr>
            </w:pPr>
            <w:r w:rsidRPr="00F45CD9">
              <w:rPr>
                <w:rFonts w:cs="Arial"/>
                <w:b/>
                <w:iCs/>
                <w:color w:val="000000" w:themeColor="text1"/>
                <w:szCs w:val="20"/>
              </w:rPr>
              <w:t>Total costs</w:t>
            </w:r>
          </w:p>
        </w:tc>
        <w:tc>
          <w:tcPr>
            <w:tcW w:w="992" w:type="pct"/>
            <w:shd w:val="clear" w:color="000000" w:fill="D9D9D9"/>
          </w:tcPr>
          <w:p w14:paraId="461DEF4E" w14:textId="77777777" w:rsidR="003D3730" w:rsidRDefault="003D3730" w:rsidP="003D3730">
            <w:pPr>
              <w:keepNext/>
              <w:spacing w:after="0"/>
              <w:jc w:val="right"/>
              <w:rPr>
                <w:rFonts w:cs="Arial"/>
                <w:b/>
                <w:bCs/>
                <w:color w:val="000000"/>
                <w:szCs w:val="20"/>
              </w:rPr>
            </w:pPr>
            <w:r>
              <w:t>6,117,940</w:t>
            </w:r>
          </w:p>
        </w:tc>
        <w:tc>
          <w:tcPr>
            <w:tcW w:w="992" w:type="pct"/>
            <w:shd w:val="clear" w:color="000000" w:fill="D9D9D9"/>
          </w:tcPr>
          <w:p w14:paraId="05724D98" w14:textId="77777777" w:rsidR="003D3730" w:rsidRDefault="003D3730" w:rsidP="003D3730">
            <w:pPr>
              <w:keepNext/>
              <w:spacing w:after="0"/>
              <w:jc w:val="right"/>
              <w:rPr>
                <w:rFonts w:cs="Arial"/>
                <w:b/>
                <w:bCs/>
                <w:color w:val="000000"/>
                <w:szCs w:val="20"/>
              </w:rPr>
            </w:pPr>
            <w:r>
              <w:t>8,186,079</w:t>
            </w:r>
          </w:p>
        </w:tc>
        <w:tc>
          <w:tcPr>
            <w:tcW w:w="992" w:type="pct"/>
            <w:shd w:val="clear" w:color="000000" w:fill="D9D9D9"/>
          </w:tcPr>
          <w:p w14:paraId="0D1773EC" w14:textId="77777777" w:rsidR="003D3730" w:rsidRDefault="003D3730" w:rsidP="003D3730">
            <w:pPr>
              <w:keepNext/>
              <w:spacing w:after="0"/>
              <w:jc w:val="right"/>
              <w:rPr>
                <w:rFonts w:cs="Arial"/>
                <w:b/>
                <w:bCs/>
                <w:color w:val="000000"/>
                <w:szCs w:val="20"/>
              </w:rPr>
            </w:pPr>
            <w:r>
              <w:t>14,304,019</w:t>
            </w:r>
          </w:p>
        </w:tc>
      </w:tr>
    </w:tbl>
    <w:p w14:paraId="044A0B4F" w14:textId="77777777" w:rsidR="00E87055" w:rsidRDefault="00E87055" w:rsidP="00B64534">
      <w:pPr>
        <w:pStyle w:val="ACMASpaceaftertable"/>
      </w:pPr>
    </w:p>
    <w:p w14:paraId="27A07EB0" w14:textId="4F2B0063" w:rsidR="009E783D" w:rsidRPr="005D0BC8" w:rsidRDefault="00961A56" w:rsidP="003F7E3A">
      <w:pPr>
        <w:spacing w:before="240"/>
      </w:pPr>
      <w:r>
        <w:t>Direct costs are those</w:t>
      </w:r>
      <w:r w:rsidR="009E783D" w:rsidRPr="00A84CBD">
        <w:t xml:space="preserve"> costs </w:t>
      </w:r>
      <w:r w:rsidR="00386FB7">
        <w:t xml:space="preserve">that are </w:t>
      </w:r>
      <w:r w:rsidR="009E783D" w:rsidRPr="00A84CBD">
        <w:t xml:space="preserve">directly </w:t>
      </w:r>
      <w:r w:rsidR="00386FB7">
        <w:t xml:space="preserve">attributed to outputs and activities performed </w:t>
      </w:r>
      <w:r w:rsidR="009E783D" w:rsidRPr="00A84CBD">
        <w:t xml:space="preserve">by the relevant </w:t>
      </w:r>
      <w:r w:rsidR="009E783D">
        <w:t>operational</w:t>
      </w:r>
      <w:r w:rsidR="009E783D" w:rsidRPr="00A84CBD">
        <w:t xml:space="preserve"> areas</w:t>
      </w:r>
      <w:r w:rsidR="009E783D" w:rsidRPr="000E0EFD">
        <w:rPr>
          <w:rStyle w:val="FootnoteReference"/>
          <w:rFonts w:cs="Arial"/>
          <w:szCs w:val="20"/>
        </w:rPr>
        <w:footnoteReference w:id="12"/>
      </w:r>
      <w:r w:rsidR="00386FB7">
        <w:t xml:space="preserve"> </w:t>
      </w:r>
      <w:r w:rsidR="00CF110C">
        <w:t xml:space="preserve">that </w:t>
      </w:r>
      <w:r w:rsidR="003E5D58">
        <w:t>are directly involved in service provision</w:t>
      </w:r>
      <w:r w:rsidR="00386FB7">
        <w:t xml:space="preserve">. </w:t>
      </w:r>
      <w:r w:rsidRPr="00961A56">
        <w:t>Direct costs include direct staff salaries and other expenses (for example, contractors, consultants, suppliers, office consumables, travel) in relation to the operational areas carrying out telecommunications activities.</w:t>
      </w:r>
      <w:r>
        <w:t xml:space="preserve"> </w:t>
      </w:r>
      <w:r w:rsidR="009E783D" w:rsidRPr="00A84CBD">
        <w:t>The</w:t>
      </w:r>
      <w:r>
        <w:t>se</w:t>
      </w:r>
      <w:r w:rsidR="003E5D58">
        <w:t xml:space="preserve"> direct</w:t>
      </w:r>
      <w:r w:rsidR="009E783D" w:rsidRPr="00A84CBD">
        <w:t xml:space="preserve"> costs are attributed to their activities bas</w:t>
      </w:r>
      <w:r w:rsidR="00E87055">
        <w:t>ed on</w:t>
      </w:r>
      <w:r w:rsidR="009E783D" w:rsidRPr="00A84CBD">
        <w:t xml:space="preserve"> information provided via the agency</w:t>
      </w:r>
      <w:r w:rsidR="00A37EF7">
        <w:t>-</w:t>
      </w:r>
      <w:r w:rsidR="009E783D" w:rsidRPr="00A84CBD">
        <w:t>wide survey</w:t>
      </w:r>
      <w:r w:rsidR="00E87055">
        <w:t>,</w:t>
      </w:r>
      <w:r w:rsidR="009E783D" w:rsidRPr="00A84CBD">
        <w:t xml:space="preserve"> which reflects the consumption of resources relevant to telecommunications functions and powers. </w:t>
      </w:r>
    </w:p>
    <w:p w14:paraId="5328E720" w14:textId="3FBAA2FE" w:rsidR="00F62678" w:rsidRDefault="004A3214" w:rsidP="003F7E3A">
      <w:r>
        <w:t>S</w:t>
      </w:r>
      <w:r w:rsidR="009E783D" w:rsidRPr="008E0DB6">
        <w:t xml:space="preserve">upport costs are </w:t>
      </w:r>
      <w:r w:rsidR="00E87055" w:rsidRPr="008E0DB6">
        <w:t>those</w:t>
      </w:r>
      <w:r w:rsidR="009E783D" w:rsidRPr="008E0DB6">
        <w:t xml:space="preserve"> </w:t>
      </w:r>
      <w:r w:rsidR="00961A56" w:rsidRPr="008E0DB6">
        <w:t xml:space="preserve">costs not directly attributed to any particular output or activity. The support costs relate </w:t>
      </w:r>
      <w:r w:rsidR="00D14215" w:rsidRPr="008E0DB6">
        <w:t xml:space="preserve">to </w:t>
      </w:r>
      <w:r w:rsidR="00961A56" w:rsidRPr="008E0DB6">
        <w:t xml:space="preserve">the cost of services provided by </w:t>
      </w:r>
      <w:r w:rsidR="000202B6" w:rsidRPr="008E0DB6">
        <w:t>corporate services</w:t>
      </w:r>
      <w:r w:rsidR="00CF110C">
        <w:t>,</w:t>
      </w:r>
      <w:r w:rsidR="000202B6" w:rsidRPr="008E0DB6">
        <w:t xml:space="preserve"> which include </w:t>
      </w:r>
      <w:r w:rsidR="009E783D" w:rsidRPr="008E0DB6">
        <w:t>information technology (IT), finance, human resources, facilities, legal</w:t>
      </w:r>
      <w:r w:rsidR="007A7B4C" w:rsidRPr="008E0DB6">
        <w:t>, Authority</w:t>
      </w:r>
      <w:r w:rsidR="009E783D" w:rsidRPr="008E0DB6">
        <w:t xml:space="preserve"> and other corporate services. </w:t>
      </w:r>
      <w:r w:rsidR="00367A15" w:rsidRPr="008E0DB6">
        <w:t>The support costs not only include indirect costs (overheads) such as depreciation</w:t>
      </w:r>
      <w:r w:rsidR="00CF110C">
        <w:t xml:space="preserve"> and</w:t>
      </w:r>
      <w:r w:rsidR="00CF110C" w:rsidRPr="008E0DB6">
        <w:t xml:space="preserve"> </w:t>
      </w:r>
      <w:r w:rsidR="00130B63" w:rsidRPr="008E0DB6">
        <w:t>occupancy e</w:t>
      </w:r>
      <w:r w:rsidR="00367A15" w:rsidRPr="008E0DB6">
        <w:t>xpenses</w:t>
      </w:r>
      <w:r w:rsidR="00CF110C">
        <w:t>,</w:t>
      </w:r>
      <w:r w:rsidR="00367A15" w:rsidRPr="008E0DB6">
        <w:t xml:space="preserve"> </w:t>
      </w:r>
      <w:r w:rsidR="008E0DB6" w:rsidRPr="008E0DB6">
        <w:t xml:space="preserve">but </w:t>
      </w:r>
      <w:r w:rsidR="00367A15" w:rsidRPr="008E0DB6">
        <w:t>also all support service</w:t>
      </w:r>
      <w:r w:rsidR="00130B63" w:rsidRPr="008E0DB6">
        <w:t xml:space="preserve"> area</w:t>
      </w:r>
      <w:r w:rsidR="00367A15" w:rsidRPr="008E0DB6">
        <w:t xml:space="preserve">s </w:t>
      </w:r>
      <w:r w:rsidR="008E0DB6" w:rsidRPr="008E0DB6">
        <w:t xml:space="preserve">such as </w:t>
      </w:r>
      <w:r w:rsidR="00367A15" w:rsidRPr="008E0DB6">
        <w:t>staff salaries, contractors, consultants, suppliers</w:t>
      </w:r>
      <w:r w:rsidR="00130B63" w:rsidRPr="008E0DB6">
        <w:t xml:space="preserve"> and other expenses. </w:t>
      </w:r>
      <w:r w:rsidR="00BA51A8" w:rsidRPr="00BA51A8">
        <w:t>Whereas direct costs do not include overhead costs as they form part of the support costs</w:t>
      </w:r>
      <w:r w:rsidR="00BA51A8">
        <w:t>.</w:t>
      </w:r>
      <w:r w:rsidR="00BA51A8" w:rsidRPr="00BA51A8">
        <w:t xml:space="preserve"> </w:t>
      </w:r>
      <w:r w:rsidR="00130B63" w:rsidRPr="008E0DB6">
        <w:t>As a result, the support costs are comparatively higher than the direct costs.</w:t>
      </w:r>
    </w:p>
    <w:p w14:paraId="63379183" w14:textId="7DFD12A3" w:rsidR="00130B63" w:rsidRDefault="00CD6E7B" w:rsidP="003F7E3A">
      <w:r>
        <w:t>As t</w:t>
      </w:r>
      <w:r w:rsidR="00130B63">
        <w:t>he support</w:t>
      </w:r>
      <w:r w:rsidR="009E783D" w:rsidRPr="00A84CBD">
        <w:t xml:space="preserve"> costs </w:t>
      </w:r>
      <w:r>
        <w:t>cannot be directly attributed to an output</w:t>
      </w:r>
      <w:r w:rsidR="00130B63">
        <w:t xml:space="preserve"> or activity</w:t>
      </w:r>
      <w:r>
        <w:t xml:space="preserve">, they </w:t>
      </w:r>
      <w:r w:rsidR="009E783D" w:rsidRPr="00A84CBD">
        <w:t>are allocated to activities</w:t>
      </w:r>
      <w:r w:rsidR="00130B63">
        <w:t xml:space="preserve"> performed by the direct cost centres </w:t>
      </w:r>
      <w:r w:rsidR="009E783D" w:rsidRPr="00A84CBD">
        <w:t xml:space="preserve">using </w:t>
      </w:r>
      <w:r w:rsidR="00BA51A8">
        <w:t xml:space="preserve">the most suitable </w:t>
      </w:r>
      <w:r w:rsidR="009E783D" w:rsidRPr="00A84CBD">
        <w:t>cost drivers</w:t>
      </w:r>
      <w:r w:rsidR="000202B6">
        <w:t xml:space="preserve"> </w:t>
      </w:r>
      <w:r w:rsidR="00BA51A8">
        <w:t>(</w:t>
      </w:r>
      <w:r w:rsidR="00CF110C">
        <w:t xml:space="preserve">shown </w:t>
      </w:r>
      <w:r w:rsidR="000202B6">
        <w:t>in Table 4</w:t>
      </w:r>
      <w:r w:rsidR="00BA51A8">
        <w:t>), which can be reliably measured</w:t>
      </w:r>
      <w:r w:rsidR="009E783D" w:rsidRPr="00A84CBD">
        <w:t xml:space="preserve">. </w:t>
      </w:r>
    </w:p>
    <w:p w14:paraId="4AFCE804" w14:textId="77777777" w:rsidR="005A105D" w:rsidRPr="006A56FD" w:rsidRDefault="00FA02BF" w:rsidP="00FA02BF">
      <w:pPr>
        <w:pStyle w:val="ACMATableHeader"/>
        <w:numPr>
          <w:ilvl w:val="0"/>
          <w:numId w:val="0"/>
        </w:numPr>
      </w:pPr>
      <w:r>
        <w:t>Table 4:</w:t>
      </w:r>
      <w:r>
        <w:tab/>
      </w:r>
      <w:r w:rsidR="005A105D" w:rsidRPr="006A56FD">
        <w:t>Allocation of AC</w:t>
      </w:r>
      <w:r w:rsidR="003051AC">
        <w:t>MA</w:t>
      </w:r>
      <w:r w:rsidR="005A105D" w:rsidRPr="006A56FD">
        <w:t>’s support costs</w:t>
      </w:r>
      <w:r w:rsidR="00E33CBA">
        <w:t xml:space="preserve"> (cost drivers)</w:t>
      </w:r>
    </w:p>
    <w:tbl>
      <w:tblPr>
        <w:tblStyle w:val="TableGrid"/>
        <w:tblW w:w="7980" w:type="dxa"/>
        <w:tblInd w:w="-5" w:type="dxa"/>
        <w:tblLayout w:type="fixed"/>
        <w:tblCellMar>
          <w:top w:w="57" w:type="dxa"/>
          <w:bottom w:w="57" w:type="dxa"/>
        </w:tblCellMar>
        <w:tblLook w:val="04A0" w:firstRow="1" w:lastRow="0" w:firstColumn="1" w:lastColumn="0" w:noHBand="0" w:noVBand="1"/>
        <w:tblCaption w:val="Allocation of ACCC’s support costs"/>
        <w:tblDescription w:val="Includes categories, cost drivers and allocation methods."/>
      </w:tblPr>
      <w:tblGrid>
        <w:gridCol w:w="3119"/>
        <w:gridCol w:w="4861"/>
      </w:tblGrid>
      <w:tr w:rsidR="005A105D" w:rsidRPr="009A2EB4" w14:paraId="086F3518" w14:textId="77777777" w:rsidTr="0031688A">
        <w:trPr>
          <w:tblHeader/>
        </w:trPr>
        <w:tc>
          <w:tcPr>
            <w:tcW w:w="3119" w:type="dxa"/>
            <w:shd w:val="clear" w:color="auto" w:fill="404040" w:themeFill="text1" w:themeFillTint="BF"/>
          </w:tcPr>
          <w:p w14:paraId="635DBFDC" w14:textId="77777777" w:rsidR="005A105D" w:rsidRPr="00451B25" w:rsidRDefault="005A105D" w:rsidP="00F31CCF">
            <w:pPr>
              <w:pStyle w:val="TableHeading"/>
              <w:rPr>
                <w:rFonts w:eastAsia="SimSun"/>
                <w:b w:val="0"/>
                <w:color w:val="FFFFFF" w:themeColor="background1"/>
                <w:lang w:eastAsia="en-US"/>
              </w:rPr>
            </w:pPr>
            <w:r w:rsidRPr="00451B25">
              <w:rPr>
                <w:rFonts w:eastAsia="SimSun"/>
                <w:color w:val="FFFFFF" w:themeColor="background1"/>
                <w:lang w:eastAsia="en-US"/>
              </w:rPr>
              <w:t>Category</w:t>
            </w:r>
          </w:p>
        </w:tc>
        <w:tc>
          <w:tcPr>
            <w:tcW w:w="4861" w:type="dxa"/>
            <w:shd w:val="clear" w:color="auto" w:fill="404040" w:themeFill="text1" w:themeFillTint="BF"/>
          </w:tcPr>
          <w:p w14:paraId="1E965608" w14:textId="77777777" w:rsidR="005A105D" w:rsidRPr="00451B25" w:rsidRDefault="005A105D" w:rsidP="00F31CCF">
            <w:pPr>
              <w:pStyle w:val="TableHeading"/>
              <w:rPr>
                <w:rFonts w:eastAsia="SimSun"/>
                <w:color w:val="FFFFFF" w:themeColor="background1"/>
                <w:lang w:eastAsia="en-US"/>
              </w:rPr>
            </w:pPr>
            <w:r>
              <w:rPr>
                <w:rFonts w:eastAsia="SimSun"/>
                <w:color w:val="FFFFFF" w:themeColor="background1"/>
                <w:lang w:eastAsia="en-US"/>
              </w:rPr>
              <w:t>Cost driver</w:t>
            </w:r>
          </w:p>
        </w:tc>
      </w:tr>
      <w:tr w:rsidR="005A105D" w:rsidRPr="009A2EB4" w14:paraId="49055EBB" w14:textId="77777777" w:rsidTr="0031688A">
        <w:tc>
          <w:tcPr>
            <w:tcW w:w="3119" w:type="dxa"/>
            <w:vAlign w:val="center"/>
          </w:tcPr>
          <w:p w14:paraId="2D54986F" w14:textId="77777777" w:rsidR="005A105D" w:rsidRPr="009A2EB4" w:rsidRDefault="005A105D" w:rsidP="00F31CCF">
            <w:pPr>
              <w:spacing w:after="0"/>
              <w:rPr>
                <w:rFonts w:eastAsia="SimSun" w:cs="Arial"/>
                <w:szCs w:val="20"/>
                <w:lang w:eastAsia="en-US"/>
              </w:rPr>
            </w:pPr>
            <w:r>
              <w:rPr>
                <w:rFonts w:cs="Arial"/>
              </w:rPr>
              <w:t>Authority</w:t>
            </w:r>
          </w:p>
        </w:tc>
        <w:tc>
          <w:tcPr>
            <w:tcW w:w="4861" w:type="dxa"/>
          </w:tcPr>
          <w:p w14:paraId="2168B570" w14:textId="12DFEB17" w:rsidR="005A105D" w:rsidRDefault="0072457B" w:rsidP="00EF1602">
            <w:pPr>
              <w:spacing w:after="0"/>
              <w:rPr>
                <w:rFonts w:eastAsia="SimSun" w:cs="Arial"/>
                <w:szCs w:val="20"/>
                <w:lang w:eastAsia="en-US"/>
              </w:rPr>
            </w:pPr>
            <w:r>
              <w:rPr>
                <w:rFonts w:eastAsia="SimSun" w:cs="Arial"/>
                <w:szCs w:val="20"/>
                <w:lang w:eastAsia="en-US"/>
              </w:rPr>
              <w:t xml:space="preserve">Recipient cost centre </w:t>
            </w:r>
            <w:r w:rsidR="003D3730">
              <w:rPr>
                <w:rFonts w:eastAsia="SimSun" w:cs="Arial"/>
                <w:szCs w:val="20"/>
                <w:lang w:eastAsia="en-US"/>
              </w:rPr>
              <w:t>average staffing level (</w:t>
            </w:r>
            <w:r>
              <w:rPr>
                <w:rFonts w:eastAsia="SimSun" w:cs="Arial"/>
                <w:szCs w:val="20"/>
                <w:lang w:eastAsia="en-US"/>
              </w:rPr>
              <w:t>ASL</w:t>
            </w:r>
            <w:r w:rsidR="003D3730">
              <w:rPr>
                <w:rFonts w:eastAsia="SimSun" w:cs="Arial"/>
                <w:szCs w:val="20"/>
                <w:lang w:eastAsia="en-US"/>
              </w:rPr>
              <w:t>)</w:t>
            </w:r>
          </w:p>
        </w:tc>
      </w:tr>
      <w:tr w:rsidR="005A105D" w:rsidRPr="009A2EB4" w14:paraId="023A9857" w14:textId="77777777" w:rsidTr="0031688A">
        <w:tc>
          <w:tcPr>
            <w:tcW w:w="3119" w:type="dxa"/>
            <w:vAlign w:val="center"/>
          </w:tcPr>
          <w:p w14:paraId="6E100BFD" w14:textId="77777777" w:rsidR="005A105D" w:rsidRPr="009A2EB4" w:rsidRDefault="0072457B" w:rsidP="00F31CCF">
            <w:pPr>
              <w:spacing w:after="0"/>
              <w:rPr>
                <w:rFonts w:eastAsia="SimSun" w:cs="Arial"/>
                <w:szCs w:val="20"/>
                <w:lang w:eastAsia="en-US"/>
              </w:rPr>
            </w:pPr>
            <w:r>
              <w:rPr>
                <w:rFonts w:cs="Arial"/>
              </w:rPr>
              <w:t>People and finance</w:t>
            </w:r>
          </w:p>
        </w:tc>
        <w:tc>
          <w:tcPr>
            <w:tcW w:w="4861" w:type="dxa"/>
          </w:tcPr>
          <w:p w14:paraId="78A8E3DD" w14:textId="77777777" w:rsidR="005A105D" w:rsidRPr="009A2EB4" w:rsidRDefault="0072457B" w:rsidP="00F31CCF">
            <w:pPr>
              <w:spacing w:after="0"/>
              <w:rPr>
                <w:rFonts w:eastAsia="SimSun" w:cs="Arial"/>
                <w:szCs w:val="20"/>
                <w:lang w:eastAsia="en-US"/>
              </w:rPr>
            </w:pPr>
            <w:r w:rsidRPr="0072457B">
              <w:rPr>
                <w:rFonts w:eastAsia="SimSun" w:cs="Arial"/>
                <w:szCs w:val="20"/>
                <w:lang w:eastAsia="en-US"/>
              </w:rPr>
              <w:t>Recipient cost centre ASL</w:t>
            </w:r>
          </w:p>
        </w:tc>
      </w:tr>
      <w:tr w:rsidR="005A105D" w:rsidRPr="009A2EB4" w14:paraId="23BD37A4" w14:textId="77777777" w:rsidTr="0031688A">
        <w:tc>
          <w:tcPr>
            <w:tcW w:w="3119" w:type="dxa"/>
            <w:vAlign w:val="center"/>
          </w:tcPr>
          <w:p w14:paraId="1CF2E93F" w14:textId="77777777" w:rsidR="005A105D" w:rsidRPr="009A2EB4" w:rsidRDefault="003A4873" w:rsidP="00F31CCF">
            <w:pPr>
              <w:spacing w:after="0"/>
              <w:rPr>
                <w:rFonts w:eastAsia="SimSun" w:cs="Arial"/>
                <w:szCs w:val="20"/>
                <w:lang w:eastAsia="en-US"/>
              </w:rPr>
            </w:pPr>
            <w:r>
              <w:rPr>
                <w:rFonts w:cs="Arial"/>
              </w:rPr>
              <w:t>Media</w:t>
            </w:r>
          </w:p>
        </w:tc>
        <w:tc>
          <w:tcPr>
            <w:tcW w:w="4861" w:type="dxa"/>
          </w:tcPr>
          <w:p w14:paraId="2DEACCBD" w14:textId="77777777" w:rsidR="005A105D" w:rsidRPr="009A2EB4" w:rsidRDefault="003A4873" w:rsidP="00F31CCF">
            <w:pPr>
              <w:spacing w:after="0"/>
              <w:rPr>
                <w:rFonts w:eastAsia="SimSun" w:cs="Arial"/>
                <w:szCs w:val="20"/>
                <w:lang w:eastAsia="en-US"/>
              </w:rPr>
            </w:pPr>
            <w:r w:rsidRPr="003A4873">
              <w:rPr>
                <w:rFonts w:eastAsia="SimSun" w:cs="Arial"/>
                <w:szCs w:val="20"/>
                <w:lang w:eastAsia="en-US"/>
              </w:rPr>
              <w:t>Recipient cost centre ASL</w:t>
            </w:r>
          </w:p>
        </w:tc>
      </w:tr>
      <w:tr w:rsidR="005A105D" w:rsidRPr="009A2EB4" w14:paraId="44F1287A" w14:textId="77777777" w:rsidTr="0031688A">
        <w:tc>
          <w:tcPr>
            <w:tcW w:w="3119" w:type="dxa"/>
            <w:vAlign w:val="center"/>
          </w:tcPr>
          <w:p w14:paraId="2D0C6546" w14:textId="77777777" w:rsidR="005A105D" w:rsidRPr="009A2EB4" w:rsidRDefault="003A4873" w:rsidP="00F31CCF">
            <w:pPr>
              <w:spacing w:after="0"/>
              <w:rPr>
                <w:rFonts w:eastAsia="SimSun" w:cs="Arial"/>
                <w:szCs w:val="20"/>
                <w:lang w:eastAsia="en-US"/>
              </w:rPr>
            </w:pPr>
            <w:r>
              <w:rPr>
                <w:rFonts w:cs="Arial"/>
              </w:rPr>
              <w:t>Information and facilities</w:t>
            </w:r>
          </w:p>
        </w:tc>
        <w:tc>
          <w:tcPr>
            <w:tcW w:w="4861" w:type="dxa"/>
          </w:tcPr>
          <w:p w14:paraId="4F95E7F9" w14:textId="77777777" w:rsidR="005A105D" w:rsidRDefault="003A4873" w:rsidP="00F31CCF">
            <w:pPr>
              <w:spacing w:after="0"/>
              <w:rPr>
                <w:rFonts w:eastAsia="SimSun" w:cs="Arial"/>
                <w:szCs w:val="20"/>
                <w:lang w:eastAsia="en-US"/>
              </w:rPr>
            </w:pPr>
            <w:r>
              <w:rPr>
                <w:rFonts w:eastAsia="SimSun" w:cs="Arial"/>
                <w:szCs w:val="20"/>
                <w:lang w:eastAsia="en-US"/>
              </w:rPr>
              <w:t>Recipient cost centre ASL</w:t>
            </w:r>
          </w:p>
        </w:tc>
      </w:tr>
      <w:tr w:rsidR="005A105D" w:rsidRPr="009A2EB4" w14:paraId="717A3A11" w14:textId="77777777" w:rsidTr="0031688A">
        <w:tc>
          <w:tcPr>
            <w:tcW w:w="3119" w:type="dxa"/>
            <w:vAlign w:val="center"/>
          </w:tcPr>
          <w:p w14:paraId="72AAB52C" w14:textId="77777777" w:rsidR="005A105D" w:rsidRPr="009A2EB4" w:rsidRDefault="005A105D" w:rsidP="00F31CCF">
            <w:pPr>
              <w:spacing w:after="0"/>
              <w:rPr>
                <w:rFonts w:eastAsia="SimSun" w:cs="Arial"/>
                <w:szCs w:val="20"/>
                <w:lang w:eastAsia="en-US"/>
              </w:rPr>
            </w:pPr>
            <w:r w:rsidRPr="009A2EB4">
              <w:rPr>
                <w:rFonts w:cs="Arial"/>
              </w:rPr>
              <w:t>Property</w:t>
            </w:r>
            <w:r w:rsidR="0072457B">
              <w:rPr>
                <w:rFonts w:cs="Arial"/>
              </w:rPr>
              <w:t xml:space="preserve"> operating expenses</w:t>
            </w:r>
          </w:p>
        </w:tc>
        <w:tc>
          <w:tcPr>
            <w:tcW w:w="4861" w:type="dxa"/>
          </w:tcPr>
          <w:p w14:paraId="19F5458F" w14:textId="77777777" w:rsidR="005A105D" w:rsidRPr="009A2EB4" w:rsidRDefault="0072457B" w:rsidP="0072457B">
            <w:pPr>
              <w:spacing w:after="0"/>
              <w:rPr>
                <w:rFonts w:eastAsia="SimSun" w:cs="Arial"/>
                <w:szCs w:val="20"/>
                <w:lang w:eastAsia="en-US"/>
              </w:rPr>
            </w:pPr>
            <w:r>
              <w:rPr>
                <w:rFonts w:eastAsia="SimSun" w:cs="Arial"/>
                <w:szCs w:val="20"/>
                <w:lang w:eastAsia="en-US"/>
              </w:rPr>
              <w:t>Number of work stations</w:t>
            </w:r>
          </w:p>
        </w:tc>
      </w:tr>
      <w:tr w:rsidR="005A105D" w:rsidRPr="009A2EB4" w14:paraId="0134547E" w14:textId="77777777" w:rsidTr="0031688A">
        <w:tc>
          <w:tcPr>
            <w:tcW w:w="3119" w:type="dxa"/>
            <w:vAlign w:val="center"/>
          </w:tcPr>
          <w:p w14:paraId="79128413" w14:textId="77777777" w:rsidR="005A105D" w:rsidRPr="009A2EB4" w:rsidRDefault="005A105D" w:rsidP="00F31CCF">
            <w:pPr>
              <w:spacing w:after="0"/>
              <w:rPr>
                <w:rFonts w:eastAsia="SimSun" w:cs="Arial"/>
                <w:szCs w:val="20"/>
                <w:lang w:eastAsia="en-US"/>
              </w:rPr>
            </w:pPr>
            <w:r w:rsidRPr="009A2EB4">
              <w:rPr>
                <w:rFonts w:cs="Arial"/>
              </w:rPr>
              <w:t>Asset usage</w:t>
            </w:r>
          </w:p>
        </w:tc>
        <w:tc>
          <w:tcPr>
            <w:tcW w:w="4861" w:type="dxa"/>
          </w:tcPr>
          <w:p w14:paraId="5661CE4D" w14:textId="77777777" w:rsidR="005A105D" w:rsidRPr="009A2EB4" w:rsidRDefault="003A4873" w:rsidP="00F31CCF">
            <w:pPr>
              <w:spacing w:after="0"/>
              <w:rPr>
                <w:rFonts w:eastAsia="SimSun" w:cs="Arial"/>
                <w:szCs w:val="20"/>
                <w:lang w:eastAsia="en-US"/>
              </w:rPr>
            </w:pPr>
            <w:r>
              <w:rPr>
                <w:rFonts w:eastAsia="SimSun" w:cs="Arial"/>
                <w:szCs w:val="20"/>
                <w:lang w:eastAsia="en-US"/>
              </w:rPr>
              <w:t>Percentage split based on asset usage</w:t>
            </w:r>
          </w:p>
        </w:tc>
      </w:tr>
      <w:tr w:rsidR="005A105D" w:rsidRPr="009A2EB4" w14:paraId="25EC7050" w14:textId="77777777" w:rsidTr="0031688A">
        <w:tc>
          <w:tcPr>
            <w:tcW w:w="3119" w:type="dxa"/>
            <w:vAlign w:val="center"/>
          </w:tcPr>
          <w:p w14:paraId="4F9A0432" w14:textId="77777777" w:rsidR="005A105D" w:rsidRPr="009A2EB4" w:rsidRDefault="005A105D" w:rsidP="00F31CCF">
            <w:pPr>
              <w:spacing w:after="0"/>
              <w:rPr>
                <w:rFonts w:cs="Arial"/>
              </w:rPr>
            </w:pPr>
            <w:r>
              <w:rPr>
                <w:rFonts w:cs="Arial"/>
              </w:rPr>
              <w:t>Legal</w:t>
            </w:r>
          </w:p>
        </w:tc>
        <w:tc>
          <w:tcPr>
            <w:tcW w:w="4861" w:type="dxa"/>
          </w:tcPr>
          <w:p w14:paraId="629FC243" w14:textId="77777777" w:rsidR="005A105D" w:rsidRDefault="0072457B" w:rsidP="00F31CCF">
            <w:pPr>
              <w:spacing w:after="0"/>
              <w:rPr>
                <w:rFonts w:eastAsia="SimSun" w:cs="Arial"/>
                <w:szCs w:val="20"/>
                <w:lang w:eastAsia="en-US"/>
              </w:rPr>
            </w:pPr>
            <w:r>
              <w:rPr>
                <w:rFonts w:eastAsia="SimSun" w:cs="Arial"/>
                <w:szCs w:val="20"/>
                <w:lang w:eastAsia="en-US"/>
              </w:rPr>
              <w:t>Percentage split based on resource usage</w:t>
            </w:r>
          </w:p>
        </w:tc>
      </w:tr>
    </w:tbl>
    <w:p w14:paraId="3378FFCA" w14:textId="77777777" w:rsidR="0031688A" w:rsidRDefault="0031688A" w:rsidP="003F7E3A"/>
    <w:p w14:paraId="06D48E89" w14:textId="39AE7820" w:rsidR="009E783D" w:rsidRDefault="0014060A" w:rsidP="003F7E3A">
      <w:r>
        <w:t>T</w:t>
      </w:r>
      <w:r w:rsidR="00CD6E7B" w:rsidRPr="00285099">
        <w:t xml:space="preserve">able </w:t>
      </w:r>
      <w:r w:rsidR="00FA02BF">
        <w:t>5</w:t>
      </w:r>
      <w:r w:rsidR="00CD6E7B" w:rsidRPr="00285099">
        <w:t xml:space="preserve"> outlines </w:t>
      </w:r>
      <w:r w:rsidR="000648BF" w:rsidRPr="00285099">
        <w:t xml:space="preserve">a </w:t>
      </w:r>
      <w:r w:rsidR="00A80792" w:rsidRPr="00285099">
        <w:t>breakdown</w:t>
      </w:r>
      <w:r w:rsidR="000648BF" w:rsidRPr="00285099">
        <w:t xml:space="preserve"> o</w:t>
      </w:r>
      <w:r w:rsidR="004D642B" w:rsidRPr="00285099">
        <w:t>f expenses</w:t>
      </w:r>
      <w:r w:rsidR="002F33E4" w:rsidRPr="00285099">
        <w:t xml:space="preserve"> for the ACMA’s component for the 201</w:t>
      </w:r>
      <w:r w:rsidR="00130B63">
        <w:t>6</w:t>
      </w:r>
      <w:r w:rsidR="00E87055">
        <w:t>–</w:t>
      </w:r>
      <w:r w:rsidR="002F33E4" w:rsidRPr="00285099">
        <w:t>1</w:t>
      </w:r>
      <w:r w:rsidR="00130B63">
        <w:t>7</w:t>
      </w:r>
      <w:r w:rsidR="002F33E4" w:rsidRPr="00285099">
        <w:t xml:space="preserve"> financial year</w:t>
      </w:r>
      <w:r w:rsidR="00F47C96" w:rsidRPr="00285099">
        <w:t xml:space="preserve"> </w:t>
      </w:r>
      <w:r w:rsidR="007E1651">
        <w:t>in</w:t>
      </w:r>
      <w:r w:rsidR="007E1651" w:rsidRPr="00285099">
        <w:t xml:space="preserve"> </w:t>
      </w:r>
      <w:r w:rsidR="00F47C96" w:rsidRPr="00285099">
        <w:t xml:space="preserve">comparison to the </w:t>
      </w:r>
      <w:r w:rsidR="00285099" w:rsidRPr="00285099">
        <w:t>previous</w:t>
      </w:r>
      <w:r w:rsidR="00851BD7" w:rsidRPr="00285099">
        <w:t xml:space="preserve"> year</w:t>
      </w:r>
      <w:r w:rsidR="00F47C96" w:rsidRPr="00285099">
        <w:t xml:space="preserve">. </w:t>
      </w:r>
      <w:r w:rsidR="004D642B" w:rsidRPr="00285099">
        <w:t xml:space="preserve">The </w:t>
      </w:r>
      <w:r w:rsidR="00F47C96" w:rsidRPr="00285099">
        <w:t>employee costs incl</w:t>
      </w:r>
      <w:r w:rsidR="00851BD7" w:rsidRPr="00285099">
        <w:t>ude salaries and staff on-costs and</w:t>
      </w:r>
      <w:r w:rsidR="00F47C96" w:rsidRPr="00285099">
        <w:t xml:space="preserve"> the operating costs essentially relate to </w:t>
      </w:r>
      <w:r w:rsidR="00851BD7" w:rsidRPr="00285099">
        <w:t>expenses incurred</w:t>
      </w:r>
      <w:r w:rsidR="0082468A">
        <w:t>,</w:t>
      </w:r>
      <w:r w:rsidR="00851BD7" w:rsidRPr="00285099">
        <w:t xml:space="preserve"> </w:t>
      </w:r>
      <w:r w:rsidR="00E87055">
        <w:t xml:space="preserve">including </w:t>
      </w:r>
      <w:r w:rsidR="00F47C96" w:rsidRPr="00285099">
        <w:t>contractors, consultants, travel, supplies</w:t>
      </w:r>
      <w:r w:rsidR="00A0328F">
        <w:t xml:space="preserve"> and</w:t>
      </w:r>
      <w:r w:rsidR="00F47C96" w:rsidRPr="00285099">
        <w:t xml:space="preserve"> occupancy</w:t>
      </w:r>
      <w:r w:rsidR="003751CA" w:rsidRPr="00285099">
        <w:t>. Depreciation and write-offs</w:t>
      </w:r>
      <w:r w:rsidR="00A75447" w:rsidRPr="00285099">
        <w:t xml:space="preserve"> of non-financial assets represent the </w:t>
      </w:r>
      <w:r w:rsidR="00851BD7" w:rsidRPr="00285099">
        <w:t>loss of service</w:t>
      </w:r>
      <w:r w:rsidR="00BC77EA" w:rsidRPr="00285099">
        <w:t xml:space="preserve"> potential </w:t>
      </w:r>
      <w:r w:rsidR="009A378C" w:rsidRPr="00285099">
        <w:t>of assets attributable to the tel</w:t>
      </w:r>
      <w:r w:rsidR="00A80792" w:rsidRPr="00285099">
        <w:t xml:space="preserve">ecommunications services </w:t>
      </w:r>
      <w:r w:rsidR="009609AC">
        <w:t>for</w:t>
      </w:r>
      <w:r w:rsidR="00E22916" w:rsidRPr="00285099">
        <w:t xml:space="preserve"> </w:t>
      </w:r>
      <w:r w:rsidR="00AB0869" w:rsidRPr="00285099">
        <w:t>the ACLC</w:t>
      </w:r>
      <w:r w:rsidR="003751CA" w:rsidRPr="00285099">
        <w:t>.</w:t>
      </w:r>
      <w:r w:rsidR="009A378C" w:rsidRPr="00285099">
        <w:t xml:space="preserve"> T</w:t>
      </w:r>
      <w:r w:rsidR="00A75447" w:rsidRPr="00285099">
        <w:t xml:space="preserve">hese costs are subsets of both the direct and indirect costs </w:t>
      </w:r>
      <w:r w:rsidR="009609AC">
        <w:t>shown</w:t>
      </w:r>
      <w:r w:rsidR="009609AC" w:rsidRPr="00285099">
        <w:t xml:space="preserve"> </w:t>
      </w:r>
      <w:r w:rsidR="00A75447" w:rsidRPr="00285099">
        <w:t xml:space="preserve">in Table 3. </w:t>
      </w:r>
    </w:p>
    <w:p w14:paraId="236CD3A5" w14:textId="77777777" w:rsidR="00CD6E7B" w:rsidRPr="006A56FD" w:rsidRDefault="00FA02BF" w:rsidP="00FA02BF">
      <w:pPr>
        <w:pStyle w:val="ACMATableHeader"/>
        <w:numPr>
          <w:ilvl w:val="0"/>
          <w:numId w:val="0"/>
        </w:numPr>
      </w:pPr>
      <w:r w:rsidRPr="001D64D9">
        <w:t>Table 5:</w:t>
      </w:r>
      <w:r w:rsidRPr="001D64D9">
        <w:tab/>
      </w:r>
      <w:r w:rsidR="00CD6E7B" w:rsidRPr="001D64D9">
        <w:t>The ACMA’s cost component</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57" w:type="dxa"/>
          <w:bottom w:w="57" w:type="dxa"/>
        </w:tblCellMar>
        <w:tblLook w:val="04A0" w:firstRow="1" w:lastRow="0" w:firstColumn="1" w:lastColumn="0" w:noHBand="0" w:noVBand="1"/>
        <w:tblCaption w:val="The ACMA’s cost component"/>
        <w:tblDescription w:val="Includes ACMA employee, operating and depreciation and write-off costs, less revenue received from activities on a fee-for-service basis.  "/>
      </w:tblPr>
      <w:tblGrid>
        <w:gridCol w:w="3111"/>
        <w:gridCol w:w="1701"/>
        <w:gridCol w:w="1701"/>
        <w:gridCol w:w="1142"/>
      </w:tblGrid>
      <w:tr w:rsidR="00CD6E7B" w:rsidRPr="004B029D" w14:paraId="6EE5661C" w14:textId="77777777" w:rsidTr="00E230DB">
        <w:trPr>
          <w:cantSplit/>
          <w:trHeight w:val="377"/>
          <w:tblHeader/>
        </w:trPr>
        <w:tc>
          <w:tcPr>
            <w:tcW w:w="2032" w:type="pct"/>
            <w:shd w:val="clear" w:color="auto" w:fill="404040" w:themeFill="text1" w:themeFillTint="BF"/>
            <w:vAlign w:val="center"/>
          </w:tcPr>
          <w:p w14:paraId="21002B6C" w14:textId="77777777" w:rsidR="00CD6E7B" w:rsidRPr="001A3BDB" w:rsidRDefault="00CD6E7B" w:rsidP="001A3BDB">
            <w:pPr>
              <w:pStyle w:val="TableHeading"/>
              <w:rPr>
                <w:b w:val="0"/>
                <w:color w:val="FFFFFF" w:themeColor="background1"/>
              </w:rPr>
            </w:pPr>
            <w:r w:rsidRPr="001A3BDB">
              <w:rPr>
                <w:color w:val="FFFFFF" w:themeColor="background1"/>
              </w:rPr>
              <w:t>Costs</w:t>
            </w:r>
          </w:p>
        </w:tc>
        <w:tc>
          <w:tcPr>
            <w:tcW w:w="1111" w:type="pct"/>
            <w:shd w:val="clear" w:color="auto" w:fill="404040" w:themeFill="text1" w:themeFillTint="BF"/>
            <w:vAlign w:val="center"/>
          </w:tcPr>
          <w:p w14:paraId="1E8E96D8" w14:textId="77777777" w:rsidR="00CD6E7B" w:rsidRPr="001A3BDB" w:rsidRDefault="00CD6E7B" w:rsidP="0031688A">
            <w:pPr>
              <w:pStyle w:val="TableHeading"/>
              <w:spacing w:after="80"/>
              <w:jc w:val="right"/>
              <w:rPr>
                <w:b w:val="0"/>
                <w:color w:val="FFFFFF" w:themeColor="background1"/>
              </w:rPr>
            </w:pPr>
            <w:r w:rsidRPr="001A3BDB">
              <w:rPr>
                <w:color w:val="FFFFFF" w:themeColor="background1"/>
              </w:rPr>
              <w:t>201</w:t>
            </w:r>
            <w:r w:rsidR="00130B63">
              <w:rPr>
                <w:color w:val="FFFFFF" w:themeColor="background1"/>
              </w:rPr>
              <w:t>7</w:t>
            </w:r>
            <w:r w:rsidRPr="001A3BDB">
              <w:rPr>
                <w:color w:val="FFFFFF" w:themeColor="background1"/>
              </w:rPr>
              <w:t>–1</w:t>
            </w:r>
            <w:r w:rsidR="00130B63">
              <w:rPr>
                <w:color w:val="FFFFFF" w:themeColor="background1"/>
              </w:rPr>
              <w:t>8</w:t>
            </w:r>
          </w:p>
          <w:p w14:paraId="5F3D9051" w14:textId="77777777" w:rsidR="00CD6E7B" w:rsidRPr="001A3BDB" w:rsidRDefault="0047093B" w:rsidP="001A3BDB">
            <w:pPr>
              <w:pStyle w:val="TableHeading"/>
              <w:jc w:val="right"/>
              <w:rPr>
                <w:b w:val="0"/>
                <w:color w:val="FFFFFF" w:themeColor="background1"/>
              </w:rPr>
            </w:pPr>
            <w:r>
              <w:rPr>
                <w:color w:val="FFFFFF" w:themeColor="background1"/>
              </w:rPr>
              <w:t>(b</w:t>
            </w:r>
            <w:r w:rsidR="00CD6E7B" w:rsidRPr="001A3BDB">
              <w:rPr>
                <w:color w:val="FFFFFF" w:themeColor="background1"/>
              </w:rPr>
              <w:t>ased on 201</w:t>
            </w:r>
            <w:r w:rsidR="00130B63">
              <w:rPr>
                <w:color w:val="FFFFFF" w:themeColor="background1"/>
              </w:rPr>
              <w:t>6</w:t>
            </w:r>
            <w:r w:rsidR="00CD6E7B" w:rsidRPr="001A3BDB">
              <w:rPr>
                <w:color w:val="FFFFFF" w:themeColor="background1"/>
              </w:rPr>
              <w:t>–1</w:t>
            </w:r>
            <w:r w:rsidR="00130B63">
              <w:rPr>
                <w:color w:val="FFFFFF" w:themeColor="background1"/>
              </w:rPr>
              <w:t>7</w:t>
            </w:r>
            <w:r w:rsidR="00CD6E7B" w:rsidRPr="001A3BDB">
              <w:rPr>
                <w:color w:val="FFFFFF" w:themeColor="background1"/>
              </w:rPr>
              <w:t xml:space="preserve"> costs</w:t>
            </w:r>
            <w:r>
              <w:rPr>
                <w:color w:val="FFFFFF" w:themeColor="background1"/>
              </w:rPr>
              <w:t>)</w:t>
            </w:r>
          </w:p>
        </w:tc>
        <w:tc>
          <w:tcPr>
            <w:tcW w:w="1111" w:type="pct"/>
            <w:shd w:val="clear" w:color="auto" w:fill="404040" w:themeFill="text1" w:themeFillTint="BF"/>
            <w:vAlign w:val="center"/>
          </w:tcPr>
          <w:p w14:paraId="57D667F0" w14:textId="77777777" w:rsidR="00CD6E7B" w:rsidRPr="001A3BDB" w:rsidRDefault="00CD6E7B" w:rsidP="0031688A">
            <w:pPr>
              <w:pStyle w:val="TableHeading"/>
              <w:spacing w:after="80"/>
              <w:jc w:val="right"/>
              <w:rPr>
                <w:b w:val="0"/>
                <w:color w:val="FFFFFF" w:themeColor="background1"/>
              </w:rPr>
            </w:pPr>
            <w:r w:rsidRPr="001A3BDB">
              <w:rPr>
                <w:color w:val="FFFFFF" w:themeColor="background1"/>
              </w:rPr>
              <w:t>201</w:t>
            </w:r>
            <w:r w:rsidR="00130B63">
              <w:rPr>
                <w:color w:val="FFFFFF" w:themeColor="background1"/>
              </w:rPr>
              <w:t>6</w:t>
            </w:r>
            <w:r w:rsidRPr="001A3BDB">
              <w:rPr>
                <w:color w:val="FFFFFF" w:themeColor="background1"/>
              </w:rPr>
              <w:t>–1</w:t>
            </w:r>
            <w:r w:rsidR="00130B63">
              <w:rPr>
                <w:color w:val="FFFFFF" w:themeColor="background1"/>
              </w:rPr>
              <w:t>7</w:t>
            </w:r>
          </w:p>
          <w:p w14:paraId="575E4D55" w14:textId="77777777" w:rsidR="00CD6E7B" w:rsidRPr="001A3BDB" w:rsidRDefault="0047093B" w:rsidP="001A3BDB">
            <w:pPr>
              <w:pStyle w:val="TableHeading"/>
              <w:jc w:val="right"/>
              <w:rPr>
                <w:b w:val="0"/>
                <w:color w:val="FFFFFF" w:themeColor="background1"/>
              </w:rPr>
            </w:pPr>
            <w:r>
              <w:rPr>
                <w:color w:val="FFFFFF" w:themeColor="background1"/>
              </w:rPr>
              <w:t>(b</w:t>
            </w:r>
            <w:r w:rsidR="00CD6E7B" w:rsidRPr="001A3BDB">
              <w:rPr>
                <w:color w:val="FFFFFF" w:themeColor="background1"/>
              </w:rPr>
              <w:t>ased on 201</w:t>
            </w:r>
            <w:r w:rsidR="00130B63">
              <w:rPr>
                <w:color w:val="FFFFFF" w:themeColor="background1"/>
              </w:rPr>
              <w:t>5</w:t>
            </w:r>
            <w:r w:rsidR="00CD6E7B" w:rsidRPr="001A3BDB">
              <w:rPr>
                <w:color w:val="FFFFFF" w:themeColor="background1"/>
              </w:rPr>
              <w:t>–1</w:t>
            </w:r>
            <w:r w:rsidR="00130B63">
              <w:rPr>
                <w:color w:val="FFFFFF" w:themeColor="background1"/>
              </w:rPr>
              <w:t>6</w:t>
            </w:r>
            <w:r w:rsidR="00CD6E7B" w:rsidRPr="001A3BDB">
              <w:rPr>
                <w:color w:val="FFFFFF" w:themeColor="background1"/>
              </w:rPr>
              <w:t xml:space="preserve"> costs</w:t>
            </w:r>
            <w:r>
              <w:rPr>
                <w:color w:val="FFFFFF" w:themeColor="background1"/>
              </w:rPr>
              <w:t>)</w:t>
            </w:r>
          </w:p>
        </w:tc>
        <w:tc>
          <w:tcPr>
            <w:tcW w:w="746" w:type="pct"/>
            <w:shd w:val="clear" w:color="auto" w:fill="404040" w:themeFill="text1" w:themeFillTint="BF"/>
            <w:vAlign w:val="center"/>
          </w:tcPr>
          <w:p w14:paraId="57C9AC57" w14:textId="77777777" w:rsidR="00CD6E7B" w:rsidRPr="001A3BDB" w:rsidRDefault="00CD6E7B" w:rsidP="001A3BDB">
            <w:pPr>
              <w:pStyle w:val="TableHeading"/>
              <w:jc w:val="right"/>
              <w:rPr>
                <w:b w:val="0"/>
                <w:color w:val="FFFFFF" w:themeColor="background1"/>
              </w:rPr>
            </w:pPr>
            <w:r w:rsidRPr="001A3BDB">
              <w:rPr>
                <w:color w:val="FFFFFF" w:themeColor="background1"/>
              </w:rPr>
              <w:t>% change*</w:t>
            </w:r>
          </w:p>
        </w:tc>
      </w:tr>
      <w:tr w:rsidR="00130B63" w:rsidRPr="004B029D" w14:paraId="6869064F" w14:textId="77777777" w:rsidTr="00E230DB">
        <w:trPr>
          <w:cantSplit/>
          <w:trHeight w:val="242"/>
          <w:tblHeader/>
        </w:trPr>
        <w:tc>
          <w:tcPr>
            <w:tcW w:w="2032" w:type="pct"/>
            <w:vAlign w:val="center"/>
          </w:tcPr>
          <w:p w14:paraId="718B3E93" w14:textId="77777777" w:rsidR="00130B63" w:rsidRDefault="00130B63" w:rsidP="00130B63">
            <w:pPr>
              <w:spacing w:after="0"/>
              <w:rPr>
                <w:rFonts w:cs="Arial"/>
                <w:color w:val="000000"/>
                <w:szCs w:val="20"/>
              </w:rPr>
            </w:pPr>
            <w:r>
              <w:rPr>
                <w:rFonts w:cs="Arial"/>
                <w:color w:val="000000"/>
                <w:szCs w:val="20"/>
              </w:rPr>
              <w:t>Employees</w:t>
            </w:r>
          </w:p>
        </w:tc>
        <w:tc>
          <w:tcPr>
            <w:tcW w:w="1111" w:type="pct"/>
            <w:shd w:val="clear" w:color="auto" w:fill="auto"/>
            <w:vAlign w:val="center"/>
          </w:tcPr>
          <w:p w14:paraId="05EC77BB" w14:textId="77777777" w:rsidR="00EA23D3" w:rsidRDefault="003D62FB" w:rsidP="00EA23D3">
            <w:pPr>
              <w:spacing w:after="0"/>
              <w:jc w:val="right"/>
              <w:rPr>
                <w:rFonts w:cs="Arial"/>
                <w:color w:val="000000"/>
                <w:szCs w:val="20"/>
              </w:rPr>
            </w:pPr>
            <w:r>
              <w:rPr>
                <w:rFonts w:cs="Arial"/>
                <w:color w:val="000000"/>
                <w:szCs w:val="20"/>
              </w:rPr>
              <w:t>$9,107,688</w:t>
            </w:r>
          </w:p>
        </w:tc>
        <w:tc>
          <w:tcPr>
            <w:tcW w:w="1111" w:type="pct"/>
            <w:shd w:val="clear" w:color="auto" w:fill="auto"/>
            <w:vAlign w:val="center"/>
          </w:tcPr>
          <w:p w14:paraId="5BB9EAD1" w14:textId="77777777" w:rsidR="00130B63" w:rsidRPr="00A261CF" w:rsidRDefault="00130B63" w:rsidP="00130B63">
            <w:pPr>
              <w:spacing w:after="0"/>
              <w:jc w:val="right"/>
              <w:rPr>
                <w:rFonts w:cs="Arial"/>
                <w:color w:val="000000"/>
                <w:szCs w:val="20"/>
                <w:highlight w:val="yellow"/>
              </w:rPr>
            </w:pPr>
            <w:r>
              <w:rPr>
                <w:rFonts w:cs="Arial"/>
                <w:color w:val="000000"/>
                <w:szCs w:val="20"/>
              </w:rPr>
              <w:t>$9,799,411</w:t>
            </w:r>
          </w:p>
        </w:tc>
        <w:tc>
          <w:tcPr>
            <w:tcW w:w="746" w:type="pct"/>
            <w:shd w:val="clear" w:color="auto" w:fill="auto"/>
            <w:vAlign w:val="center"/>
          </w:tcPr>
          <w:p w14:paraId="06724260" w14:textId="77777777" w:rsidR="001D64D9" w:rsidRDefault="001D64D9" w:rsidP="001D64D9">
            <w:pPr>
              <w:spacing w:after="0"/>
              <w:jc w:val="right"/>
              <w:rPr>
                <w:rFonts w:cs="Arial"/>
                <w:color w:val="000000"/>
                <w:szCs w:val="20"/>
              </w:rPr>
            </w:pPr>
            <w:r>
              <w:rPr>
                <w:rFonts w:cs="Arial"/>
                <w:color w:val="000000"/>
                <w:szCs w:val="20"/>
              </w:rPr>
              <w:t>(7.1%)</w:t>
            </w:r>
          </w:p>
        </w:tc>
      </w:tr>
      <w:tr w:rsidR="00130B63" w:rsidRPr="004B029D" w14:paraId="40472AF0" w14:textId="77777777" w:rsidTr="00E230DB">
        <w:trPr>
          <w:cantSplit/>
          <w:trHeight w:val="162"/>
          <w:tblHeader/>
        </w:trPr>
        <w:tc>
          <w:tcPr>
            <w:tcW w:w="2032" w:type="pct"/>
            <w:vAlign w:val="center"/>
          </w:tcPr>
          <w:p w14:paraId="2023EFB3" w14:textId="77777777" w:rsidR="00130B63" w:rsidRDefault="00130B63" w:rsidP="00130B63">
            <w:pPr>
              <w:spacing w:after="0"/>
              <w:rPr>
                <w:rFonts w:cs="Arial"/>
                <w:color w:val="000000"/>
                <w:szCs w:val="20"/>
              </w:rPr>
            </w:pPr>
            <w:r>
              <w:rPr>
                <w:rFonts w:cs="Arial"/>
                <w:color w:val="000000"/>
                <w:szCs w:val="20"/>
              </w:rPr>
              <w:t>Operating</w:t>
            </w:r>
          </w:p>
        </w:tc>
        <w:tc>
          <w:tcPr>
            <w:tcW w:w="1111" w:type="pct"/>
            <w:shd w:val="clear" w:color="auto" w:fill="auto"/>
            <w:vAlign w:val="center"/>
          </w:tcPr>
          <w:p w14:paraId="1DAF6831" w14:textId="77777777" w:rsidR="00130B63" w:rsidRDefault="00EA23D3" w:rsidP="00130B63">
            <w:pPr>
              <w:spacing w:after="0"/>
              <w:jc w:val="right"/>
              <w:rPr>
                <w:rFonts w:cs="Arial"/>
                <w:color w:val="000000"/>
                <w:szCs w:val="20"/>
              </w:rPr>
            </w:pPr>
            <w:r>
              <w:rPr>
                <w:rFonts w:cs="Arial"/>
                <w:color w:val="000000"/>
                <w:szCs w:val="20"/>
              </w:rPr>
              <w:t>$3,062,674</w:t>
            </w:r>
          </w:p>
        </w:tc>
        <w:tc>
          <w:tcPr>
            <w:tcW w:w="1111" w:type="pct"/>
            <w:shd w:val="clear" w:color="auto" w:fill="auto"/>
            <w:vAlign w:val="center"/>
          </w:tcPr>
          <w:p w14:paraId="6D3CE22F" w14:textId="77777777" w:rsidR="00130B63" w:rsidRPr="00CB6DEB" w:rsidRDefault="00130B63" w:rsidP="00130B63">
            <w:pPr>
              <w:spacing w:after="0"/>
              <w:jc w:val="right"/>
              <w:rPr>
                <w:rFonts w:cs="Arial"/>
                <w:color w:val="000000"/>
                <w:szCs w:val="20"/>
              </w:rPr>
            </w:pPr>
            <w:r>
              <w:rPr>
                <w:rFonts w:cs="Arial"/>
                <w:color w:val="000000"/>
                <w:szCs w:val="20"/>
              </w:rPr>
              <w:t>$2,693,254</w:t>
            </w:r>
          </w:p>
        </w:tc>
        <w:tc>
          <w:tcPr>
            <w:tcW w:w="746" w:type="pct"/>
            <w:shd w:val="clear" w:color="auto" w:fill="auto"/>
            <w:vAlign w:val="center"/>
          </w:tcPr>
          <w:p w14:paraId="53BE22BA" w14:textId="77777777" w:rsidR="00130B63" w:rsidRDefault="001D64D9" w:rsidP="00130B63">
            <w:pPr>
              <w:spacing w:after="0"/>
              <w:jc w:val="right"/>
              <w:rPr>
                <w:rFonts w:cs="Arial"/>
                <w:color w:val="000000"/>
                <w:szCs w:val="20"/>
              </w:rPr>
            </w:pPr>
            <w:r>
              <w:rPr>
                <w:rFonts w:cs="Arial"/>
                <w:color w:val="000000"/>
                <w:szCs w:val="20"/>
              </w:rPr>
              <w:t>13.7%</w:t>
            </w:r>
          </w:p>
        </w:tc>
      </w:tr>
      <w:tr w:rsidR="00130B63" w:rsidRPr="004B029D" w14:paraId="393619D6" w14:textId="77777777" w:rsidTr="00E230DB">
        <w:trPr>
          <w:cantSplit/>
          <w:trHeight w:val="210"/>
          <w:tblHeader/>
        </w:trPr>
        <w:tc>
          <w:tcPr>
            <w:tcW w:w="2032" w:type="pct"/>
            <w:vAlign w:val="center"/>
          </w:tcPr>
          <w:p w14:paraId="05470C36" w14:textId="77777777" w:rsidR="00130B63" w:rsidRDefault="00130B63" w:rsidP="00130B63">
            <w:pPr>
              <w:spacing w:after="0"/>
              <w:rPr>
                <w:rFonts w:cs="Arial"/>
                <w:color w:val="000000"/>
                <w:szCs w:val="20"/>
              </w:rPr>
            </w:pPr>
            <w:r>
              <w:rPr>
                <w:rFonts w:cs="Arial"/>
                <w:color w:val="000000"/>
                <w:szCs w:val="20"/>
              </w:rPr>
              <w:t>Depreciation and write-off</w:t>
            </w:r>
          </w:p>
        </w:tc>
        <w:tc>
          <w:tcPr>
            <w:tcW w:w="1111" w:type="pct"/>
            <w:shd w:val="clear" w:color="auto" w:fill="auto"/>
            <w:vAlign w:val="center"/>
          </w:tcPr>
          <w:p w14:paraId="11AC30FD" w14:textId="77777777" w:rsidR="00130B63" w:rsidRDefault="00EA23D3" w:rsidP="00130B63">
            <w:pPr>
              <w:spacing w:after="0"/>
              <w:jc w:val="right"/>
              <w:rPr>
                <w:rFonts w:cs="Arial"/>
                <w:color w:val="000000"/>
                <w:szCs w:val="20"/>
              </w:rPr>
            </w:pPr>
            <w:r>
              <w:rPr>
                <w:rFonts w:cs="Arial"/>
                <w:color w:val="000000"/>
                <w:szCs w:val="20"/>
              </w:rPr>
              <w:t>$2,267,896</w:t>
            </w:r>
          </w:p>
        </w:tc>
        <w:tc>
          <w:tcPr>
            <w:tcW w:w="1111" w:type="pct"/>
            <w:shd w:val="clear" w:color="auto" w:fill="auto"/>
            <w:vAlign w:val="center"/>
          </w:tcPr>
          <w:p w14:paraId="15E00453" w14:textId="77777777" w:rsidR="00130B63" w:rsidRPr="00CB6DEB" w:rsidRDefault="00130B63" w:rsidP="00130B63">
            <w:pPr>
              <w:spacing w:after="0"/>
              <w:jc w:val="right"/>
              <w:rPr>
                <w:rFonts w:cs="Arial"/>
                <w:color w:val="000000"/>
                <w:szCs w:val="20"/>
              </w:rPr>
            </w:pPr>
            <w:r>
              <w:rPr>
                <w:rFonts w:cs="Arial"/>
                <w:color w:val="000000"/>
                <w:szCs w:val="20"/>
              </w:rPr>
              <w:t>$1,995,752</w:t>
            </w:r>
          </w:p>
        </w:tc>
        <w:tc>
          <w:tcPr>
            <w:tcW w:w="746" w:type="pct"/>
            <w:shd w:val="clear" w:color="auto" w:fill="auto"/>
            <w:vAlign w:val="center"/>
          </w:tcPr>
          <w:p w14:paraId="4E129049" w14:textId="77777777" w:rsidR="00130B63" w:rsidRDefault="001D64D9" w:rsidP="00130B63">
            <w:pPr>
              <w:spacing w:after="0"/>
              <w:jc w:val="right"/>
              <w:rPr>
                <w:rFonts w:cs="Arial"/>
                <w:color w:val="000000"/>
                <w:szCs w:val="20"/>
              </w:rPr>
            </w:pPr>
            <w:r>
              <w:rPr>
                <w:rFonts w:cs="Arial"/>
                <w:color w:val="000000"/>
                <w:szCs w:val="20"/>
              </w:rPr>
              <w:t>13.6%</w:t>
            </w:r>
          </w:p>
        </w:tc>
      </w:tr>
      <w:tr w:rsidR="00130B63" w:rsidRPr="004B029D" w14:paraId="3816EB9D" w14:textId="77777777" w:rsidTr="0031688A">
        <w:trPr>
          <w:cantSplit/>
          <w:trHeight w:val="129"/>
          <w:tblHeader/>
        </w:trPr>
        <w:tc>
          <w:tcPr>
            <w:tcW w:w="2032" w:type="pct"/>
            <w:shd w:val="clear" w:color="auto" w:fill="D9D9D9" w:themeFill="background1" w:themeFillShade="D9"/>
            <w:vAlign w:val="center"/>
          </w:tcPr>
          <w:p w14:paraId="6B89EDFF" w14:textId="77777777" w:rsidR="00130B63" w:rsidRDefault="00130B63" w:rsidP="00130B63">
            <w:pPr>
              <w:spacing w:after="0"/>
              <w:rPr>
                <w:rFonts w:cs="Arial"/>
                <w:b/>
                <w:bCs/>
                <w:color w:val="000000"/>
                <w:szCs w:val="20"/>
              </w:rPr>
            </w:pPr>
            <w:r>
              <w:rPr>
                <w:rFonts w:cs="Arial"/>
                <w:b/>
                <w:bCs/>
                <w:color w:val="000000"/>
                <w:szCs w:val="20"/>
              </w:rPr>
              <w:t>Total ACMA costs</w:t>
            </w:r>
          </w:p>
        </w:tc>
        <w:tc>
          <w:tcPr>
            <w:tcW w:w="1111" w:type="pct"/>
            <w:shd w:val="clear" w:color="auto" w:fill="D9D9D9" w:themeFill="background1" w:themeFillShade="D9"/>
            <w:vAlign w:val="center"/>
          </w:tcPr>
          <w:p w14:paraId="257C45E0" w14:textId="77777777" w:rsidR="00130B63" w:rsidRDefault="003D62FB" w:rsidP="00130B63">
            <w:pPr>
              <w:spacing w:after="0"/>
              <w:jc w:val="right"/>
              <w:rPr>
                <w:rFonts w:cs="Arial"/>
                <w:b/>
                <w:bCs/>
                <w:color w:val="000000"/>
                <w:szCs w:val="20"/>
              </w:rPr>
            </w:pPr>
            <w:r>
              <w:rPr>
                <w:rFonts w:cs="Arial"/>
                <w:b/>
                <w:bCs/>
                <w:color w:val="000000"/>
                <w:szCs w:val="20"/>
              </w:rPr>
              <w:t>$14,438,258</w:t>
            </w:r>
          </w:p>
        </w:tc>
        <w:tc>
          <w:tcPr>
            <w:tcW w:w="1111" w:type="pct"/>
            <w:shd w:val="clear" w:color="auto" w:fill="D9D9D9" w:themeFill="background1" w:themeFillShade="D9"/>
            <w:vAlign w:val="center"/>
          </w:tcPr>
          <w:p w14:paraId="2B916E21" w14:textId="77777777" w:rsidR="00130B63" w:rsidRPr="00A261CF" w:rsidRDefault="00130B63" w:rsidP="00130B63">
            <w:pPr>
              <w:spacing w:after="0"/>
              <w:jc w:val="right"/>
              <w:rPr>
                <w:rFonts w:cs="Arial"/>
                <w:b/>
                <w:bCs/>
                <w:color w:val="000000"/>
                <w:szCs w:val="20"/>
              </w:rPr>
            </w:pPr>
            <w:r>
              <w:rPr>
                <w:rFonts w:cs="Arial"/>
                <w:b/>
                <w:bCs/>
                <w:color w:val="000000"/>
                <w:szCs w:val="20"/>
              </w:rPr>
              <w:t>$14,488,417</w:t>
            </w:r>
          </w:p>
        </w:tc>
        <w:tc>
          <w:tcPr>
            <w:tcW w:w="746" w:type="pct"/>
            <w:shd w:val="clear" w:color="auto" w:fill="D9D9D9" w:themeFill="background1" w:themeFillShade="D9"/>
            <w:vAlign w:val="center"/>
          </w:tcPr>
          <w:p w14:paraId="053AB3F8" w14:textId="77777777" w:rsidR="00130B63" w:rsidRDefault="001D64D9" w:rsidP="00130B63">
            <w:pPr>
              <w:spacing w:after="0"/>
              <w:jc w:val="right"/>
              <w:rPr>
                <w:rFonts w:cs="Arial"/>
                <w:color w:val="000000"/>
                <w:szCs w:val="20"/>
              </w:rPr>
            </w:pPr>
            <w:r>
              <w:rPr>
                <w:rFonts w:cs="Arial"/>
                <w:color w:val="000000"/>
                <w:szCs w:val="20"/>
              </w:rPr>
              <w:t>(0.3%)</w:t>
            </w:r>
          </w:p>
        </w:tc>
      </w:tr>
      <w:tr w:rsidR="00130B63" w:rsidRPr="004B029D" w14:paraId="1D315960" w14:textId="77777777" w:rsidTr="00E230DB">
        <w:trPr>
          <w:cantSplit/>
          <w:trHeight w:val="1169"/>
          <w:tblHeader/>
        </w:trPr>
        <w:tc>
          <w:tcPr>
            <w:tcW w:w="2032" w:type="pct"/>
            <w:shd w:val="clear" w:color="auto" w:fill="auto"/>
            <w:vAlign w:val="center"/>
          </w:tcPr>
          <w:p w14:paraId="6259BA8D" w14:textId="77777777" w:rsidR="00130B63" w:rsidRPr="00A261CF" w:rsidRDefault="00130B63" w:rsidP="00130B63">
            <w:pPr>
              <w:spacing w:after="0"/>
              <w:rPr>
                <w:rFonts w:cs="Arial"/>
                <w:bCs/>
                <w:color w:val="000000"/>
                <w:szCs w:val="20"/>
              </w:rPr>
            </w:pPr>
            <w:r w:rsidRPr="00A261CF">
              <w:rPr>
                <w:rFonts w:cs="Arial"/>
                <w:bCs/>
                <w:color w:val="000000"/>
                <w:szCs w:val="20"/>
              </w:rPr>
              <w:t xml:space="preserve">Less: Revenue received </w:t>
            </w:r>
            <w:r>
              <w:rPr>
                <w:rFonts w:cs="Arial"/>
                <w:bCs/>
                <w:color w:val="000000"/>
                <w:szCs w:val="20"/>
              </w:rPr>
              <w:t xml:space="preserve">from </w:t>
            </w:r>
            <w:r w:rsidRPr="00A261CF">
              <w:rPr>
                <w:rFonts w:cs="Arial"/>
              </w:rPr>
              <w:t>activities delivered on a fee-for-service basis</w:t>
            </w:r>
            <w:r w:rsidR="00F773AA">
              <w:rPr>
                <w:rFonts w:cs="Arial"/>
              </w:rPr>
              <w:t xml:space="preserve"> (see Attachment A</w:t>
            </w:r>
            <w:r>
              <w:rPr>
                <w:rFonts w:cs="Arial"/>
              </w:rPr>
              <w:t>—</w:t>
            </w:r>
            <w:r w:rsidRPr="004E2F7E">
              <w:rPr>
                <w:rFonts w:cs="Arial"/>
              </w:rPr>
              <w:t>Telecommunications activities not included in the ACLC</w:t>
            </w:r>
            <w:r>
              <w:rPr>
                <w:rFonts w:cs="Arial"/>
              </w:rPr>
              <w:t>)</w:t>
            </w:r>
          </w:p>
        </w:tc>
        <w:tc>
          <w:tcPr>
            <w:tcW w:w="1111" w:type="pct"/>
            <w:shd w:val="clear" w:color="auto" w:fill="auto"/>
            <w:vAlign w:val="center"/>
          </w:tcPr>
          <w:p w14:paraId="2756AF3B" w14:textId="70C0FD1C" w:rsidR="00130B63" w:rsidRPr="00A261CF" w:rsidRDefault="00C64E29" w:rsidP="00130B63">
            <w:pPr>
              <w:spacing w:after="0"/>
              <w:jc w:val="right"/>
              <w:rPr>
                <w:rFonts w:cs="Arial"/>
                <w:bCs/>
                <w:color w:val="000000"/>
                <w:szCs w:val="20"/>
              </w:rPr>
            </w:pPr>
            <w:r>
              <w:rPr>
                <w:rFonts w:cs="Arial"/>
                <w:bCs/>
                <w:color w:val="000000"/>
                <w:szCs w:val="20"/>
              </w:rPr>
              <w:t>$134,2</w:t>
            </w:r>
            <w:r w:rsidR="007B13C2">
              <w:rPr>
                <w:rFonts w:cs="Arial"/>
                <w:bCs/>
                <w:color w:val="000000"/>
                <w:szCs w:val="20"/>
              </w:rPr>
              <w:t>3</w:t>
            </w:r>
            <w:r>
              <w:rPr>
                <w:rFonts w:cs="Arial"/>
                <w:bCs/>
                <w:color w:val="000000"/>
                <w:szCs w:val="20"/>
              </w:rPr>
              <w:t>9</w:t>
            </w:r>
          </w:p>
        </w:tc>
        <w:tc>
          <w:tcPr>
            <w:tcW w:w="1111" w:type="pct"/>
            <w:shd w:val="clear" w:color="auto" w:fill="auto"/>
            <w:vAlign w:val="center"/>
          </w:tcPr>
          <w:p w14:paraId="438D3583" w14:textId="77777777" w:rsidR="00130B63" w:rsidRPr="00A261CF" w:rsidRDefault="00130B63" w:rsidP="00130B63">
            <w:pPr>
              <w:spacing w:after="0"/>
              <w:jc w:val="right"/>
              <w:rPr>
                <w:rFonts w:cs="Arial"/>
                <w:bCs/>
                <w:color w:val="000000"/>
                <w:szCs w:val="20"/>
              </w:rPr>
            </w:pPr>
            <w:r>
              <w:rPr>
                <w:rFonts w:cs="Arial"/>
                <w:bCs/>
                <w:color w:val="000000"/>
                <w:szCs w:val="20"/>
              </w:rPr>
              <w:t>$83,908</w:t>
            </w:r>
          </w:p>
        </w:tc>
        <w:tc>
          <w:tcPr>
            <w:tcW w:w="746" w:type="pct"/>
            <w:shd w:val="clear" w:color="auto" w:fill="auto"/>
            <w:vAlign w:val="center"/>
          </w:tcPr>
          <w:p w14:paraId="1B4ABC95" w14:textId="77777777" w:rsidR="00130B63" w:rsidRPr="00A261CF" w:rsidRDefault="001D64D9" w:rsidP="00130B63">
            <w:pPr>
              <w:spacing w:after="0"/>
              <w:jc w:val="right"/>
              <w:rPr>
                <w:rFonts w:cs="Arial"/>
                <w:color w:val="000000"/>
                <w:szCs w:val="20"/>
              </w:rPr>
            </w:pPr>
            <w:r>
              <w:rPr>
                <w:rFonts w:cs="Arial"/>
                <w:color w:val="000000"/>
                <w:szCs w:val="20"/>
              </w:rPr>
              <w:t>60.0%</w:t>
            </w:r>
          </w:p>
        </w:tc>
      </w:tr>
      <w:tr w:rsidR="00130B63" w:rsidRPr="004B029D" w14:paraId="12884F4D" w14:textId="77777777" w:rsidTr="0031688A">
        <w:trPr>
          <w:cantSplit/>
          <w:trHeight w:val="172"/>
          <w:tblHeader/>
        </w:trPr>
        <w:tc>
          <w:tcPr>
            <w:tcW w:w="2032" w:type="pct"/>
            <w:shd w:val="clear" w:color="auto" w:fill="D9D9D9" w:themeFill="background1" w:themeFillShade="D9"/>
            <w:vAlign w:val="center"/>
          </w:tcPr>
          <w:p w14:paraId="093E8907" w14:textId="77777777" w:rsidR="00130B63" w:rsidRDefault="00130B63" w:rsidP="00130B63">
            <w:pPr>
              <w:spacing w:after="0"/>
              <w:rPr>
                <w:rFonts w:cs="Arial"/>
                <w:b/>
                <w:bCs/>
                <w:color w:val="000000"/>
                <w:szCs w:val="20"/>
              </w:rPr>
            </w:pPr>
            <w:r>
              <w:rPr>
                <w:rFonts w:cs="Arial"/>
                <w:b/>
                <w:bCs/>
                <w:color w:val="000000"/>
                <w:szCs w:val="20"/>
              </w:rPr>
              <w:t>Total costs for ACLC</w:t>
            </w:r>
          </w:p>
        </w:tc>
        <w:tc>
          <w:tcPr>
            <w:tcW w:w="1111" w:type="pct"/>
            <w:shd w:val="clear" w:color="auto" w:fill="D9D9D9" w:themeFill="background1" w:themeFillShade="D9"/>
            <w:vAlign w:val="center"/>
          </w:tcPr>
          <w:p w14:paraId="3F1B7A28" w14:textId="77777777" w:rsidR="00130B63" w:rsidRDefault="009D54C2" w:rsidP="00130B63">
            <w:pPr>
              <w:spacing w:after="0"/>
              <w:jc w:val="right"/>
              <w:rPr>
                <w:rFonts w:cs="Arial"/>
                <w:b/>
                <w:bCs/>
                <w:color w:val="000000"/>
                <w:szCs w:val="20"/>
              </w:rPr>
            </w:pPr>
            <w:r>
              <w:rPr>
                <w:rFonts w:cs="Arial"/>
                <w:b/>
                <w:bCs/>
                <w:color w:val="000000"/>
                <w:szCs w:val="20"/>
              </w:rPr>
              <w:t>$14,304,019</w:t>
            </w:r>
          </w:p>
        </w:tc>
        <w:tc>
          <w:tcPr>
            <w:tcW w:w="1111" w:type="pct"/>
            <w:shd w:val="clear" w:color="auto" w:fill="D9D9D9" w:themeFill="background1" w:themeFillShade="D9"/>
            <w:vAlign w:val="center"/>
          </w:tcPr>
          <w:p w14:paraId="1C2A153E" w14:textId="77777777" w:rsidR="00130B63" w:rsidRPr="00A261CF" w:rsidRDefault="00130B63" w:rsidP="00130B63">
            <w:pPr>
              <w:spacing w:after="0"/>
              <w:jc w:val="right"/>
              <w:rPr>
                <w:rFonts w:cs="Arial"/>
                <w:b/>
                <w:bCs/>
                <w:color w:val="000000"/>
                <w:szCs w:val="20"/>
              </w:rPr>
            </w:pPr>
            <w:r>
              <w:rPr>
                <w:rFonts w:cs="Arial"/>
                <w:b/>
                <w:bCs/>
                <w:color w:val="000000"/>
                <w:szCs w:val="20"/>
              </w:rPr>
              <w:t>$14,404,509</w:t>
            </w:r>
          </w:p>
        </w:tc>
        <w:tc>
          <w:tcPr>
            <w:tcW w:w="746" w:type="pct"/>
            <w:shd w:val="clear" w:color="auto" w:fill="D9D9D9" w:themeFill="background1" w:themeFillShade="D9"/>
            <w:vAlign w:val="center"/>
          </w:tcPr>
          <w:p w14:paraId="157DB4A8" w14:textId="77777777" w:rsidR="00130B63" w:rsidRDefault="001D64D9" w:rsidP="00130B63">
            <w:pPr>
              <w:spacing w:after="0"/>
              <w:jc w:val="right"/>
              <w:rPr>
                <w:rFonts w:cs="Arial"/>
                <w:color w:val="000000"/>
                <w:szCs w:val="20"/>
              </w:rPr>
            </w:pPr>
            <w:r>
              <w:rPr>
                <w:rFonts w:cs="Arial"/>
                <w:color w:val="000000"/>
                <w:szCs w:val="20"/>
              </w:rPr>
              <w:t>(0.7%)</w:t>
            </w:r>
          </w:p>
        </w:tc>
      </w:tr>
    </w:tbl>
    <w:p w14:paraId="1256EE47" w14:textId="77777777" w:rsidR="00CD6E7B" w:rsidRDefault="00CD6E7B" w:rsidP="001A3BDB">
      <w:pPr>
        <w:pStyle w:val="ACMASpaceaftertable"/>
      </w:pPr>
      <w:r w:rsidRPr="001A3BDB">
        <w:rPr>
          <w:i/>
          <w:sz w:val="16"/>
          <w:szCs w:val="16"/>
        </w:rPr>
        <w:t>*increase/(decrease</w:t>
      </w:r>
      <w:r w:rsidRPr="00F7198B">
        <w:t>)</w:t>
      </w:r>
    </w:p>
    <w:p w14:paraId="2BFFE134" w14:textId="53B69B86" w:rsidR="00734804" w:rsidRPr="008E0DB6" w:rsidRDefault="009E783D" w:rsidP="0031688A">
      <w:pPr>
        <w:rPr>
          <w:rFonts w:cs="Arial"/>
        </w:rPr>
      </w:pPr>
      <w:r w:rsidRPr="008E0DB6">
        <w:t xml:space="preserve">The ACMA’s cost component has </w:t>
      </w:r>
      <w:r w:rsidR="00F540C0" w:rsidRPr="008E0DB6">
        <w:t>not changed significantly from the previous financial year</w:t>
      </w:r>
      <w:r w:rsidR="00C855AD" w:rsidRPr="008E0DB6">
        <w:t xml:space="preserve">, </w:t>
      </w:r>
      <w:r w:rsidR="00514762" w:rsidRPr="008E0DB6">
        <w:t>de</w:t>
      </w:r>
      <w:r w:rsidRPr="008E0DB6">
        <w:t>creas</w:t>
      </w:r>
      <w:r w:rsidR="008E0DB6" w:rsidRPr="008E0DB6">
        <w:t>ing</w:t>
      </w:r>
      <w:r w:rsidRPr="008E0DB6">
        <w:t xml:space="preserve"> </w:t>
      </w:r>
      <w:r w:rsidR="00514762" w:rsidRPr="008E0DB6">
        <w:t xml:space="preserve">by </w:t>
      </w:r>
      <w:r w:rsidR="00C855AD" w:rsidRPr="008E0DB6">
        <w:t>0.7</w:t>
      </w:r>
      <w:r w:rsidR="00F540C0" w:rsidRPr="008E0DB6">
        <w:t xml:space="preserve"> </w:t>
      </w:r>
      <w:r w:rsidR="0039435F" w:rsidRPr="008E0DB6">
        <w:t>per cent</w:t>
      </w:r>
      <w:r w:rsidR="00B90EBA" w:rsidRPr="008E0DB6">
        <w:t xml:space="preserve"> (</w:t>
      </w:r>
      <w:r w:rsidR="00514762" w:rsidRPr="008E0DB6">
        <w:t>$</w:t>
      </w:r>
      <w:r w:rsidR="00C855AD" w:rsidRPr="008E0DB6">
        <w:t>0.1</w:t>
      </w:r>
      <w:r w:rsidR="00B90EBA" w:rsidRPr="008E0DB6">
        <w:t xml:space="preserve"> </w:t>
      </w:r>
      <w:r w:rsidR="00514762" w:rsidRPr="008E0DB6">
        <w:t>million</w:t>
      </w:r>
      <w:r w:rsidR="00B90EBA" w:rsidRPr="008E0DB6">
        <w:t>)</w:t>
      </w:r>
      <w:r w:rsidR="003D3730">
        <w:rPr>
          <w:rFonts w:cs="Arial"/>
        </w:rPr>
        <w:t>.</w:t>
      </w:r>
      <w:r w:rsidR="005E338B">
        <w:rPr>
          <w:rFonts w:cs="Arial"/>
        </w:rPr>
        <w:t xml:space="preserve"> </w:t>
      </w:r>
      <w:r w:rsidR="00673DB9" w:rsidRPr="00673DB9">
        <w:rPr>
          <w:rFonts w:cs="Arial"/>
        </w:rPr>
        <w:t>During the 2017</w:t>
      </w:r>
      <w:r w:rsidR="006123EF">
        <w:rPr>
          <w:rFonts w:cs="Arial"/>
        </w:rPr>
        <w:t>–</w:t>
      </w:r>
      <w:r w:rsidR="00673DB9" w:rsidRPr="00673DB9">
        <w:rPr>
          <w:rFonts w:cs="Arial"/>
        </w:rPr>
        <w:t xml:space="preserve">18 financial year, the ACMA has issued </w:t>
      </w:r>
      <w:r w:rsidR="00EC32FD">
        <w:rPr>
          <w:rFonts w:cs="Arial"/>
        </w:rPr>
        <w:t xml:space="preserve">more </w:t>
      </w:r>
      <w:r w:rsidR="00673DB9" w:rsidRPr="00673DB9">
        <w:rPr>
          <w:rFonts w:cs="Arial"/>
        </w:rPr>
        <w:t>licences compared to the 2016</w:t>
      </w:r>
      <w:r w:rsidR="006123EF">
        <w:rPr>
          <w:rFonts w:cs="Arial"/>
        </w:rPr>
        <w:t>–</w:t>
      </w:r>
      <w:r w:rsidR="00673DB9" w:rsidRPr="00673DB9">
        <w:rPr>
          <w:rFonts w:cs="Arial"/>
        </w:rPr>
        <w:t>17 financial year. Although it required more resources, the ACMA has achieved a reduction of its costs with efficient use of its existing resources.</w:t>
      </w:r>
    </w:p>
    <w:p w14:paraId="50DDAFF7" w14:textId="5F0A3CF9" w:rsidR="004D51E1" w:rsidRDefault="004D51E1" w:rsidP="00DC5161">
      <w:r w:rsidRPr="004D51E1">
        <w:t xml:space="preserve">The </w:t>
      </w:r>
      <w:r>
        <w:t xml:space="preserve">ACMA’s </w:t>
      </w:r>
      <w:r w:rsidRPr="004D51E1">
        <w:t>cost</w:t>
      </w:r>
      <w:r>
        <w:t>s</w:t>
      </w:r>
      <w:r w:rsidRPr="004D51E1">
        <w:t xml:space="preserve"> take all productivity gains and operational savings into account, </w:t>
      </w:r>
      <w:r w:rsidRPr="008E0DB6">
        <w:t>including the efficient use of resources as a result of the application of an efficiency dividend. In addition, a benchmarking assessment is currently being undertaken</w:t>
      </w:r>
      <w:r w:rsidR="006D46E2" w:rsidRPr="008E0DB6">
        <w:t xml:space="preserve">. The outcome of this assessment will be incorporated in the CRIS for the </w:t>
      </w:r>
      <w:r w:rsidR="002B5189">
        <w:t>2018–19</w:t>
      </w:r>
      <w:r w:rsidR="002B5189" w:rsidRPr="008E0DB6">
        <w:t xml:space="preserve"> </w:t>
      </w:r>
      <w:r w:rsidR="006D46E2" w:rsidRPr="008E0DB6">
        <w:t>financial year.</w:t>
      </w:r>
      <w:r w:rsidR="006D46E2">
        <w:t xml:space="preserve"> </w:t>
      </w:r>
    </w:p>
    <w:p w14:paraId="63B47BE2" w14:textId="0AC0D767" w:rsidR="00DC5161" w:rsidRDefault="00DC5161" w:rsidP="00DC5161">
      <w:r w:rsidRPr="00734804">
        <w:t xml:space="preserve">The ACLC does not include the costs associated with the telecommunications services listed in </w:t>
      </w:r>
      <w:r w:rsidRPr="00043FDB">
        <w:t xml:space="preserve">Attachment </w:t>
      </w:r>
      <w:r w:rsidR="00F773AA">
        <w:t>A</w:t>
      </w:r>
      <w:r w:rsidRPr="00734804">
        <w:t>, as they are either budget-funded or delivered on a fee</w:t>
      </w:r>
      <w:r w:rsidR="00531DDE">
        <w:noBreakHyphen/>
      </w:r>
      <w:r w:rsidRPr="00734804">
        <w:t>for</w:t>
      </w:r>
      <w:r w:rsidR="00531DDE">
        <w:noBreakHyphen/>
      </w:r>
      <w:r w:rsidRPr="00734804">
        <w:t>service basis.</w:t>
      </w:r>
    </w:p>
    <w:p w14:paraId="1E016F2F" w14:textId="6291945F" w:rsidR="009E783D" w:rsidRPr="0039521A" w:rsidRDefault="009E783D" w:rsidP="003F7E3A">
      <w:pPr>
        <w:pStyle w:val="Heading2"/>
        <w:spacing w:after="240"/>
      </w:pPr>
      <w:bookmarkStart w:id="52" w:name="_Toc417990949"/>
      <w:bookmarkStart w:id="53" w:name="_Toc511634391"/>
      <w:bookmarkStart w:id="54" w:name="_Toc532543398"/>
      <w:r w:rsidRPr="003F7E3A">
        <w:t>3.2</w:t>
      </w:r>
      <w:r w:rsidRPr="003F7E3A">
        <w:tab/>
        <w:t>Determination of cost component</w:t>
      </w:r>
      <w:r w:rsidR="00627665">
        <w:t xml:space="preserve"> for </w:t>
      </w:r>
      <w:r w:rsidRPr="003F7E3A">
        <w:t xml:space="preserve">the ACCC’s </w:t>
      </w:r>
      <w:bookmarkEnd w:id="52"/>
      <w:r w:rsidRPr="003F7E3A">
        <w:t>activity</w:t>
      </w:r>
      <w:bookmarkEnd w:id="53"/>
      <w:bookmarkEnd w:id="54"/>
    </w:p>
    <w:p w14:paraId="38132EFF" w14:textId="77777777" w:rsidR="009E783D" w:rsidRPr="003F7E3A" w:rsidRDefault="009E783D" w:rsidP="003F7E3A">
      <w:pPr>
        <w:pStyle w:val="Heading3"/>
      </w:pPr>
      <w:bookmarkStart w:id="55" w:name="_Toc417990950"/>
      <w:bookmarkStart w:id="56" w:name="_Toc511634392"/>
      <w:bookmarkStart w:id="57" w:name="_Toc532543399"/>
      <w:r w:rsidRPr="003F7E3A">
        <w:t>3.2.1</w:t>
      </w:r>
      <w:r w:rsidRPr="003F7E3A">
        <w:tab/>
        <w:t>Outputs and business processes of the activity</w:t>
      </w:r>
      <w:bookmarkEnd w:id="55"/>
      <w:bookmarkEnd w:id="56"/>
      <w:bookmarkEnd w:id="57"/>
    </w:p>
    <w:p w14:paraId="52FECD12" w14:textId="7C57064A" w:rsidR="009E783D" w:rsidRPr="00E3629B" w:rsidRDefault="009E783D" w:rsidP="003F7E3A">
      <w:r w:rsidRPr="00E3629B">
        <w:t xml:space="preserve">This component </w:t>
      </w:r>
      <w:r w:rsidR="00627665">
        <w:t>(</w:t>
      </w:r>
      <w:r w:rsidR="00627665" w:rsidRPr="00627665">
        <w:t>under paragraph 15(1)(b) of the Act</w:t>
      </w:r>
      <w:r w:rsidR="00627665">
        <w:t xml:space="preserve">) </w:t>
      </w:r>
      <w:r w:rsidRPr="00E3629B">
        <w:t>represents the AC</w:t>
      </w:r>
      <w:r>
        <w:t>CC’</w:t>
      </w:r>
      <w:r w:rsidR="00372EAE">
        <w:t>s costs incurred during 201</w:t>
      </w:r>
      <w:r w:rsidR="0046793D">
        <w:t>6</w:t>
      </w:r>
      <w:r w:rsidR="00372EAE">
        <w:t>–1</w:t>
      </w:r>
      <w:r w:rsidR="0046793D">
        <w:t>7</w:t>
      </w:r>
      <w:r w:rsidRPr="00E3629B">
        <w:t xml:space="preserve"> in exercising its telecommunications functions and powers.</w:t>
      </w:r>
    </w:p>
    <w:p w14:paraId="140DFC9D" w14:textId="77777777" w:rsidR="00372EAE" w:rsidRDefault="00372EAE" w:rsidP="00EF0497">
      <w:pPr>
        <w:keepNext/>
        <w:keepLines/>
        <w:spacing w:after="80"/>
        <w:rPr>
          <w:iCs/>
          <w:lang w:eastAsia="en-US"/>
        </w:rPr>
      </w:pPr>
      <w:r w:rsidRPr="009A2EB4">
        <w:rPr>
          <w:iCs/>
          <w:lang w:eastAsia="en-US"/>
        </w:rPr>
        <w:t xml:space="preserve">Part XIC of the </w:t>
      </w:r>
      <w:r w:rsidR="00B1182A" w:rsidRPr="00395A41">
        <w:rPr>
          <w:iCs/>
          <w:lang w:eastAsia="en-US"/>
        </w:rPr>
        <w:t>Competition and Consumer Act</w:t>
      </w:r>
      <w:r w:rsidR="00F071C8">
        <w:rPr>
          <w:iCs/>
          <w:lang w:eastAsia="en-US"/>
        </w:rPr>
        <w:t xml:space="preserve"> </w:t>
      </w:r>
      <w:r w:rsidRPr="009A2EB4">
        <w:rPr>
          <w:iCs/>
          <w:lang w:eastAsia="en-US"/>
        </w:rPr>
        <w:t>contains the framework for economic regulation of the communications industry. The ACCC is responsible for:</w:t>
      </w:r>
    </w:p>
    <w:p w14:paraId="77A0DB0A" w14:textId="77777777" w:rsidR="0046793D" w:rsidRPr="009A2EB4" w:rsidRDefault="0046793D" w:rsidP="00EF0497">
      <w:pPr>
        <w:pStyle w:val="ListBullet"/>
        <w:keepNext/>
        <w:keepLines/>
        <w:rPr>
          <w:rFonts w:eastAsia="SimSun"/>
          <w:lang w:eastAsia="en-US"/>
        </w:rPr>
      </w:pPr>
      <w:r w:rsidRPr="009A2EB4">
        <w:rPr>
          <w:rFonts w:eastAsia="SimSun"/>
          <w:lang w:eastAsia="en-US"/>
        </w:rPr>
        <w:t xml:space="preserve">conducting inquiries </w:t>
      </w:r>
      <w:r w:rsidRPr="00395A41">
        <w:rPr>
          <w:rFonts w:eastAsia="SimSun"/>
        </w:rPr>
        <w:t>into</w:t>
      </w:r>
      <w:r w:rsidRPr="009A2EB4">
        <w:rPr>
          <w:rFonts w:eastAsia="SimSun"/>
          <w:lang w:eastAsia="en-US"/>
        </w:rPr>
        <w:t xml:space="preserve"> which communications services should be regulated</w:t>
      </w:r>
    </w:p>
    <w:p w14:paraId="70FFFDD3" w14:textId="77777777" w:rsidR="0046793D" w:rsidRPr="009A2EB4" w:rsidRDefault="0046793D" w:rsidP="00EF0497">
      <w:pPr>
        <w:pStyle w:val="ListBullet"/>
        <w:keepNext/>
        <w:keepLines/>
        <w:rPr>
          <w:rFonts w:eastAsia="SimSun"/>
          <w:lang w:eastAsia="en-US"/>
        </w:rPr>
      </w:pPr>
      <w:r w:rsidRPr="009A2EB4">
        <w:rPr>
          <w:rFonts w:eastAsia="SimSun"/>
          <w:lang w:eastAsia="en-US"/>
        </w:rPr>
        <w:t xml:space="preserve">conducting inquiries into the making of access determinations for regulated services </w:t>
      </w:r>
      <w:r>
        <w:rPr>
          <w:rFonts w:eastAsia="SimSun"/>
          <w:lang w:eastAsia="en-US"/>
        </w:rPr>
        <w:t>that</w:t>
      </w:r>
      <w:r w:rsidRPr="009A2EB4">
        <w:rPr>
          <w:rFonts w:eastAsia="SimSun"/>
          <w:lang w:eastAsia="en-US"/>
        </w:rPr>
        <w:t xml:space="preserve"> will contain price (or a method of ascertaining price) and non-price terms and conditions of access</w:t>
      </w:r>
    </w:p>
    <w:p w14:paraId="27B976C6" w14:textId="77777777" w:rsidR="0046793D" w:rsidRPr="009A2EB4" w:rsidRDefault="0046793D" w:rsidP="00EF0497">
      <w:pPr>
        <w:pStyle w:val="ListBullet"/>
        <w:keepNext/>
        <w:keepLines/>
        <w:rPr>
          <w:rFonts w:eastAsia="SimSun"/>
          <w:lang w:eastAsia="en-US"/>
        </w:rPr>
      </w:pPr>
      <w:r w:rsidRPr="009A2EB4">
        <w:rPr>
          <w:rFonts w:eastAsia="SimSun"/>
          <w:lang w:eastAsia="en-US"/>
        </w:rPr>
        <w:t>making binding rules of conduct (if needed) to address specific competition issues</w:t>
      </w:r>
    </w:p>
    <w:p w14:paraId="110E4BCB" w14:textId="77777777" w:rsidR="0046793D" w:rsidRPr="009A2EB4" w:rsidRDefault="0046793D" w:rsidP="00EF0497">
      <w:pPr>
        <w:pStyle w:val="ListBullet"/>
        <w:keepNext/>
        <w:keepLines/>
        <w:rPr>
          <w:rFonts w:eastAsia="SimSun"/>
          <w:lang w:eastAsia="en-US"/>
        </w:rPr>
      </w:pPr>
      <w:r w:rsidRPr="009A2EB4">
        <w:rPr>
          <w:rFonts w:eastAsia="SimSun"/>
          <w:lang w:eastAsia="en-US"/>
        </w:rPr>
        <w:t xml:space="preserve">investigating allegations of access providers failing to comply with the standard access obligations and/or non-discrimination obligations in the </w:t>
      </w:r>
      <w:r w:rsidRPr="00395A41">
        <w:rPr>
          <w:rFonts w:eastAsia="SimSun"/>
          <w:lang w:eastAsia="en-US"/>
        </w:rPr>
        <w:t>Competition and Consumer Act</w:t>
      </w:r>
    </w:p>
    <w:p w14:paraId="6C7E779F" w14:textId="77777777" w:rsidR="0046793D" w:rsidRPr="009A2EB4" w:rsidRDefault="0046793D" w:rsidP="0046793D">
      <w:pPr>
        <w:pStyle w:val="ListBulletLast"/>
        <w:rPr>
          <w:rFonts w:eastAsia="SimSun"/>
          <w:lang w:eastAsia="en-US"/>
        </w:rPr>
      </w:pPr>
      <w:r w:rsidRPr="009A2EB4">
        <w:rPr>
          <w:rFonts w:eastAsia="SimSun"/>
          <w:lang w:eastAsia="en-US"/>
        </w:rPr>
        <w:t xml:space="preserve">assessing special </w:t>
      </w:r>
      <w:r w:rsidRPr="00395A41">
        <w:rPr>
          <w:rFonts w:eastAsia="SimSun"/>
        </w:rPr>
        <w:t>access</w:t>
      </w:r>
      <w:r w:rsidRPr="009A2EB4">
        <w:rPr>
          <w:rFonts w:eastAsia="SimSun"/>
          <w:lang w:eastAsia="en-US"/>
        </w:rPr>
        <w:t xml:space="preserve"> undertakings (SAUs), which if accepted by the ACCC, will provide terms and conditions for access to regulated services. </w:t>
      </w:r>
    </w:p>
    <w:p w14:paraId="4ABFF689" w14:textId="23144C6F" w:rsidR="0046793D" w:rsidRPr="009A2EB4" w:rsidRDefault="0046793D" w:rsidP="0046793D">
      <w:pPr>
        <w:spacing w:after="80"/>
        <w:rPr>
          <w:lang w:eastAsia="en-US"/>
        </w:rPr>
      </w:pPr>
      <w:r w:rsidRPr="009A2EB4">
        <w:rPr>
          <w:lang w:eastAsia="en-US"/>
        </w:rPr>
        <w:t xml:space="preserve">Part XIB of the </w:t>
      </w:r>
      <w:r w:rsidRPr="00395A41">
        <w:rPr>
          <w:lang w:eastAsia="en-US"/>
        </w:rPr>
        <w:t>Competition and Consumer Act</w:t>
      </w:r>
      <w:r w:rsidRPr="00400A7F">
        <w:rPr>
          <w:i/>
          <w:lang w:eastAsia="en-US"/>
        </w:rPr>
        <w:t xml:space="preserve"> </w:t>
      </w:r>
      <w:r w:rsidRPr="009A2EB4">
        <w:rPr>
          <w:lang w:eastAsia="en-US"/>
        </w:rPr>
        <w:t>enables a quick response to instances of anti-competitive conduct in the communications industry and allows the ACCC to impose specific information</w:t>
      </w:r>
      <w:r>
        <w:rPr>
          <w:lang w:eastAsia="en-US"/>
        </w:rPr>
        <w:t>-</w:t>
      </w:r>
      <w:r w:rsidRPr="009A2EB4">
        <w:rPr>
          <w:lang w:eastAsia="en-US"/>
        </w:rPr>
        <w:t xml:space="preserve">gathering obligations on industry participants to assist with the ACCC’s administration and enforcement of the </w:t>
      </w:r>
      <w:r w:rsidRPr="00395A41">
        <w:rPr>
          <w:lang w:eastAsia="en-US"/>
        </w:rPr>
        <w:t>Competition and Consumer Act</w:t>
      </w:r>
      <w:r w:rsidRPr="009A2EB4">
        <w:rPr>
          <w:lang w:eastAsia="en-US"/>
        </w:rPr>
        <w:t>. The ACCC’s responsibilities under Part XIB include:</w:t>
      </w:r>
    </w:p>
    <w:p w14:paraId="4161D5A3" w14:textId="77777777" w:rsidR="0046793D" w:rsidRPr="009A2EB4" w:rsidRDefault="0046793D" w:rsidP="0046793D">
      <w:pPr>
        <w:pStyle w:val="ListBullet"/>
        <w:rPr>
          <w:rFonts w:eastAsia="SimSun"/>
          <w:lang w:eastAsia="en-US"/>
        </w:rPr>
      </w:pPr>
      <w:r w:rsidRPr="009A2EB4">
        <w:rPr>
          <w:rFonts w:eastAsia="SimSun"/>
          <w:lang w:eastAsia="en-US"/>
        </w:rPr>
        <w:t>investigating allegations of anti-competitive conduct</w:t>
      </w:r>
    </w:p>
    <w:p w14:paraId="614DAF52" w14:textId="77777777" w:rsidR="0046793D" w:rsidRPr="009A2EB4" w:rsidRDefault="0046793D" w:rsidP="0046793D">
      <w:pPr>
        <w:pStyle w:val="ListBullet"/>
        <w:rPr>
          <w:rFonts w:eastAsia="SimSun"/>
          <w:lang w:eastAsia="en-US"/>
        </w:rPr>
      </w:pPr>
      <w:r w:rsidRPr="009A2EB4">
        <w:rPr>
          <w:rFonts w:eastAsia="SimSun"/>
          <w:lang w:eastAsia="en-US"/>
        </w:rPr>
        <w:t>considering exemption applications for anti-competitive conduct</w:t>
      </w:r>
    </w:p>
    <w:p w14:paraId="7C4BC636" w14:textId="77777777" w:rsidR="0046793D" w:rsidRPr="009A2EB4" w:rsidRDefault="0046793D" w:rsidP="0046793D">
      <w:pPr>
        <w:pStyle w:val="ListBullet"/>
        <w:rPr>
          <w:rFonts w:eastAsia="SimSun"/>
          <w:lang w:eastAsia="en-US"/>
        </w:rPr>
      </w:pPr>
      <w:r w:rsidRPr="009A2EB4">
        <w:rPr>
          <w:rFonts w:eastAsia="SimSun"/>
          <w:lang w:eastAsia="en-US"/>
        </w:rPr>
        <w:t xml:space="preserve">reporting as part of </w:t>
      </w:r>
      <w:r w:rsidRPr="00043FDB">
        <w:rPr>
          <w:rFonts w:eastAsia="SimSun"/>
          <w:lang w:eastAsia="en-US"/>
        </w:rPr>
        <w:t xml:space="preserve">the </w:t>
      </w:r>
      <w:r w:rsidRPr="009A2EB4">
        <w:rPr>
          <w:rFonts w:eastAsia="SimSun"/>
          <w:lang w:eastAsia="en-US"/>
        </w:rPr>
        <w:t>mandatory and discretionary reporting requirements</w:t>
      </w:r>
    </w:p>
    <w:p w14:paraId="01FFF544" w14:textId="7C4D3A94" w:rsidR="0046793D" w:rsidRPr="009A2EB4" w:rsidRDefault="00936B69" w:rsidP="0046793D">
      <w:pPr>
        <w:pStyle w:val="ListBulletLast"/>
        <w:rPr>
          <w:rFonts w:eastAsia="SimSun"/>
          <w:lang w:eastAsia="en-US"/>
        </w:rPr>
      </w:pPr>
      <w:r>
        <w:rPr>
          <w:rFonts w:eastAsia="SimSun"/>
        </w:rPr>
        <w:t xml:space="preserve">monitoring </w:t>
      </w:r>
      <w:r w:rsidR="0046793D" w:rsidRPr="00144A3A">
        <w:rPr>
          <w:rFonts w:eastAsia="SimSun"/>
        </w:rPr>
        <w:t>industry</w:t>
      </w:r>
      <w:r w:rsidR="0046793D" w:rsidRPr="009A2EB4">
        <w:rPr>
          <w:rFonts w:eastAsia="SimSun"/>
          <w:lang w:eastAsia="en-US"/>
        </w:rPr>
        <w:t xml:space="preserve">, including the </w:t>
      </w:r>
      <w:r w:rsidR="0046793D">
        <w:rPr>
          <w:rFonts w:eastAsia="SimSun"/>
          <w:lang w:eastAsia="en-US"/>
        </w:rPr>
        <w:t xml:space="preserve">NBN Wholesale </w:t>
      </w:r>
      <w:r w:rsidR="004A3214">
        <w:rPr>
          <w:rFonts w:eastAsia="SimSun"/>
          <w:lang w:eastAsia="en-US"/>
        </w:rPr>
        <w:t>I</w:t>
      </w:r>
      <w:r w:rsidR="0046793D">
        <w:rPr>
          <w:rFonts w:eastAsia="SimSun"/>
          <w:lang w:eastAsia="en-US"/>
        </w:rPr>
        <w:t xml:space="preserve">ndicators Report, the Telstra Customer Access Network snapshot, the Telstra Economic Model reports, and </w:t>
      </w:r>
      <w:r w:rsidR="0046793D" w:rsidRPr="009A2EB4">
        <w:rPr>
          <w:rFonts w:eastAsia="SimSun"/>
          <w:lang w:eastAsia="en-US"/>
        </w:rPr>
        <w:t>Regulatory Accounting Framework.</w:t>
      </w:r>
    </w:p>
    <w:p w14:paraId="5370D7B1" w14:textId="39CD4643" w:rsidR="0046793D" w:rsidRPr="009A2EB4" w:rsidRDefault="0046793D" w:rsidP="0046793D">
      <w:pPr>
        <w:spacing w:after="80"/>
        <w:rPr>
          <w:rFonts w:cs="Arial"/>
          <w:iCs/>
          <w:lang w:eastAsia="en-US"/>
        </w:rPr>
      </w:pPr>
      <w:r w:rsidRPr="009A2EB4">
        <w:rPr>
          <w:rFonts w:cs="Arial"/>
          <w:iCs/>
          <w:szCs w:val="20"/>
          <w:lang w:eastAsia="en-US"/>
        </w:rPr>
        <w:t xml:space="preserve">The ACCC also has responsibilities under the </w:t>
      </w:r>
      <w:r w:rsidRPr="00B33282">
        <w:rPr>
          <w:rFonts w:cs="Arial"/>
          <w:iCs/>
          <w:szCs w:val="20"/>
          <w:lang w:eastAsia="en-US"/>
        </w:rPr>
        <w:t>Tel</w:t>
      </w:r>
      <w:r>
        <w:rPr>
          <w:rFonts w:cs="Arial"/>
          <w:iCs/>
          <w:szCs w:val="20"/>
          <w:lang w:eastAsia="en-US"/>
        </w:rPr>
        <w:t>co</w:t>
      </w:r>
      <w:r w:rsidRPr="00B33282">
        <w:rPr>
          <w:rFonts w:cs="Arial"/>
          <w:iCs/>
          <w:szCs w:val="20"/>
          <w:lang w:eastAsia="en-US"/>
        </w:rPr>
        <w:t xml:space="preserve"> Act</w:t>
      </w:r>
      <w:r w:rsidRPr="009A2EB4">
        <w:rPr>
          <w:rFonts w:cs="Arial"/>
          <w:iCs/>
          <w:szCs w:val="20"/>
          <w:lang w:eastAsia="en-US"/>
        </w:rPr>
        <w:t xml:space="preserve"> </w:t>
      </w:r>
      <w:r w:rsidR="002B5189">
        <w:rPr>
          <w:rFonts w:cs="Arial"/>
          <w:iCs/>
          <w:szCs w:val="20"/>
          <w:lang w:eastAsia="en-US"/>
        </w:rPr>
        <w:t>for</w:t>
      </w:r>
      <w:r w:rsidRPr="009A2EB4">
        <w:rPr>
          <w:rFonts w:cs="Arial"/>
          <w:iCs/>
          <w:szCs w:val="20"/>
          <w:lang w:eastAsia="en-US"/>
        </w:rPr>
        <w:t xml:space="preserve"> facilities access and structural reform. This includes </w:t>
      </w:r>
      <w:r w:rsidRPr="009A2EB4">
        <w:t>monitoring Telstra’s</w:t>
      </w:r>
      <w:r w:rsidRPr="009A2EB4">
        <w:rPr>
          <w:rFonts w:asciiTheme="minorHAnsi" w:hAnsiTheme="minorHAnsi"/>
          <w:iCs/>
          <w:sz w:val="24"/>
          <w:lang w:eastAsia="en-US"/>
        </w:rPr>
        <w:t xml:space="preserve"> </w:t>
      </w:r>
      <w:r w:rsidRPr="009A2EB4">
        <w:rPr>
          <w:rFonts w:cs="Arial"/>
          <w:iCs/>
          <w:lang w:eastAsia="en-US"/>
        </w:rPr>
        <w:t>compliance with its structural separation undertaking (SSU) and plan</w:t>
      </w:r>
      <w:r>
        <w:rPr>
          <w:rFonts w:cs="Arial"/>
          <w:iCs/>
          <w:lang w:eastAsia="en-US"/>
        </w:rPr>
        <w:t>ning</w:t>
      </w:r>
      <w:r w:rsidRPr="009A2EB4">
        <w:rPr>
          <w:rFonts w:cs="Arial"/>
          <w:iCs/>
          <w:lang w:eastAsia="en-US"/>
        </w:rPr>
        <w:t xml:space="preserve"> for migrating services to the NBN. As well as the ACCC’s specific statutory obligations, it also has resources dedicated to:</w:t>
      </w:r>
    </w:p>
    <w:p w14:paraId="2B0F7EAA" w14:textId="015B7D48" w:rsidR="0046793D" w:rsidRPr="009A2EB4" w:rsidRDefault="002B5189" w:rsidP="0046793D">
      <w:pPr>
        <w:pStyle w:val="ListBullet"/>
        <w:rPr>
          <w:rFonts w:eastAsia="SimSun"/>
          <w:lang w:eastAsia="en-US"/>
        </w:rPr>
      </w:pPr>
      <w:r>
        <w:rPr>
          <w:rFonts w:eastAsia="SimSun"/>
          <w:lang w:eastAsia="en-US"/>
        </w:rPr>
        <w:t xml:space="preserve">conducting </w:t>
      </w:r>
      <w:r w:rsidR="0046793D" w:rsidRPr="009A2EB4">
        <w:rPr>
          <w:rFonts w:eastAsia="SimSun"/>
          <w:lang w:eastAsia="en-US"/>
        </w:rPr>
        <w:t>market and competition analysis and investigations (especially under Part IV</w:t>
      </w:r>
      <w:r w:rsidR="0046793D">
        <w:rPr>
          <w:rFonts w:eastAsia="SimSun"/>
          <w:lang w:eastAsia="en-US"/>
        </w:rPr>
        <w:t xml:space="preserve"> of the </w:t>
      </w:r>
      <w:r w:rsidR="0046793D" w:rsidRPr="00395A41">
        <w:rPr>
          <w:rFonts w:eastAsia="SimSun"/>
          <w:lang w:eastAsia="en-US"/>
        </w:rPr>
        <w:t>Competition and Consumer Act</w:t>
      </w:r>
      <w:r w:rsidR="0046793D" w:rsidRPr="00AA0DBC">
        <w:rPr>
          <w:rFonts w:eastAsia="SimSun"/>
          <w:lang w:eastAsia="en-US"/>
        </w:rPr>
        <w:t>)</w:t>
      </w:r>
      <w:r w:rsidR="0046793D" w:rsidRPr="009A2EB4">
        <w:rPr>
          <w:rFonts w:eastAsia="SimSun"/>
          <w:lang w:eastAsia="en-US"/>
        </w:rPr>
        <w:t xml:space="preserve"> </w:t>
      </w:r>
      <w:r>
        <w:rPr>
          <w:rFonts w:eastAsia="SimSun"/>
          <w:lang w:eastAsia="en-US"/>
        </w:rPr>
        <w:t>for</w:t>
      </w:r>
      <w:r w:rsidR="0046793D" w:rsidRPr="009A2EB4">
        <w:rPr>
          <w:rFonts w:eastAsia="SimSun"/>
          <w:lang w:eastAsia="en-US"/>
        </w:rPr>
        <w:t xml:space="preserve"> content, media and application services delivered over communications networks</w:t>
      </w:r>
    </w:p>
    <w:p w14:paraId="0C7B16AE" w14:textId="77777777" w:rsidR="0046793D" w:rsidRPr="009A2EB4" w:rsidRDefault="0046793D" w:rsidP="0046793D">
      <w:pPr>
        <w:pStyle w:val="ListBullet"/>
        <w:rPr>
          <w:rFonts w:eastAsia="SimSun"/>
          <w:lang w:eastAsia="en-US"/>
        </w:rPr>
      </w:pPr>
      <w:r w:rsidRPr="005B6A50">
        <w:rPr>
          <w:rFonts w:eastAsia="SimSun"/>
          <w:lang w:eastAsia="en-US"/>
        </w:rPr>
        <w:t>considering engineering issues relevant to its statutory role in the communications sector</w:t>
      </w:r>
      <w:r w:rsidRPr="009A2EB4">
        <w:rPr>
          <w:rFonts w:eastAsia="SimSun"/>
          <w:lang w:eastAsia="en-US"/>
        </w:rPr>
        <w:t xml:space="preserve"> </w:t>
      </w:r>
    </w:p>
    <w:p w14:paraId="6921B94C" w14:textId="77777777" w:rsidR="0046793D" w:rsidRPr="009A2EB4" w:rsidRDefault="0046793D" w:rsidP="0046793D">
      <w:pPr>
        <w:pStyle w:val="ListBullet"/>
        <w:rPr>
          <w:rFonts w:eastAsia="SimSun"/>
          <w:lang w:eastAsia="en-US"/>
        </w:rPr>
      </w:pPr>
      <w:r w:rsidRPr="009A2EB4">
        <w:rPr>
          <w:rFonts w:eastAsia="SimSun"/>
          <w:lang w:eastAsia="en-US"/>
        </w:rPr>
        <w:t>advising other areas of the ACCC on implications of convergent technologies in the context of mergers, adjudication and enforcement activities</w:t>
      </w:r>
    </w:p>
    <w:p w14:paraId="4DCE7944" w14:textId="77777777" w:rsidR="0046793D" w:rsidRPr="009A2EB4" w:rsidRDefault="0046793D" w:rsidP="0046793D">
      <w:pPr>
        <w:pStyle w:val="ListBullet"/>
        <w:rPr>
          <w:rFonts w:eastAsia="SimSun"/>
          <w:lang w:eastAsia="en-US"/>
        </w:rPr>
      </w:pPr>
      <w:r w:rsidRPr="009A2EB4">
        <w:rPr>
          <w:rFonts w:eastAsia="SimSun"/>
          <w:lang w:eastAsia="en-US"/>
        </w:rPr>
        <w:t>formulating briefing material and submissions to major government reviews, such as inquiries regarding the NBN, Senate estimates and other public inquiries</w:t>
      </w:r>
    </w:p>
    <w:p w14:paraId="050F0BAF" w14:textId="77777777" w:rsidR="0046793D" w:rsidRDefault="0046793D" w:rsidP="0046793D">
      <w:pPr>
        <w:pStyle w:val="ListBulletLast"/>
        <w:rPr>
          <w:rFonts w:eastAsia="SimSun"/>
          <w:lang w:eastAsia="en-US"/>
        </w:rPr>
      </w:pPr>
      <w:r w:rsidRPr="009A2EB4">
        <w:rPr>
          <w:rFonts w:eastAsia="SimSun"/>
          <w:lang w:eastAsia="en-US"/>
        </w:rPr>
        <w:t>drafting speeches and public presentations for commissioners and senior managers.</w:t>
      </w:r>
    </w:p>
    <w:p w14:paraId="2D3FF438" w14:textId="50B54B5E" w:rsidR="0046793D" w:rsidRDefault="0046793D" w:rsidP="0046793D">
      <w:pPr>
        <w:rPr>
          <w:rFonts w:cs="Arial"/>
          <w:szCs w:val="20"/>
          <w:lang w:eastAsia="en-US"/>
        </w:rPr>
      </w:pPr>
      <w:r w:rsidRPr="007E73E2">
        <w:rPr>
          <w:rFonts w:cs="Arial"/>
          <w:szCs w:val="20"/>
          <w:lang w:eastAsia="en-US"/>
        </w:rPr>
        <w:t xml:space="preserve">The key communications outputs </w:t>
      </w:r>
      <w:r w:rsidR="002B5189">
        <w:rPr>
          <w:rFonts w:cs="Arial"/>
          <w:szCs w:val="20"/>
          <w:lang w:eastAsia="en-US"/>
        </w:rPr>
        <w:t>are outlined below.</w:t>
      </w:r>
    </w:p>
    <w:p w14:paraId="0988D24D" w14:textId="77777777" w:rsidR="0046793D" w:rsidRPr="007E73E2" w:rsidRDefault="0046793D" w:rsidP="0046793D">
      <w:pPr>
        <w:pStyle w:val="BodySubHeader"/>
        <w:rPr>
          <w:lang w:eastAsia="en-US"/>
        </w:rPr>
      </w:pPr>
      <w:r w:rsidRPr="007E73E2">
        <w:rPr>
          <w:lang w:eastAsia="en-US"/>
        </w:rPr>
        <w:t xml:space="preserve">Industry </w:t>
      </w:r>
      <w:r>
        <w:rPr>
          <w:lang w:eastAsia="en-US"/>
        </w:rPr>
        <w:t>s</w:t>
      </w:r>
      <w:r w:rsidRPr="007E73E2">
        <w:rPr>
          <w:lang w:eastAsia="en-US"/>
        </w:rPr>
        <w:t>truc</w:t>
      </w:r>
      <w:r>
        <w:rPr>
          <w:lang w:eastAsia="en-US"/>
        </w:rPr>
        <w:t>ture and</w:t>
      </w:r>
      <w:r w:rsidRPr="007E73E2">
        <w:rPr>
          <w:lang w:eastAsia="en-US"/>
        </w:rPr>
        <w:t xml:space="preserve"> </w:t>
      </w:r>
      <w:r>
        <w:rPr>
          <w:lang w:eastAsia="en-US"/>
        </w:rPr>
        <w:t>c</w:t>
      </w:r>
      <w:r w:rsidRPr="007E73E2">
        <w:rPr>
          <w:lang w:eastAsia="en-US"/>
        </w:rPr>
        <w:t>ompliance</w:t>
      </w:r>
    </w:p>
    <w:p w14:paraId="60F89229" w14:textId="1D9E5389" w:rsidR="0046793D" w:rsidRPr="005223C0" w:rsidRDefault="002B5189" w:rsidP="0046793D">
      <w:pPr>
        <w:pStyle w:val="ListBullet"/>
        <w:rPr>
          <w:rFonts w:eastAsia="SimSun"/>
          <w:lang w:eastAsia="en-US"/>
        </w:rPr>
      </w:pPr>
      <w:r>
        <w:rPr>
          <w:rFonts w:eastAsia="SimSun"/>
          <w:lang w:eastAsia="en-US"/>
        </w:rPr>
        <w:t>c</w:t>
      </w:r>
      <w:r w:rsidR="0046793D" w:rsidRPr="005223C0">
        <w:rPr>
          <w:rFonts w:eastAsia="SimSun"/>
          <w:lang w:eastAsia="en-US"/>
        </w:rPr>
        <w:t>ommencing a market study to examine consumer and competition issues in the communication sector as it undergoes a fundamental change with the rollout of the NBN and new technologies</w:t>
      </w:r>
    </w:p>
    <w:p w14:paraId="3B0C25F5" w14:textId="02D6D748" w:rsidR="0046793D" w:rsidRPr="005223C0" w:rsidRDefault="002B5189" w:rsidP="0046793D">
      <w:pPr>
        <w:pStyle w:val="ListBullet"/>
        <w:rPr>
          <w:rFonts w:eastAsia="SimSun"/>
          <w:lang w:eastAsia="en-US"/>
        </w:rPr>
      </w:pPr>
      <w:r>
        <w:rPr>
          <w:rFonts w:eastAsia="SimSun"/>
          <w:lang w:eastAsia="en-US"/>
        </w:rPr>
        <w:t>r</w:t>
      </w:r>
      <w:r w:rsidR="0046793D" w:rsidRPr="005223C0">
        <w:rPr>
          <w:rFonts w:eastAsia="SimSun"/>
          <w:lang w:eastAsia="en-US"/>
        </w:rPr>
        <w:t xml:space="preserve">eporting </w:t>
      </w:r>
      <w:r>
        <w:rPr>
          <w:rFonts w:eastAsia="SimSun"/>
          <w:lang w:eastAsia="en-US"/>
        </w:rPr>
        <w:t xml:space="preserve">annually </w:t>
      </w:r>
      <w:r w:rsidR="0046793D" w:rsidRPr="005223C0">
        <w:rPr>
          <w:rFonts w:eastAsia="SimSun"/>
          <w:lang w:eastAsia="en-US"/>
        </w:rPr>
        <w:t xml:space="preserve">to the </w:t>
      </w:r>
      <w:r w:rsidR="0046793D" w:rsidRPr="00120B54">
        <w:rPr>
          <w:rFonts w:eastAsia="SimSun"/>
          <w:lang w:eastAsia="en-US"/>
        </w:rPr>
        <w:t>Minister for Communications and the Arts</w:t>
      </w:r>
      <w:r w:rsidR="0046793D" w:rsidRPr="005223C0">
        <w:rPr>
          <w:rFonts w:eastAsia="SimSun"/>
          <w:lang w:eastAsia="en-US"/>
        </w:rPr>
        <w:t xml:space="preserve"> on Telstra’s compliance with its SSU, while</w:t>
      </w:r>
      <w:r w:rsidR="0046793D" w:rsidRPr="005223C0">
        <w:rPr>
          <w:rFonts w:eastAsia="SimSun"/>
          <w:i/>
          <w:iCs/>
          <w:lang w:eastAsia="en-US"/>
        </w:rPr>
        <w:t xml:space="preserve"> </w:t>
      </w:r>
      <w:r w:rsidR="0046793D" w:rsidRPr="005223C0">
        <w:rPr>
          <w:rFonts w:eastAsia="SimSun"/>
          <w:lang w:eastAsia="en-US"/>
        </w:rPr>
        <w:t>continuing to monitor Telstra’s compliance with the SSU and investigating potential breaches of the SSU by Telstra</w:t>
      </w:r>
      <w:r>
        <w:rPr>
          <w:rFonts w:eastAsia="SimSun"/>
          <w:lang w:eastAsia="en-US"/>
        </w:rPr>
        <w:t>, including</w:t>
      </w:r>
      <w:r w:rsidR="0046793D" w:rsidRPr="005223C0">
        <w:rPr>
          <w:rFonts w:eastAsia="SimSun"/>
          <w:lang w:eastAsia="en-US"/>
        </w:rPr>
        <w:t xml:space="preserve"> </w:t>
      </w:r>
      <w:r>
        <w:rPr>
          <w:rFonts w:eastAsia="SimSun"/>
          <w:lang w:eastAsia="en-US"/>
        </w:rPr>
        <w:t xml:space="preserve">an </w:t>
      </w:r>
      <w:r w:rsidR="0046793D" w:rsidRPr="005223C0">
        <w:rPr>
          <w:rFonts w:eastAsia="SimSun"/>
          <w:lang w:eastAsia="en-US"/>
        </w:rPr>
        <w:t>audit</w:t>
      </w:r>
      <w:r>
        <w:rPr>
          <w:rFonts w:eastAsia="SimSun"/>
          <w:lang w:eastAsia="en-US"/>
        </w:rPr>
        <w:t xml:space="preserve"> i</w:t>
      </w:r>
      <w:r w:rsidRPr="005223C0">
        <w:rPr>
          <w:rFonts w:eastAsia="SimSun"/>
          <w:lang w:eastAsia="en-US"/>
        </w:rPr>
        <w:t>n 2016</w:t>
      </w:r>
      <w:r>
        <w:rPr>
          <w:rFonts w:eastAsia="SimSun"/>
          <w:lang w:eastAsia="en-US"/>
        </w:rPr>
        <w:t xml:space="preserve">–17 </w:t>
      </w:r>
      <w:r w:rsidR="0046793D" w:rsidRPr="005223C0">
        <w:rPr>
          <w:rFonts w:eastAsia="SimSun"/>
          <w:lang w:eastAsia="en-US"/>
        </w:rPr>
        <w:t>of Telstra’s remediation of IT systems to safeguard against its previously reported information security concerns</w:t>
      </w:r>
    </w:p>
    <w:p w14:paraId="5C18F388" w14:textId="3054A8A3" w:rsidR="0046793D" w:rsidRPr="008A4599" w:rsidRDefault="002B5189" w:rsidP="0046793D">
      <w:pPr>
        <w:pStyle w:val="ListBullet"/>
        <w:rPr>
          <w:rFonts w:eastAsia="SimSun"/>
          <w:lang w:eastAsia="en-US"/>
        </w:rPr>
      </w:pPr>
      <w:r>
        <w:rPr>
          <w:rFonts w:eastAsia="SimSun"/>
          <w:lang w:eastAsia="en-US"/>
        </w:rPr>
        <w:t>i</w:t>
      </w:r>
      <w:r w:rsidR="0046793D" w:rsidRPr="008A4599">
        <w:rPr>
          <w:rFonts w:eastAsia="SimSun"/>
          <w:lang w:eastAsia="en-US"/>
        </w:rPr>
        <w:t xml:space="preserve">ssuing annual telecommunications report, </w:t>
      </w:r>
      <w:r w:rsidR="0046793D" w:rsidRPr="0031688A">
        <w:rPr>
          <w:rFonts w:eastAsia="SimSun"/>
          <w:i/>
          <w:lang w:eastAsia="en-US"/>
        </w:rPr>
        <w:t>Competition in the Australian telecommunications sector 2</w:t>
      </w:r>
      <w:r w:rsidR="00523DCE" w:rsidRPr="0031688A">
        <w:rPr>
          <w:rFonts w:eastAsia="SimSun"/>
          <w:i/>
          <w:lang w:eastAsia="en-US"/>
        </w:rPr>
        <w:t>016</w:t>
      </w:r>
      <w:r w:rsidR="0046793D" w:rsidRPr="0031688A">
        <w:rPr>
          <w:rFonts w:eastAsia="SimSun"/>
          <w:i/>
          <w:lang w:eastAsia="en-US"/>
        </w:rPr>
        <w:t>–1</w:t>
      </w:r>
      <w:r w:rsidR="00523DCE" w:rsidRPr="0031688A">
        <w:rPr>
          <w:rFonts w:eastAsia="SimSun"/>
          <w:i/>
          <w:lang w:eastAsia="en-US"/>
        </w:rPr>
        <w:t>7</w:t>
      </w:r>
    </w:p>
    <w:p w14:paraId="444385D8" w14:textId="11F39BF2" w:rsidR="0046793D" w:rsidRPr="005223C0" w:rsidRDefault="002B5189" w:rsidP="0046793D">
      <w:pPr>
        <w:pStyle w:val="ListBullet"/>
        <w:rPr>
          <w:rFonts w:eastAsia="SimSun"/>
          <w:lang w:eastAsia="en-US"/>
        </w:rPr>
      </w:pPr>
      <w:r>
        <w:rPr>
          <w:rFonts w:eastAsia="SimSun"/>
          <w:lang w:eastAsia="en-US"/>
        </w:rPr>
        <w:t>i</w:t>
      </w:r>
      <w:r w:rsidR="0046793D" w:rsidRPr="008A4599">
        <w:rPr>
          <w:rFonts w:eastAsia="SimSun"/>
          <w:lang w:eastAsia="en-US"/>
        </w:rPr>
        <w:t xml:space="preserve">mproving marketing practices for broadband services to </w:t>
      </w:r>
      <w:r>
        <w:rPr>
          <w:rFonts w:eastAsia="SimSun"/>
          <w:lang w:eastAsia="en-US"/>
        </w:rPr>
        <w:t>promote</w:t>
      </w:r>
      <w:r w:rsidRPr="008A4599">
        <w:rPr>
          <w:rFonts w:eastAsia="SimSun"/>
          <w:lang w:eastAsia="en-US"/>
        </w:rPr>
        <w:t xml:space="preserve"> </w:t>
      </w:r>
      <w:r w:rsidR="0046793D" w:rsidRPr="008A4599">
        <w:rPr>
          <w:rFonts w:eastAsia="SimSun"/>
          <w:lang w:eastAsia="en-US"/>
        </w:rPr>
        <w:t xml:space="preserve">compliance with Australian Consumer Law and </w:t>
      </w:r>
      <w:r w:rsidRPr="008A4599">
        <w:rPr>
          <w:rFonts w:eastAsia="SimSun"/>
          <w:lang w:eastAsia="en-US"/>
        </w:rPr>
        <w:t>encourag</w:t>
      </w:r>
      <w:r>
        <w:rPr>
          <w:rFonts w:eastAsia="SimSun"/>
          <w:lang w:eastAsia="en-US"/>
        </w:rPr>
        <w:t>e</w:t>
      </w:r>
      <w:r w:rsidRPr="008A4599">
        <w:rPr>
          <w:rFonts w:eastAsia="SimSun"/>
          <w:lang w:eastAsia="en-US"/>
        </w:rPr>
        <w:t xml:space="preserve"> </w:t>
      </w:r>
      <w:r w:rsidR="0046793D" w:rsidRPr="008A4599">
        <w:rPr>
          <w:rFonts w:eastAsia="SimSun"/>
          <w:lang w:eastAsia="en-US"/>
        </w:rPr>
        <w:t>more informed</w:t>
      </w:r>
      <w:r w:rsidR="0046793D" w:rsidRPr="005223C0">
        <w:rPr>
          <w:rFonts w:eastAsia="SimSun"/>
          <w:lang w:eastAsia="en-US"/>
        </w:rPr>
        <w:t xml:space="preserve"> communications markets. In 2016–17, this included running a public inquiry, issuing principles, running a tender for a testing services provider for a broadband performance monitoring program and investigating false and misleading speed claims</w:t>
      </w:r>
    </w:p>
    <w:p w14:paraId="6D727659" w14:textId="39CD2D8F" w:rsidR="0046793D" w:rsidRPr="005223C0" w:rsidRDefault="002B5189" w:rsidP="0046793D">
      <w:pPr>
        <w:pStyle w:val="ListBullet"/>
        <w:rPr>
          <w:rFonts w:eastAsia="SimSun"/>
          <w:lang w:eastAsia="en-US"/>
        </w:rPr>
      </w:pPr>
      <w:r>
        <w:rPr>
          <w:rFonts w:eastAsia="SimSun"/>
          <w:lang w:eastAsia="en-US"/>
        </w:rPr>
        <w:t>p</w:t>
      </w:r>
      <w:r w:rsidR="0046793D" w:rsidRPr="005223C0">
        <w:rPr>
          <w:rFonts w:eastAsia="SimSun"/>
          <w:lang w:eastAsia="en-US"/>
        </w:rPr>
        <w:t xml:space="preserve">roviding advice to other government agencies and departments on request </w:t>
      </w:r>
      <w:r w:rsidR="00CD6F7A">
        <w:rPr>
          <w:rFonts w:eastAsia="SimSun"/>
          <w:lang w:eastAsia="en-US"/>
        </w:rPr>
        <w:t>about</w:t>
      </w:r>
      <w:r w:rsidR="00CD6F7A" w:rsidRPr="005223C0">
        <w:rPr>
          <w:rFonts w:eastAsia="SimSun"/>
          <w:lang w:eastAsia="en-US"/>
        </w:rPr>
        <w:t xml:space="preserve"> </w:t>
      </w:r>
      <w:r w:rsidR="0046793D" w:rsidRPr="005223C0">
        <w:rPr>
          <w:rFonts w:eastAsia="SimSun"/>
          <w:lang w:eastAsia="en-US"/>
        </w:rPr>
        <w:t>competition issues arising from restructuring the communications sector towards a wholesale-only access model</w:t>
      </w:r>
    </w:p>
    <w:p w14:paraId="5B332E17" w14:textId="01488708" w:rsidR="0046793D" w:rsidRPr="005223C0" w:rsidRDefault="00CD6F7A" w:rsidP="0046793D">
      <w:pPr>
        <w:pStyle w:val="ListBullet"/>
        <w:spacing w:after="120"/>
        <w:rPr>
          <w:rFonts w:eastAsia="SimSun"/>
          <w:lang w:eastAsia="en-US"/>
        </w:rPr>
      </w:pPr>
      <w:r>
        <w:rPr>
          <w:rFonts w:eastAsia="SimSun"/>
          <w:lang w:eastAsia="en-US"/>
        </w:rPr>
        <w:t>undertaking c</w:t>
      </w:r>
      <w:r w:rsidR="0046793D" w:rsidRPr="005223C0">
        <w:rPr>
          <w:rFonts w:eastAsia="SimSun"/>
          <w:lang w:eastAsia="en-US"/>
        </w:rPr>
        <w:t xml:space="preserve">ompliance and enforcement </w:t>
      </w:r>
      <w:r>
        <w:rPr>
          <w:rFonts w:eastAsia="SimSun"/>
          <w:lang w:eastAsia="en-US"/>
        </w:rPr>
        <w:t xml:space="preserve">activities </w:t>
      </w:r>
      <w:r w:rsidR="0046793D" w:rsidRPr="005223C0">
        <w:rPr>
          <w:rFonts w:eastAsia="SimSun"/>
          <w:lang w:eastAsia="en-US"/>
        </w:rPr>
        <w:t>regarding the Competition and Consumer Act</w:t>
      </w:r>
      <w:r w:rsidR="0046793D" w:rsidRPr="005223C0">
        <w:rPr>
          <w:rFonts w:eastAsia="SimSun"/>
          <w:i/>
          <w:lang w:eastAsia="en-US"/>
        </w:rPr>
        <w:t xml:space="preserve"> </w:t>
      </w:r>
      <w:r w:rsidR="0046793D" w:rsidRPr="005223C0">
        <w:rPr>
          <w:rFonts w:eastAsia="SimSun"/>
          <w:lang w:eastAsia="en-US"/>
        </w:rPr>
        <w:t>and wholesale telecommunications markets (Part IV, Part XIB, NBN SAU and Telstra SSU)</w:t>
      </w:r>
      <w:r>
        <w:rPr>
          <w:rFonts w:eastAsia="SimSun"/>
          <w:lang w:eastAsia="en-US"/>
        </w:rPr>
        <w:t xml:space="preserve">, which </w:t>
      </w:r>
      <w:r w:rsidR="0046793D" w:rsidRPr="005223C0">
        <w:rPr>
          <w:rFonts w:eastAsia="SimSun"/>
          <w:lang w:eastAsia="en-US"/>
        </w:rPr>
        <w:t>included establishing a monitoring regime</w:t>
      </w:r>
      <w:r>
        <w:rPr>
          <w:rFonts w:eastAsia="SimSun"/>
          <w:lang w:eastAsia="en-US"/>
        </w:rPr>
        <w:t xml:space="preserve"> i</w:t>
      </w:r>
      <w:r w:rsidRPr="005223C0">
        <w:rPr>
          <w:rFonts w:eastAsia="SimSun"/>
          <w:lang w:eastAsia="en-US"/>
        </w:rPr>
        <w:t>n 201</w:t>
      </w:r>
      <w:r>
        <w:rPr>
          <w:rFonts w:eastAsia="SimSun"/>
          <w:lang w:eastAsia="en-US"/>
        </w:rPr>
        <w:t>6</w:t>
      </w:r>
      <w:r w:rsidRPr="005223C0">
        <w:rPr>
          <w:rFonts w:eastAsia="SimSun"/>
          <w:lang w:eastAsia="en-US"/>
        </w:rPr>
        <w:t>–1</w:t>
      </w:r>
      <w:r>
        <w:rPr>
          <w:rFonts w:eastAsia="SimSun"/>
          <w:lang w:eastAsia="en-US"/>
        </w:rPr>
        <w:t>7</w:t>
      </w:r>
      <w:r w:rsidRPr="005223C0">
        <w:rPr>
          <w:rFonts w:eastAsia="SimSun"/>
          <w:lang w:eastAsia="en-US"/>
        </w:rPr>
        <w:t xml:space="preserve">, </w:t>
      </w:r>
      <w:r w:rsidR="0046793D" w:rsidRPr="005223C0">
        <w:rPr>
          <w:rFonts w:eastAsia="SimSun"/>
          <w:lang w:eastAsia="en-US"/>
        </w:rPr>
        <w:t>concerning Telstra’s role as a service delivery partner to NBN Co</w:t>
      </w:r>
      <w:r w:rsidR="00073FCE">
        <w:rPr>
          <w:rFonts w:eastAsia="SimSun"/>
          <w:lang w:eastAsia="en-US"/>
        </w:rPr>
        <w:t xml:space="preserve"> Limited (NBN Co)</w:t>
      </w:r>
    </w:p>
    <w:p w14:paraId="557C08A3" w14:textId="3E8E2A2F" w:rsidR="0046793D" w:rsidRPr="005223C0" w:rsidRDefault="00CD6F7A" w:rsidP="0046793D">
      <w:pPr>
        <w:pStyle w:val="ListBullet"/>
        <w:spacing w:after="120"/>
        <w:rPr>
          <w:rFonts w:eastAsia="SimSun"/>
          <w:lang w:eastAsia="en-US"/>
        </w:rPr>
      </w:pPr>
      <w:r>
        <w:rPr>
          <w:rFonts w:eastAsia="SimSun"/>
          <w:lang w:eastAsia="en-US"/>
        </w:rPr>
        <w:t>c</w:t>
      </w:r>
      <w:r w:rsidR="0046793D" w:rsidRPr="005223C0">
        <w:rPr>
          <w:rFonts w:eastAsia="SimSun"/>
          <w:lang w:eastAsia="en-US"/>
        </w:rPr>
        <w:t>onsult</w:t>
      </w:r>
      <w:r>
        <w:rPr>
          <w:rFonts w:eastAsia="SimSun"/>
          <w:lang w:eastAsia="en-US"/>
        </w:rPr>
        <w:t>ing</w:t>
      </w:r>
      <w:r w:rsidR="0046793D" w:rsidRPr="005223C0">
        <w:rPr>
          <w:rFonts w:eastAsia="SimSun"/>
          <w:lang w:eastAsia="en-US"/>
        </w:rPr>
        <w:t xml:space="preserve"> and </w:t>
      </w:r>
      <w:r w:rsidRPr="005223C0">
        <w:rPr>
          <w:rFonts w:eastAsia="SimSun"/>
          <w:lang w:eastAsia="en-US"/>
        </w:rPr>
        <w:t>engag</w:t>
      </w:r>
      <w:r>
        <w:rPr>
          <w:rFonts w:eastAsia="SimSun"/>
          <w:lang w:eastAsia="en-US"/>
        </w:rPr>
        <w:t xml:space="preserve">ing with industry </w:t>
      </w:r>
      <w:r w:rsidR="0046793D" w:rsidRPr="005223C0">
        <w:rPr>
          <w:rFonts w:eastAsia="SimSun"/>
          <w:lang w:eastAsia="en-US"/>
        </w:rPr>
        <w:t>on a range of regulatory matters, including variations and additions to the Telstra Migration Plan</w:t>
      </w:r>
    </w:p>
    <w:p w14:paraId="12643EB8" w14:textId="6EF51A53" w:rsidR="0046793D" w:rsidRPr="005223C0" w:rsidRDefault="00CD6F7A" w:rsidP="0046793D">
      <w:pPr>
        <w:pStyle w:val="ListBullet"/>
        <w:spacing w:after="240"/>
        <w:rPr>
          <w:rFonts w:eastAsia="SimSun"/>
          <w:lang w:eastAsia="en-US"/>
        </w:rPr>
      </w:pPr>
      <w:r>
        <w:rPr>
          <w:rFonts w:eastAsia="SimSun"/>
          <w:lang w:eastAsia="en-US"/>
        </w:rPr>
        <w:t>p</w:t>
      </w:r>
      <w:r w:rsidRPr="005223C0">
        <w:rPr>
          <w:rFonts w:eastAsia="SimSun"/>
          <w:lang w:eastAsia="en-US"/>
        </w:rPr>
        <w:t>articipati</w:t>
      </w:r>
      <w:r>
        <w:rPr>
          <w:rFonts w:eastAsia="SimSun"/>
          <w:lang w:eastAsia="en-US"/>
        </w:rPr>
        <w:t>ng</w:t>
      </w:r>
      <w:r w:rsidRPr="005223C0">
        <w:rPr>
          <w:rFonts w:eastAsia="SimSun"/>
          <w:lang w:eastAsia="en-US"/>
        </w:rPr>
        <w:t xml:space="preserve"> </w:t>
      </w:r>
      <w:r w:rsidR="0046793D" w:rsidRPr="005223C0">
        <w:rPr>
          <w:rFonts w:eastAsia="SimSun"/>
          <w:lang w:eastAsia="en-US"/>
        </w:rPr>
        <w:t>in a number of industry-led working groups and forums with important implications for competition and consumer outcomes.</w:t>
      </w:r>
    </w:p>
    <w:p w14:paraId="2AC6C2BB" w14:textId="77777777" w:rsidR="00156B53" w:rsidRPr="007E73E2" w:rsidRDefault="00156B53" w:rsidP="00156B53">
      <w:pPr>
        <w:pStyle w:val="BodySubHeader"/>
        <w:rPr>
          <w:lang w:eastAsia="en-US"/>
        </w:rPr>
      </w:pPr>
      <w:r w:rsidRPr="007E73E2">
        <w:rPr>
          <w:lang w:eastAsia="en-US"/>
        </w:rPr>
        <w:t xml:space="preserve">Mobiles, </w:t>
      </w:r>
      <w:r>
        <w:rPr>
          <w:lang w:eastAsia="en-US"/>
        </w:rPr>
        <w:t>t</w:t>
      </w:r>
      <w:r w:rsidRPr="007E73E2">
        <w:rPr>
          <w:lang w:eastAsia="en-US"/>
        </w:rPr>
        <w:t xml:space="preserve">ransmission and </w:t>
      </w:r>
      <w:r>
        <w:rPr>
          <w:lang w:eastAsia="en-US"/>
        </w:rPr>
        <w:t>c</w:t>
      </w:r>
      <w:r w:rsidRPr="007E73E2">
        <w:rPr>
          <w:lang w:eastAsia="en-US"/>
        </w:rPr>
        <w:t>onsumer (including NBN)</w:t>
      </w:r>
    </w:p>
    <w:p w14:paraId="26294804" w14:textId="2E6B5F1F" w:rsidR="00156B53" w:rsidRPr="007E73E2" w:rsidRDefault="00CD6F7A" w:rsidP="00156B53">
      <w:pPr>
        <w:pStyle w:val="ListBullet"/>
        <w:rPr>
          <w:rFonts w:eastAsia="SimSun"/>
          <w:lang w:eastAsia="en-US"/>
        </w:rPr>
      </w:pPr>
      <w:r>
        <w:rPr>
          <w:rFonts w:eastAsia="SimSun"/>
          <w:lang w:eastAsia="en-US"/>
        </w:rPr>
        <w:t>m</w:t>
      </w:r>
      <w:r w:rsidR="00156B53" w:rsidRPr="007E73E2">
        <w:rPr>
          <w:rFonts w:eastAsia="SimSun"/>
          <w:lang w:eastAsia="en-US"/>
        </w:rPr>
        <w:t>onitoring NBN Co’s compliance with, and performing other functions under NBN Co’s SAU (given by NBN Co and accepted by the ACCC in late 2013)</w:t>
      </w:r>
      <w:r w:rsidR="00156B53">
        <w:rPr>
          <w:rFonts w:eastAsia="SimSun"/>
          <w:lang w:eastAsia="en-US"/>
        </w:rPr>
        <w:t>,</w:t>
      </w:r>
      <w:r w:rsidR="00156B53" w:rsidRPr="007E73E2">
        <w:rPr>
          <w:rFonts w:eastAsia="SimSun"/>
          <w:lang w:eastAsia="en-US"/>
        </w:rPr>
        <w:t xml:space="preserve"> which sets out price and non-price terms of access to the NBN</w:t>
      </w:r>
    </w:p>
    <w:p w14:paraId="18BC9141" w14:textId="1E60B788" w:rsidR="00156B53" w:rsidRDefault="00CD6F7A" w:rsidP="00156B53">
      <w:pPr>
        <w:pStyle w:val="ListBullet"/>
        <w:rPr>
          <w:rFonts w:eastAsia="SimSun"/>
          <w:lang w:eastAsia="en-US"/>
        </w:rPr>
      </w:pPr>
      <w:r>
        <w:rPr>
          <w:rFonts w:eastAsia="SimSun"/>
          <w:lang w:eastAsia="en-US"/>
        </w:rPr>
        <w:t>a</w:t>
      </w:r>
      <w:r w:rsidR="00156B53">
        <w:rPr>
          <w:rFonts w:eastAsia="SimSun"/>
          <w:lang w:eastAsia="en-US"/>
        </w:rPr>
        <w:t xml:space="preserve">ssessing </w:t>
      </w:r>
      <w:r w:rsidR="00156B53" w:rsidRPr="00896449">
        <w:rPr>
          <w:rFonts w:eastAsia="SimSun"/>
          <w:lang w:eastAsia="en-US"/>
        </w:rPr>
        <w:t>a variation proposed by NBN Co to the SAU accepted by the ACCC in</w:t>
      </w:r>
      <w:r w:rsidR="00156B53">
        <w:rPr>
          <w:rFonts w:eastAsia="SimSun"/>
          <w:lang w:eastAsia="en-US"/>
        </w:rPr>
        <w:t> </w:t>
      </w:r>
      <w:r w:rsidR="00156B53" w:rsidRPr="00896449">
        <w:rPr>
          <w:rFonts w:eastAsia="SimSun"/>
          <w:lang w:eastAsia="en-US"/>
        </w:rPr>
        <w:t>2013</w:t>
      </w:r>
      <w:r w:rsidR="00156B53">
        <w:rPr>
          <w:rFonts w:eastAsia="SimSun"/>
          <w:lang w:eastAsia="en-US"/>
        </w:rPr>
        <w:t xml:space="preserve"> and issuing a draft decision</w:t>
      </w:r>
    </w:p>
    <w:p w14:paraId="151D2F40" w14:textId="289789E3" w:rsidR="00156B53" w:rsidRDefault="00CD6F7A" w:rsidP="00156B53">
      <w:pPr>
        <w:pStyle w:val="ListBullet"/>
        <w:rPr>
          <w:rFonts w:eastAsia="SimSun"/>
          <w:lang w:eastAsia="en-US"/>
        </w:rPr>
      </w:pPr>
      <w:r>
        <w:rPr>
          <w:rFonts w:eastAsia="SimSun"/>
          <w:lang w:eastAsia="en-US"/>
        </w:rPr>
        <w:t>a</w:t>
      </w:r>
      <w:r w:rsidR="00156B53">
        <w:rPr>
          <w:rFonts w:eastAsia="SimSun"/>
          <w:lang w:eastAsia="en-US"/>
        </w:rPr>
        <w:t>ssessing a further variation proposed by NBN Co to the SAU and NBN pricing issues</w:t>
      </w:r>
    </w:p>
    <w:p w14:paraId="1BAA6C6A" w14:textId="659D3FBB" w:rsidR="00156B53" w:rsidRDefault="00CD6F7A" w:rsidP="00156B53">
      <w:pPr>
        <w:pStyle w:val="ListBullet"/>
        <w:rPr>
          <w:rFonts w:eastAsia="SimSun"/>
          <w:lang w:eastAsia="en-US"/>
        </w:rPr>
      </w:pPr>
      <w:r>
        <w:rPr>
          <w:rFonts w:eastAsia="SimSun"/>
          <w:lang w:eastAsia="en-US"/>
        </w:rPr>
        <w:t>i</w:t>
      </w:r>
      <w:r w:rsidR="00156B53" w:rsidRPr="007E73E2">
        <w:rPr>
          <w:rFonts w:eastAsia="SimSun"/>
          <w:lang w:eastAsia="en-US"/>
        </w:rPr>
        <w:t>ssuing final determinations on the NBN Co SAU annual revenue determination (Long Term Revenue Constraint Methodology determination) for 201</w:t>
      </w:r>
      <w:r w:rsidR="008A4599">
        <w:rPr>
          <w:rFonts w:eastAsia="SimSun"/>
          <w:lang w:eastAsia="en-US"/>
        </w:rPr>
        <w:t>6</w:t>
      </w:r>
      <w:r w:rsidR="00156B53">
        <w:rPr>
          <w:rFonts w:eastAsia="SimSun"/>
          <w:lang w:eastAsia="en-US"/>
        </w:rPr>
        <w:t>–</w:t>
      </w:r>
      <w:r w:rsidR="00156B53" w:rsidRPr="007E73E2">
        <w:rPr>
          <w:rFonts w:eastAsia="SimSun"/>
          <w:lang w:eastAsia="en-US"/>
        </w:rPr>
        <w:t>1</w:t>
      </w:r>
      <w:r w:rsidR="008A4599">
        <w:rPr>
          <w:rFonts w:eastAsia="SimSun"/>
          <w:lang w:eastAsia="en-US"/>
        </w:rPr>
        <w:t>7</w:t>
      </w:r>
    </w:p>
    <w:p w14:paraId="740DE0E4" w14:textId="5CA2D8CD" w:rsidR="00156B53" w:rsidRDefault="00CD6F7A" w:rsidP="00156B53">
      <w:pPr>
        <w:pStyle w:val="ListBullet"/>
        <w:rPr>
          <w:rFonts w:eastAsia="SimSun"/>
          <w:lang w:eastAsia="en-US"/>
        </w:rPr>
      </w:pPr>
      <w:r>
        <w:rPr>
          <w:rFonts w:eastAsia="SimSun"/>
          <w:lang w:eastAsia="en-US"/>
        </w:rPr>
        <w:t xml:space="preserve">undertaking </w:t>
      </w:r>
      <w:r w:rsidR="00156B53" w:rsidRPr="007E73E2">
        <w:rPr>
          <w:rFonts w:eastAsia="SimSun"/>
          <w:lang w:eastAsia="en-US"/>
        </w:rPr>
        <w:t>NBN pricing and SAU financial/pricing compliance</w:t>
      </w:r>
    </w:p>
    <w:p w14:paraId="5379887B" w14:textId="10034431" w:rsidR="00156B53" w:rsidRPr="007E73E2" w:rsidRDefault="00CD6F7A" w:rsidP="00156B53">
      <w:pPr>
        <w:pStyle w:val="ListBullet"/>
        <w:rPr>
          <w:rFonts w:eastAsia="SimSun"/>
          <w:lang w:eastAsia="en-US"/>
        </w:rPr>
      </w:pPr>
      <w:r>
        <w:rPr>
          <w:rFonts w:eastAsia="SimSun"/>
          <w:lang w:eastAsia="en-US"/>
        </w:rPr>
        <w:t>p</w:t>
      </w:r>
      <w:r w:rsidR="00156B53" w:rsidRPr="007E73E2">
        <w:rPr>
          <w:rFonts w:eastAsia="SimSun"/>
          <w:lang w:eastAsia="en-US"/>
        </w:rPr>
        <w:t>roviding advice to other areas on matters such as mergers or authorisation applications</w:t>
      </w:r>
      <w:r w:rsidR="00156B53">
        <w:rPr>
          <w:rFonts w:eastAsia="SimSun"/>
          <w:lang w:eastAsia="en-US"/>
        </w:rPr>
        <w:t xml:space="preserve"> relating to transmission markets and compliance and consumer matters relating to NBN</w:t>
      </w:r>
    </w:p>
    <w:p w14:paraId="7875C80C" w14:textId="260D32B4" w:rsidR="00156B53" w:rsidRDefault="00CD6F7A" w:rsidP="00156B53">
      <w:pPr>
        <w:pStyle w:val="ListBullet"/>
        <w:rPr>
          <w:rFonts w:eastAsia="SimSun"/>
          <w:lang w:eastAsia="en-US"/>
        </w:rPr>
      </w:pPr>
      <w:r>
        <w:rPr>
          <w:rFonts w:eastAsia="SimSun"/>
          <w:lang w:eastAsia="en-US"/>
        </w:rPr>
        <w:t>u</w:t>
      </w:r>
      <w:r w:rsidR="00156B53">
        <w:rPr>
          <w:rFonts w:eastAsia="SimSun"/>
          <w:lang w:eastAsia="en-US"/>
        </w:rPr>
        <w:t>ndertaking an inquiry about whether to declare a domestic mobile roaming access service</w:t>
      </w:r>
    </w:p>
    <w:p w14:paraId="59886DBE" w14:textId="6382C19B" w:rsidR="00156B53" w:rsidRDefault="00CD6F7A" w:rsidP="00156B53">
      <w:pPr>
        <w:pStyle w:val="ListBullet"/>
        <w:rPr>
          <w:rFonts w:eastAsia="SimSun"/>
          <w:lang w:eastAsia="en-US"/>
        </w:rPr>
      </w:pPr>
      <w:r>
        <w:rPr>
          <w:rFonts w:eastAsia="SimSun"/>
          <w:lang w:eastAsia="en-US"/>
        </w:rPr>
        <w:t>c</w:t>
      </w:r>
      <w:r w:rsidR="00156B53">
        <w:rPr>
          <w:rFonts w:eastAsia="SimSun"/>
          <w:lang w:eastAsia="en-US"/>
        </w:rPr>
        <w:t xml:space="preserve">onsidering compliance with the access terms and conditions for the </w:t>
      </w:r>
      <w:r w:rsidR="00516F70">
        <w:rPr>
          <w:rFonts w:eastAsia="SimSun"/>
          <w:lang w:eastAsia="en-US"/>
        </w:rPr>
        <w:t xml:space="preserve">SMS </w:t>
      </w:r>
      <w:r w:rsidR="00156B53">
        <w:rPr>
          <w:rFonts w:eastAsia="SimSun"/>
          <w:lang w:eastAsia="en-US"/>
        </w:rPr>
        <w:t>terminating access service and the domestic transmission capacity service</w:t>
      </w:r>
    </w:p>
    <w:p w14:paraId="61E6F5C0" w14:textId="7B88ADC2" w:rsidR="00156B53" w:rsidRDefault="00CD6F7A" w:rsidP="00156B53">
      <w:pPr>
        <w:pStyle w:val="ListBullet"/>
        <w:rPr>
          <w:rFonts w:eastAsia="SimSun"/>
          <w:lang w:eastAsia="en-US"/>
        </w:rPr>
      </w:pPr>
      <w:r>
        <w:rPr>
          <w:rFonts w:eastAsia="SimSun"/>
          <w:lang w:eastAsia="en-US"/>
        </w:rPr>
        <w:t>r</w:t>
      </w:r>
      <w:r w:rsidR="00156B53">
        <w:rPr>
          <w:rFonts w:eastAsia="SimSun"/>
          <w:lang w:eastAsia="en-US"/>
        </w:rPr>
        <w:t xml:space="preserve">epresenting the ACCC on the </w:t>
      </w:r>
      <w:r w:rsidR="00516F70">
        <w:rPr>
          <w:rFonts w:eastAsia="SimSun"/>
          <w:lang w:eastAsia="en-US"/>
        </w:rPr>
        <w:t>TCP</w:t>
      </w:r>
      <w:r w:rsidR="00156B53">
        <w:rPr>
          <w:rFonts w:eastAsia="SimSun"/>
          <w:lang w:eastAsia="en-US"/>
        </w:rPr>
        <w:t xml:space="preserve"> Code review</w:t>
      </w:r>
    </w:p>
    <w:p w14:paraId="746EBDE2" w14:textId="2F9A75C0" w:rsidR="00156B53" w:rsidRDefault="00CD6F7A" w:rsidP="00156B53">
      <w:pPr>
        <w:pStyle w:val="ListBullet"/>
        <w:rPr>
          <w:rFonts w:eastAsia="SimSun"/>
          <w:lang w:eastAsia="en-US"/>
        </w:rPr>
      </w:pPr>
      <w:r>
        <w:rPr>
          <w:rFonts w:eastAsia="SimSun"/>
          <w:lang w:eastAsia="en-US"/>
        </w:rPr>
        <w:t>e</w:t>
      </w:r>
      <w:r w:rsidR="00156B53">
        <w:rPr>
          <w:rFonts w:eastAsia="SimSun"/>
          <w:lang w:eastAsia="en-US"/>
        </w:rPr>
        <w:t>xamining NBN consumer experience issues and possible regulatory intervention</w:t>
      </w:r>
    </w:p>
    <w:p w14:paraId="57777FF6" w14:textId="5AE7AE00" w:rsidR="00156B53" w:rsidRPr="001E2EFC" w:rsidRDefault="00CD6F7A" w:rsidP="00156B53">
      <w:pPr>
        <w:pStyle w:val="ListBullet"/>
        <w:rPr>
          <w:rFonts w:eastAsia="SimSun"/>
          <w:lang w:eastAsia="en-US"/>
        </w:rPr>
      </w:pPr>
      <w:r>
        <w:rPr>
          <w:rFonts w:eastAsia="SimSun"/>
          <w:lang w:eastAsia="en-US"/>
        </w:rPr>
        <w:t>p</w:t>
      </w:r>
      <w:r w:rsidR="00156B53" w:rsidRPr="001E2EFC">
        <w:rPr>
          <w:rFonts w:eastAsia="SimSun"/>
          <w:lang w:eastAsia="en-US"/>
        </w:rPr>
        <w:t>roviding advice to ministers, other government agencies and departments on request (on NBN non-commercial funding options, transmission and aggregation markets, and market developments)</w:t>
      </w:r>
    </w:p>
    <w:p w14:paraId="1E74D9C2" w14:textId="15BBCDA6" w:rsidR="00156B53" w:rsidRDefault="00CD6F7A" w:rsidP="00156B53">
      <w:pPr>
        <w:pStyle w:val="ListBullet"/>
        <w:rPr>
          <w:rFonts w:eastAsia="SimSun"/>
          <w:lang w:eastAsia="en-US"/>
        </w:rPr>
      </w:pPr>
      <w:r>
        <w:rPr>
          <w:rFonts w:eastAsia="SimSun"/>
          <w:lang w:eastAsia="en-US"/>
        </w:rPr>
        <w:t>m</w:t>
      </w:r>
      <w:r w:rsidR="00156B53" w:rsidRPr="007E73E2">
        <w:rPr>
          <w:rFonts w:eastAsia="SimSun"/>
          <w:lang w:eastAsia="en-US"/>
        </w:rPr>
        <w:t>aintaining and collecting data through the Infrastructure and Exchange Facilities Record Keeping Rules</w:t>
      </w:r>
    </w:p>
    <w:p w14:paraId="03D2B5B5" w14:textId="37DA2A86" w:rsidR="00156B53" w:rsidRDefault="00CD6F7A" w:rsidP="00156B53">
      <w:pPr>
        <w:pStyle w:val="ListBullet"/>
        <w:rPr>
          <w:rFonts w:eastAsia="SimSun"/>
          <w:lang w:eastAsia="en-US"/>
        </w:rPr>
      </w:pPr>
      <w:r>
        <w:rPr>
          <w:rFonts w:eastAsia="SimSun"/>
          <w:lang w:eastAsia="en-US"/>
        </w:rPr>
        <w:t>m</w:t>
      </w:r>
      <w:r w:rsidR="00156B53">
        <w:rPr>
          <w:rFonts w:eastAsia="SimSun"/>
          <w:lang w:eastAsia="en-US"/>
        </w:rPr>
        <w:t>aintaining, collecting and analysing data through the NBN SIOs Record Keeping Rules</w:t>
      </w:r>
    </w:p>
    <w:p w14:paraId="45918625" w14:textId="1C912910" w:rsidR="00156B53" w:rsidRPr="007E73E2" w:rsidRDefault="00CD6F7A" w:rsidP="00156B53">
      <w:pPr>
        <w:pStyle w:val="ListBullet"/>
        <w:rPr>
          <w:rFonts w:eastAsia="SimSun"/>
          <w:lang w:eastAsia="en-US"/>
        </w:rPr>
      </w:pPr>
      <w:r>
        <w:rPr>
          <w:rFonts w:eastAsia="SimSun"/>
          <w:lang w:eastAsia="en-US"/>
        </w:rPr>
        <w:t>c</w:t>
      </w:r>
      <w:r w:rsidR="00156B53">
        <w:rPr>
          <w:rFonts w:eastAsia="SimSun"/>
          <w:lang w:eastAsia="en-US"/>
        </w:rPr>
        <w:t>onsult</w:t>
      </w:r>
      <w:r>
        <w:rPr>
          <w:rFonts w:eastAsia="SimSun"/>
          <w:lang w:eastAsia="en-US"/>
        </w:rPr>
        <w:t>ing</w:t>
      </w:r>
      <w:r w:rsidR="00156B53">
        <w:rPr>
          <w:rFonts w:eastAsia="SimSun"/>
          <w:lang w:eastAsia="en-US"/>
        </w:rPr>
        <w:t xml:space="preserve"> and </w:t>
      </w:r>
      <w:r>
        <w:rPr>
          <w:rFonts w:eastAsia="SimSun"/>
          <w:lang w:eastAsia="en-US"/>
        </w:rPr>
        <w:t xml:space="preserve">engaging with </w:t>
      </w:r>
      <w:r w:rsidR="00156B53">
        <w:rPr>
          <w:rFonts w:eastAsia="SimSun"/>
          <w:lang w:eastAsia="en-US"/>
        </w:rPr>
        <w:t>stakeholder</w:t>
      </w:r>
      <w:r>
        <w:rPr>
          <w:rFonts w:eastAsia="SimSun"/>
          <w:lang w:eastAsia="en-US"/>
        </w:rPr>
        <w:t>s</w:t>
      </w:r>
      <w:r w:rsidR="00156B53">
        <w:rPr>
          <w:rFonts w:eastAsia="SimSun"/>
          <w:lang w:eastAsia="en-US"/>
        </w:rPr>
        <w:t xml:space="preserve"> on spectrum</w:t>
      </w:r>
      <w:r>
        <w:rPr>
          <w:rFonts w:eastAsia="SimSun"/>
          <w:lang w:eastAsia="en-US"/>
        </w:rPr>
        <w:t>-</w:t>
      </w:r>
      <w:r w:rsidR="00156B53">
        <w:rPr>
          <w:rFonts w:eastAsia="SimSun"/>
          <w:lang w:eastAsia="en-US"/>
        </w:rPr>
        <w:t>related matters</w:t>
      </w:r>
    </w:p>
    <w:p w14:paraId="7AD4056A" w14:textId="355FF88F" w:rsidR="00156B53" w:rsidRPr="007E73E2" w:rsidRDefault="00CD6F7A" w:rsidP="00156B53">
      <w:pPr>
        <w:pStyle w:val="ListBullet"/>
        <w:rPr>
          <w:rFonts w:eastAsia="SimSun"/>
          <w:lang w:eastAsia="en-US"/>
        </w:rPr>
      </w:pPr>
      <w:r>
        <w:rPr>
          <w:rFonts w:eastAsia="SimSun"/>
          <w:lang w:eastAsia="en-US"/>
        </w:rPr>
        <w:t>p</w:t>
      </w:r>
      <w:r w:rsidR="00156B53" w:rsidRPr="007E73E2">
        <w:rPr>
          <w:rFonts w:eastAsia="SimSun"/>
          <w:lang w:eastAsia="en-US"/>
        </w:rPr>
        <w:t xml:space="preserve">rogressing related issues </w:t>
      </w:r>
      <w:r>
        <w:rPr>
          <w:rFonts w:eastAsia="SimSun"/>
          <w:lang w:eastAsia="en-US"/>
        </w:rPr>
        <w:t>about</w:t>
      </w:r>
      <w:r w:rsidRPr="007E73E2">
        <w:rPr>
          <w:rFonts w:eastAsia="SimSun"/>
          <w:lang w:eastAsia="en-US"/>
        </w:rPr>
        <w:t xml:space="preserve"> </w:t>
      </w:r>
      <w:r w:rsidR="00156B53" w:rsidRPr="007E73E2">
        <w:rPr>
          <w:rFonts w:eastAsia="SimSun"/>
          <w:lang w:eastAsia="en-US"/>
        </w:rPr>
        <w:t>facilities access service and points of interconnection (POI</w:t>
      </w:r>
      <w:r w:rsidR="00156B53">
        <w:rPr>
          <w:rFonts w:eastAsia="SimSun"/>
          <w:lang w:eastAsia="en-US"/>
        </w:rPr>
        <w:t>)</w:t>
      </w:r>
    </w:p>
    <w:p w14:paraId="32E0BAC1" w14:textId="77BA2E4B" w:rsidR="00156B53" w:rsidRPr="007E73E2" w:rsidRDefault="00CD6F7A" w:rsidP="00156B53">
      <w:pPr>
        <w:pStyle w:val="ListBullet"/>
        <w:spacing w:after="240"/>
        <w:rPr>
          <w:rFonts w:eastAsia="SimSun"/>
          <w:lang w:eastAsia="en-US"/>
        </w:rPr>
      </w:pPr>
      <w:r>
        <w:rPr>
          <w:rFonts w:eastAsia="SimSun"/>
          <w:lang w:eastAsia="en-US"/>
        </w:rPr>
        <w:t>c</w:t>
      </w:r>
      <w:r w:rsidR="00156B53" w:rsidRPr="007E73E2">
        <w:rPr>
          <w:rFonts w:eastAsia="SimSun"/>
          <w:lang w:eastAsia="en-US"/>
        </w:rPr>
        <w:t>onsult</w:t>
      </w:r>
      <w:r>
        <w:rPr>
          <w:rFonts w:eastAsia="SimSun"/>
          <w:lang w:eastAsia="en-US"/>
        </w:rPr>
        <w:t>ing and</w:t>
      </w:r>
      <w:r w:rsidR="00156B53" w:rsidRPr="007E73E2">
        <w:rPr>
          <w:rFonts w:eastAsia="SimSun"/>
          <w:lang w:eastAsia="en-US"/>
        </w:rPr>
        <w:t xml:space="preserve"> </w:t>
      </w:r>
      <w:r>
        <w:rPr>
          <w:rFonts w:eastAsia="SimSun"/>
          <w:lang w:eastAsia="en-US"/>
        </w:rPr>
        <w:t xml:space="preserve">engaging with </w:t>
      </w:r>
      <w:r w:rsidR="00156B53" w:rsidRPr="007E73E2">
        <w:rPr>
          <w:rFonts w:eastAsia="SimSun"/>
          <w:lang w:eastAsia="en-US"/>
        </w:rPr>
        <w:t>industry on a range of regulatory matters, including telecommunications consumer issues, numbering, consumer issues</w:t>
      </w:r>
      <w:r>
        <w:rPr>
          <w:rFonts w:eastAsia="SimSun"/>
          <w:lang w:eastAsia="en-US"/>
        </w:rPr>
        <w:t xml:space="preserve"> about </w:t>
      </w:r>
      <w:r w:rsidRPr="007E73E2">
        <w:rPr>
          <w:rFonts w:eastAsia="SimSun"/>
          <w:lang w:eastAsia="en-US"/>
        </w:rPr>
        <w:t>NBN migration</w:t>
      </w:r>
      <w:r>
        <w:rPr>
          <w:rFonts w:eastAsia="SimSun"/>
          <w:lang w:eastAsia="en-US"/>
        </w:rPr>
        <w:t xml:space="preserve">, and </w:t>
      </w:r>
      <w:r w:rsidR="00156B53" w:rsidRPr="007E73E2">
        <w:rPr>
          <w:rFonts w:eastAsia="SimSun"/>
          <w:lang w:eastAsia="en-US"/>
        </w:rPr>
        <w:t>mobiles and transmission markets.</w:t>
      </w:r>
    </w:p>
    <w:p w14:paraId="726952B4" w14:textId="77777777" w:rsidR="00156B53" w:rsidRPr="007E73E2" w:rsidRDefault="00156B53" w:rsidP="00156B53">
      <w:pPr>
        <w:pStyle w:val="BodySubHeader"/>
        <w:rPr>
          <w:lang w:eastAsia="en-US"/>
        </w:rPr>
      </w:pPr>
      <w:r w:rsidRPr="007E73E2">
        <w:rPr>
          <w:lang w:eastAsia="en-US"/>
        </w:rPr>
        <w:t xml:space="preserve">Wireline </w:t>
      </w:r>
      <w:r>
        <w:rPr>
          <w:lang w:eastAsia="en-US"/>
        </w:rPr>
        <w:t>m</w:t>
      </w:r>
      <w:r w:rsidRPr="007E73E2">
        <w:rPr>
          <w:lang w:eastAsia="en-US"/>
        </w:rPr>
        <w:t>arkets</w:t>
      </w:r>
    </w:p>
    <w:p w14:paraId="4D96C65D" w14:textId="35D31D4A" w:rsidR="00156B53" w:rsidRPr="007E73E2" w:rsidRDefault="00CD6F7A" w:rsidP="00156B53">
      <w:pPr>
        <w:pStyle w:val="ListBullet"/>
        <w:rPr>
          <w:rFonts w:eastAsia="SimSun"/>
          <w:lang w:eastAsia="en-US"/>
        </w:rPr>
      </w:pPr>
      <w:r>
        <w:rPr>
          <w:rFonts w:eastAsia="SimSun"/>
          <w:lang w:eastAsia="en-US"/>
        </w:rPr>
        <w:t>r</w:t>
      </w:r>
      <w:r w:rsidR="00156B53">
        <w:rPr>
          <w:rFonts w:eastAsia="SimSun"/>
          <w:lang w:eastAsia="en-US"/>
        </w:rPr>
        <w:t xml:space="preserve">esponding to </w:t>
      </w:r>
      <w:r w:rsidR="00C97C23">
        <w:rPr>
          <w:rFonts w:eastAsia="SimSun"/>
          <w:lang w:eastAsia="en-US"/>
        </w:rPr>
        <w:t xml:space="preserve">a </w:t>
      </w:r>
      <w:r w:rsidR="00156B53">
        <w:rPr>
          <w:rFonts w:eastAsia="SimSun"/>
          <w:lang w:eastAsia="en-US"/>
        </w:rPr>
        <w:t>Judicial Review of</w:t>
      </w:r>
      <w:r w:rsidR="00156B53" w:rsidRPr="007E73E2">
        <w:rPr>
          <w:rFonts w:eastAsia="SimSun"/>
          <w:lang w:eastAsia="en-US"/>
        </w:rPr>
        <w:t xml:space="preserve"> access determination</w:t>
      </w:r>
      <w:r w:rsidR="00156B53">
        <w:rPr>
          <w:rFonts w:eastAsia="SimSun"/>
          <w:lang w:eastAsia="en-US"/>
        </w:rPr>
        <w:t xml:space="preserve">s </w:t>
      </w:r>
      <w:r w:rsidR="00156B53" w:rsidRPr="007E73E2">
        <w:rPr>
          <w:rFonts w:eastAsia="SimSun"/>
          <w:lang w:eastAsia="en-US"/>
        </w:rPr>
        <w:t>setting out the access terms and conditions for fixed line services, which include price and non-price terms and conditions</w:t>
      </w:r>
    </w:p>
    <w:p w14:paraId="2C44CB1B" w14:textId="1DB57FA7" w:rsidR="00156B53" w:rsidRDefault="00CD6F7A" w:rsidP="00156B53">
      <w:pPr>
        <w:pStyle w:val="ListBullet"/>
        <w:rPr>
          <w:rFonts w:eastAsia="SimSun"/>
          <w:lang w:eastAsia="en-US"/>
        </w:rPr>
      </w:pPr>
      <w:r>
        <w:rPr>
          <w:rFonts w:eastAsia="SimSun"/>
          <w:lang w:eastAsia="en-US"/>
        </w:rPr>
        <w:t>c</w:t>
      </w:r>
      <w:r w:rsidR="00156B53">
        <w:rPr>
          <w:rFonts w:eastAsia="SimSun"/>
          <w:lang w:eastAsia="en-US"/>
        </w:rPr>
        <w:t xml:space="preserve">ompleting the </w:t>
      </w:r>
      <w:r w:rsidR="00156B53" w:rsidRPr="00311C20">
        <w:rPr>
          <w:rFonts w:eastAsia="SimSun"/>
          <w:lang w:eastAsia="en-US"/>
        </w:rPr>
        <w:t>guideline for Part XIC declaration provisions for telecommunications services</w:t>
      </w:r>
    </w:p>
    <w:p w14:paraId="6630A52C" w14:textId="2821BE06" w:rsidR="00156B53" w:rsidRPr="007E73E2" w:rsidRDefault="00CD6F7A" w:rsidP="00156B53">
      <w:pPr>
        <w:pStyle w:val="ListBullet"/>
        <w:rPr>
          <w:rFonts w:eastAsia="SimSun"/>
          <w:lang w:eastAsia="en-US"/>
        </w:rPr>
      </w:pPr>
      <w:r>
        <w:rPr>
          <w:rFonts w:eastAsia="SimSun"/>
          <w:lang w:eastAsia="en-US"/>
        </w:rPr>
        <w:t>c</w:t>
      </w:r>
      <w:r w:rsidR="00156B53">
        <w:rPr>
          <w:rFonts w:eastAsia="SimSun"/>
          <w:lang w:eastAsia="en-US"/>
        </w:rPr>
        <w:t>onducting an inquiry into the Local Bitstream Access Service and Superfast Broadband Access S</w:t>
      </w:r>
      <w:r w:rsidR="00156B53" w:rsidRPr="00B27956">
        <w:rPr>
          <w:rFonts w:eastAsia="SimSun"/>
          <w:lang w:eastAsia="en-US"/>
        </w:rPr>
        <w:t xml:space="preserve">ervice </w:t>
      </w:r>
      <w:r w:rsidR="00156B53">
        <w:rPr>
          <w:rFonts w:eastAsia="SimSun"/>
          <w:lang w:eastAsia="en-US"/>
        </w:rPr>
        <w:t xml:space="preserve">final access determinations </w:t>
      </w:r>
    </w:p>
    <w:p w14:paraId="733D6512" w14:textId="2584942F" w:rsidR="00156B53" w:rsidRDefault="00604466" w:rsidP="00156B53">
      <w:pPr>
        <w:pStyle w:val="ListBullet"/>
        <w:rPr>
          <w:rFonts w:eastAsia="SimSun"/>
          <w:lang w:eastAsia="en-US"/>
        </w:rPr>
      </w:pPr>
      <w:r>
        <w:rPr>
          <w:rFonts w:eastAsia="SimSun"/>
          <w:lang w:eastAsia="en-US"/>
        </w:rPr>
        <w:t>i</w:t>
      </w:r>
      <w:r w:rsidR="00156B53" w:rsidRPr="007E73E2">
        <w:rPr>
          <w:rFonts w:eastAsia="SimSun"/>
          <w:lang w:eastAsia="en-US"/>
        </w:rPr>
        <w:t xml:space="preserve">ssuing </w:t>
      </w:r>
      <w:r w:rsidR="00156B53">
        <w:rPr>
          <w:rFonts w:eastAsia="SimSun"/>
          <w:lang w:eastAsia="en-US"/>
        </w:rPr>
        <w:t xml:space="preserve">annual </w:t>
      </w:r>
      <w:r w:rsidR="00156B53" w:rsidRPr="007E73E2">
        <w:rPr>
          <w:rFonts w:eastAsia="SimSun"/>
          <w:lang w:eastAsia="en-US"/>
        </w:rPr>
        <w:t>telecommunications report</w:t>
      </w:r>
      <w:r w:rsidR="00156B53">
        <w:rPr>
          <w:rFonts w:eastAsia="SimSun"/>
          <w:lang w:eastAsia="en-US"/>
        </w:rPr>
        <w:t>,</w:t>
      </w:r>
      <w:r w:rsidR="00156B53" w:rsidRPr="007E73E2">
        <w:rPr>
          <w:rFonts w:eastAsia="SimSun"/>
          <w:lang w:eastAsia="en-US"/>
        </w:rPr>
        <w:t xml:space="preserve"> </w:t>
      </w:r>
      <w:r w:rsidR="00156B53" w:rsidRPr="007A371B">
        <w:rPr>
          <w:rFonts w:eastAsia="SimSun"/>
          <w:i/>
          <w:lang w:eastAsia="en-US"/>
        </w:rPr>
        <w:t>Changes in the prices paid for telecommunications services in Australia 201</w:t>
      </w:r>
      <w:r w:rsidR="008A4599" w:rsidRPr="007A371B">
        <w:rPr>
          <w:rFonts w:eastAsia="SimSun"/>
          <w:i/>
          <w:lang w:eastAsia="en-US"/>
        </w:rPr>
        <w:t>6</w:t>
      </w:r>
      <w:r w:rsidR="00156B53" w:rsidRPr="007A371B">
        <w:rPr>
          <w:rFonts w:eastAsia="SimSun"/>
          <w:i/>
          <w:lang w:eastAsia="en-US"/>
        </w:rPr>
        <w:t>–1</w:t>
      </w:r>
      <w:r w:rsidR="008A4599" w:rsidRPr="007A371B">
        <w:rPr>
          <w:rFonts w:eastAsia="SimSun"/>
          <w:i/>
          <w:lang w:eastAsia="en-US"/>
        </w:rPr>
        <w:t>7</w:t>
      </w:r>
      <w:r w:rsidR="00156B53">
        <w:rPr>
          <w:rFonts w:eastAsia="SimSun"/>
          <w:lang w:eastAsia="en-US"/>
        </w:rPr>
        <w:t xml:space="preserve"> (Division 12 report)</w:t>
      </w:r>
    </w:p>
    <w:p w14:paraId="155B4673" w14:textId="282E60BE" w:rsidR="00156B53" w:rsidRPr="007E73E2" w:rsidRDefault="00B7357B" w:rsidP="00156B53">
      <w:pPr>
        <w:pStyle w:val="ListBullet"/>
        <w:rPr>
          <w:rFonts w:eastAsia="SimSun"/>
          <w:lang w:eastAsia="en-US"/>
        </w:rPr>
      </w:pPr>
      <w:r>
        <w:rPr>
          <w:rFonts w:eastAsia="SimSun"/>
          <w:lang w:eastAsia="en-US"/>
        </w:rPr>
        <w:t>r</w:t>
      </w:r>
      <w:r w:rsidR="00156B53">
        <w:rPr>
          <w:rFonts w:eastAsia="SimSun"/>
          <w:lang w:eastAsia="en-US"/>
        </w:rPr>
        <w:t>eview</w:t>
      </w:r>
      <w:r>
        <w:rPr>
          <w:rFonts w:eastAsia="SimSun"/>
          <w:lang w:eastAsia="en-US"/>
        </w:rPr>
        <w:t>ing</w:t>
      </w:r>
      <w:r w:rsidR="00156B53">
        <w:rPr>
          <w:rFonts w:eastAsia="SimSun"/>
          <w:lang w:eastAsia="en-US"/>
        </w:rPr>
        <w:t xml:space="preserve"> the Division 12 Record Keeping Rules and methodology for determining changes in prices paid for telecommunications services</w:t>
      </w:r>
    </w:p>
    <w:p w14:paraId="69AA5442" w14:textId="02365606" w:rsidR="00156B53" w:rsidRPr="007E73E2" w:rsidRDefault="00B7357B" w:rsidP="00156B53">
      <w:pPr>
        <w:pStyle w:val="ListBullet"/>
        <w:rPr>
          <w:rFonts w:eastAsia="SimSun"/>
          <w:lang w:eastAsia="en-US"/>
        </w:rPr>
      </w:pPr>
      <w:r>
        <w:rPr>
          <w:rFonts w:eastAsia="SimSun"/>
          <w:lang w:eastAsia="en-US"/>
        </w:rPr>
        <w:t>p</w:t>
      </w:r>
      <w:r w:rsidR="00156B53" w:rsidRPr="007E73E2">
        <w:rPr>
          <w:rFonts w:eastAsia="SimSun"/>
          <w:lang w:eastAsia="en-US"/>
        </w:rPr>
        <w:t>roviding advice to other government agencies and departments on reques</w:t>
      </w:r>
      <w:r w:rsidR="00156B53">
        <w:rPr>
          <w:rFonts w:eastAsia="SimSun"/>
          <w:lang w:eastAsia="en-US"/>
        </w:rPr>
        <w:t>t</w:t>
      </w:r>
    </w:p>
    <w:p w14:paraId="466F67CE" w14:textId="60D7FD58" w:rsidR="00156B53" w:rsidRPr="007E73E2" w:rsidRDefault="00B7357B" w:rsidP="00156B53">
      <w:pPr>
        <w:pStyle w:val="ListBullet"/>
        <w:rPr>
          <w:rFonts w:eastAsia="SimSun"/>
          <w:lang w:eastAsia="en-US"/>
        </w:rPr>
      </w:pPr>
      <w:r>
        <w:rPr>
          <w:rFonts w:eastAsia="SimSun"/>
          <w:lang w:eastAsia="en-US"/>
        </w:rPr>
        <w:t>c</w:t>
      </w:r>
      <w:r w:rsidR="00156B53" w:rsidRPr="007E73E2">
        <w:rPr>
          <w:rFonts w:eastAsia="SimSun"/>
          <w:lang w:eastAsia="en-US"/>
        </w:rPr>
        <w:t>onsult</w:t>
      </w:r>
      <w:r>
        <w:rPr>
          <w:rFonts w:eastAsia="SimSun"/>
          <w:lang w:eastAsia="en-US"/>
        </w:rPr>
        <w:t>ing</w:t>
      </w:r>
      <w:r w:rsidR="00156B53" w:rsidRPr="007E73E2">
        <w:rPr>
          <w:rFonts w:eastAsia="SimSun"/>
          <w:lang w:eastAsia="en-US"/>
        </w:rPr>
        <w:t xml:space="preserve"> and </w:t>
      </w:r>
      <w:r>
        <w:rPr>
          <w:rFonts w:eastAsia="SimSun"/>
          <w:lang w:eastAsia="en-US"/>
        </w:rPr>
        <w:t xml:space="preserve">engaging with </w:t>
      </w:r>
      <w:r w:rsidR="00156B53" w:rsidRPr="007E73E2">
        <w:rPr>
          <w:rFonts w:eastAsia="SimSun"/>
          <w:lang w:eastAsia="en-US"/>
        </w:rPr>
        <w:t>industry on a range of regulatory matter</w:t>
      </w:r>
    </w:p>
    <w:p w14:paraId="3AEE1F08" w14:textId="09DC05C6" w:rsidR="00156B53" w:rsidRPr="007E73E2" w:rsidRDefault="00B7357B" w:rsidP="00156B53">
      <w:pPr>
        <w:pStyle w:val="ListBullet"/>
        <w:rPr>
          <w:rFonts w:eastAsia="SimSun"/>
          <w:lang w:eastAsia="en-US"/>
        </w:rPr>
      </w:pPr>
      <w:r w:rsidRPr="007E73E2">
        <w:rPr>
          <w:rFonts w:eastAsia="SimSun"/>
          <w:lang w:eastAsia="en-US"/>
        </w:rPr>
        <w:t>collecting</w:t>
      </w:r>
      <w:r>
        <w:rPr>
          <w:rFonts w:eastAsia="SimSun"/>
          <w:lang w:eastAsia="en-US"/>
        </w:rPr>
        <w:t xml:space="preserve"> and m</w:t>
      </w:r>
      <w:r w:rsidR="00156B53" w:rsidRPr="007E73E2">
        <w:rPr>
          <w:rFonts w:eastAsia="SimSun"/>
          <w:lang w:eastAsia="en-US"/>
        </w:rPr>
        <w:t xml:space="preserve">aintaining data through the Regulatory Accounting Framework </w:t>
      </w:r>
      <w:r w:rsidR="00156B53">
        <w:rPr>
          <w:rFonts w:eastAsia="SimSun"/>
          <w:lang w:eastAsia="en-US"/>
        </w:rPr>
        <w:t>R</w:t>
      </w:r>
      <w:r w:rsidR="00156B53" w:rsidRPr="007E73E2">
        <w:rPr>
          <w:rFonts w:eastAsia="SimSun"/>
          <w:lang w:eastAsia="en-US"/>
        </w:rPr>
        <w:t>ecord Keeping Rules</w:t>
      </w:r>
    </w:p>
    <w:p w14:paraId="5C293D89" w14:textId="2A0753FD" w:rsidR="00156B53" w:rsidRPr="00AE2FD7" w:rsidRDefault="009E3A91" w:rsidP="009E3A91">
      <w:pPr>
        <w:pStyle w:val="ListBulletLast"/>
        <w:rPr>
          <w:b/>
          <w:szCs w:val="20"/>
          <w:lang w:eastAsia="en-US"/>
        </w:rPr>
      </w:pPr>
      <w:r>
        <w:rPr>
          <w:rFonts w:eastAsia="SimSun"/>
          <w:lang w:eastAsia="en-US"/>
        </w:rPr>
        <w:t>accessing a</w:t>
      </w:r>
      <w:r w:rsidRPr="009E3A91">
        <w:rPr>
          <w:rFonts w:eastAsia="SimSun"/>
          <w:lang w:eastAsia="en-US"/>
        </w:rPr>
        <w:t>greements in relation to lodgement of quarterly reports</w:t>
      </w:r>
      <w:r>
        <w:rPr>
          <w:rFonts w:eastAsia="SimSun"/>
          <w:lang w:eastAsia="en-US"/>
        </w:rPr>
        <w:t>.</w:t>
      </w:r>
    </w:p>
    <w:p w14:paraId="352AA37C" w14:textId="77777777" w:rsidR="00156B53" w:rsidRPr="00597F90" w:rsidRDefault="00156B53" w:rsidP="00156B53">
      <w:pPr>
        <w:pStyle w:val="BodySubHeader"/>
        <w:rPr>
          <w:lang w:eastAsia="en-US"/>
        </w:rPr>
      </w:pPr>
      <w:r w:rsidRPr="00597F90">
        <w:rPr>
          <w:lang w:eastAsia="en-US"/>
        </w:rPr>
        <w:t xml:space="preserve">Other </w:t>
      </w:r>
      <w:r>
        <w:rPr>
          <w:lang w:eastAsia="en-US"/>
        </w:rPr>
        <w:t>o</w:t>
      </w:r>
      <w:r w:rsidRPr="00597F90">
        <w:rPr>
          <w:lang w:eastAsia="en-US"/>
        </w:rPr>
        <w:t>utputs</w:t>
      </w:r>
    </w:p>
    <w:p w14:paraId="3FCEA968" w14:textId="77777777" w:rsidR="00156B53" w:rsidRPr="00597F90" w:rsidRDefault="00156B53" w:rsidP="007A371B">
      <w:pPr>
        <w:rPr>
          <w:rFonts w:eastAsia="SimSun"/>
          <w:lang w:eastAsia="en-US"/>
        </w:rPr>
      </w:pPr>
      <w:r w:rsidRPr="00597F90">
        <w:rPr>
          <w:rFonts w:eastAsia="SimSun"/>
          <w:lang w:eastAsia="en-US"/>
        </w:rPr>
        <w:t>All other outputs in relation to the ACCC’s telecommunications functions and powers are considered in this category</w:t>
      </w:r>
      <w:r>
        <w:rPr>
          <w:rFonts w:eastAsia="SimSun"/>
          <w:lang w:eastAsia="en-US"/>
        </w:rPr>
        <w:t>,</w:t>
      </w:r>
      <w:r w:rsidRPr="00597F90">
        <w:rPr>
          <w:rFonts w:eastAsia="SimSun"/>
          <w:lang w:eastAsia="en-US"/>
        </w:rPr>
        <w:t xml:space="preserve"> including strategic liaison and coordination of regulatory affairs.  </w:t>
      </w:r>
    </w:p>
    <w:p w14:paraId="7645E10E" w14:textId="77777777" w:rsidR="009E783D" w:rsidRPr="003F7E3A" w:rsidRDefault="009E783D" w:rsidP="003F7E3A">
      <w:pPr>
        <w:pStyle w:val="Heading3"/>
      </w:pPr>
      <w:bookmarkStart w:id="58" w:name="_Toc417990951"/>
      <w:bookmarkStart w:id="59" w:name="_Toc511634393"/>
      <w:bookmarkStart w:id="60" w:name="_Toc532543400"/>
      <w:r w:rsidRPr="003F7E3A">
        <w:t>3.2.2</w:t>
      </w:r>
      <w:r w:rsidRPr="003F7E3A">
        <w:tab/>
        <w:t>Costs of the activity</w:t>
      </w:r>
      <w:bookmarkEnd w:id="58"/>
      <w:bookmarkEnd w:id="59"/>
      <w:bookmarkEnd w:id="60"/>
    </w:p>
    <w:p w14:paraId="71D7D3F6" w14:textId="77777777" w:rsidR="00A0125E" w:rsidRPr="009A2EB4" w:rsidRDefault="00A0125E" w:rsidP="00A0125E">
      <w:r w:rsidRPr="009A2EB4">
        <w:t xml:space="preserve">The determination of the ACCC’s costs to be recovered under the ACLC is based on a cost allocation model. There has been no change in the methodology used to determine the costs from the previous financial year. Both direct and support (indirect) costs incurred by the ACCC in exercising its telecommunications functions and powers are captured by the model. Telecommunication activities are aligned to discrete cost centres to capture direct costs. Support costs are allocated using an appropriate cost driver (further detail </w:t>
      </w:r>
      <w:r>
        <w:t xml:space="preserve">on </w:t>
      </w:r>
      <w:r w:rsidRPr="00043FDB">
        <w:t>support costs is provided later in this section).</w:t>
      </w:r>
      <w:r w:rsidRPr="009A2EB4">
        <w:t xml:space="preserve"> </w:t>
      </w:r>
    </w:p>
    <w:p w14:paraId="7FEB8A8F" w14:textId="77777777" w:rsidR="00A0125E" w:rsidRDefault="00A0125E" w:rsidP="00A0125E">
      <w:r w:rsidRPr="009A2EB4">
        <w:t>The activity costs produced by the ACCC’s cost allocation model for 201</w:t>
      </w:r>
      <w:r w:rsidR="00156B53">
        <w:t>6</w:t>
      </w:r>
      <w:r w:rsidR="00223DBD">
        <w:t>–</w:t>
      </w:r>
      <w:r w:rsidRPr="009A2EB4">
        <w:t>1</w:t>
      </w:r>
      <w:r w:rsidR="00156B53">
        <w:t>7</w:t>
      </w:r>
      <w:r w:rsidRPr="009A2EB4">
        <w:t xml:space="preserve"> are based on the cost of services </w:t>
      </w:r>
      <w:r w:rsidR="008779EF">
        <w:t xml:space="preserve">in accordance with </w:t>
      </w:r>
      <w:r w:rsidRPr="009A2EB4">
        <w:t>the ACCC’s 201</w:t>
      </w:r>
      <w:r w:rsidR="00156B53">
        <w:t>6</w:t>
      </w:r>
      <w:r w:rsidR="00223DBD">
        <w:t>–</w:t>
      </w:r>
      <w:r w:rsidRPr="009A2EB4">
        <w:t>1</w:t>
      </w:r>
      <w:r w:rsidR="00156B53">
        <w:t>7</w:t>
      </w:r>
      <w:r w:rsidRPr="009A2EB4">
        <w:t xml:space="preserve"> audited financial statements</w:t>
      </w:r>
      <w:r w:rsidR="00223DBD">
        <w:t>.</w:t>
      </w:r>
    </w:p>
    <w:p w14:paraId="0A2F9C72" w14:textId="03BB2025" w:rsidR="00B60999" w:rsidRDefault="00B60999" w:rsidP="007A371B">
      <w:pPr>
        <w:spacing w:after="80"/>
      </w:pPr>
      <w:r>
        <w:t>Delivery costs of the Measuring Broadband Australia program (MBA program)</w:t>
      </w:r>
      <w:r w:rsidR="00E62589">
        <w:t xml:space="preserve"> (</w:t>
      </w:r>
      <w:r w:rsidR="00B85E28" w:rsidRPr="007A371B">
        <w:rPr>
          <w:i/>
        </w:rPr>
        <w:t>Cost Recovery Implementation Statement – Addendum: Measuring Broadband Australia program</w:t>
      </w:r>
      <w:r w:rsidR="00B85E28">
        <w:t xml:space="preserve"> </w:t>
      </w:r>
      <w:r w:rsidR="00E62589">
        <w:t xml:space="preserve">is provided on the </w:t>
      </w:r>
      <w:hyperlink r:id="rId24" w:history="1">
        <w:r w:rsidR="00E62589" w:rsidRPr="00E62589">
          <w:rPr>
            <w:rStyle w:val="Hyperlink"/>
          </w:rPr>
          <w:t>ACMA website</w:t>
        </w:r>
      </w:hyperlink>
      <w:r w:rsidR="00E62589">
        <w:t xml:space="preserve">), </w:t>
      </w:r>
      <w:r>
        <w:t>which formally commenced in July 2017, are not included in the ACLC cost calculations. Supplier costs for th</w:t>
      </w:r>
      <w:r w:rsidR="004A3214">
        <w:t>at</w:t>
      </w:r>
      <w:r>
        <w:t xml:space="preserve"> </w:t>
      </w:r>
      <w:r w:rsidR="00B7357B">
        <w:t>p</w:t>
      </w:r>
      <w:r>
        <w:t xml:space="preserve">rogram are tracked separately. However, </w:t>
      </w:r>
      <w:r w:rsidR="00B7357B">
        <w:t xml:space="preserve">please </w:t>
      </w:r>
      <w:r>
        <w:t>note:</w:t>
      </w:r>
    </w:p>
    <w:p w14:paraId="5F9164B4" w14:textId="3D9E138F" w:rsidR="00B60999" w:rsidRPr="00307ECC" w:rsidRDefault="00B60999" w:rsidP="007A371B">
      <w:pPr>
        <w:pStyle w:val="ListBullet"/>
      </w:pPr>
      <w:r w:rsidRPr="00307ECC">
        <w:t>Staff working in the ACCC’s telecommunications regulation function in 2016</w:t>
      </w:r>
      <w:r w:rsidR="00B7357B">
        <w:t>–</w:t>
      </w:r>
      <w:r w:rsidRPr="00307ECC">
        <w:t xml:space="preserve">17 incurred costs related to the </w:t>
      </w:r>
      <w:r w:rsidR="006428C7" w:rsidRPr="00307ECC">
        <w:t>MBA p</w:t>
      </w:r>
      <w:r w:rsidRPr="00307ECC">
        <w:t>rogram’s establishment, including the tender process. Thes</w:t>
      </w:r>
      <w:r w:rsidR="008A4599" w:rsidRPr="00307ECC">
        <w:t>e costs are included in the 2017</w:t>
      </w:r>
      <w:r w:rsidR="00B7357B">
        <w:t>–</w:t>
      </w:r>
      <w:r w:rsidR="008A4599" w:rsidRPr="00307ECC">
        <w:t>18</w:t>
      </w:r>
      <w:r w:rsidRPr="00307ECC">
        <w:t xml:space="preserve"> ACLC calculation.  </w:t>
      </w:r>
    </w:p>
    <w:p w14:paraId="67D13C6F" w14:textId="77777777" w:rsidR="00B60999" w:rsidRPr="00307ECC" w:rsidRDefault="00B60999" w:rsidP="007A371B">
      <w:pPr>
        <w:pStyle w:val="ListBulletLast"/>
      </w:pPr>
      <w:r w:rsidRPr="00307ECC">
        <w:t xml:space="preserve">Responsibility for any investigative and regulation work resulting from the </w:t>
      </w:r>
      <w:r w:rsidR="006428C7" w:rsidRPr="00307ECC">
        <w:t>MBA p</w:t>
      </w:r>
      <w:r w:rsidRPr="00307ECC">
        <w:t>rogram’s findings will fall to ACCC staff as part of their business-as-usual telecommunications regulation function. These costs will be included in future ACLC calculations.</w:t>
      </w:r>
    </w:p>
    <w:p w14:paraId="61084F81" w14:textId="77777777" w:rsidR="00A0125E" w:rsidRDefault="00A0125E" w:rsidP="00A0125E">
      <w:r w:rsidRPr="00083A83">
        <w:t xml:space="preserve">Table </w:t>
      </w:r>
      <w:r w:rsidR="00FA02BF">
        <w:t>6</w:t>
      </w:r>
      <w:r w:rsidRPr="00083A83">
        <w:t xml:space="preserve"> provides details for the direct and support costs of the ACCC’s</w:t>
      </w:r>
      <w:r w:rsidRPr="00AD4C5D">
        <w:t xml:space="preserve"> component at a</w:t>
      </w:r>
      <w:r>
        <w:t>n</w:t>
      </w:r>
      <w:r w:rsidRPr="00AD4C5D">
        <w:t xml:space="preserve"> </w:t>
      </w:r>
      <w:r>
        <w:t>output</w:t>
      </w:r>
      <w:r w:rsidRPr="00AD4C5D">
        <w:t xml:space="preserve"> level</w:t>
      </w:r>
      <w:r w:rsidR="00223DBD">
        <w:t>.</w:t>
      </w:r>
    </w:p>
    <w:p w14:paraId="16DEF842" w14:textId="77777777" w:rsidR="00156B53" w:rsidRPr="006A56FD" w:rsidRDefault="00156B53" w:rsidP="00156B53">
      <w:pPr>
        <w:pStyle w:val="ACMATableHeader"/>
        <w:keepNext/>
        <w:numPr>
          <w:ilvl w:val="0"/>
          <w:numId w:val="0"/>
        </w:numPr>
      </w:pPr>
      <w:r>
        <w:t xml:space="preserve">Table 6: </w:t>
      </w:r>
      <w:r w:rsidRPr="006A56FD">
        <w:t>The ACCC’s component at output level, 201</w:t>
      </w:r>
      <w:r>
        <w:t>7</w:t>
      </w:r>
      <w:r w:rsidRPr="006A56FD">
        <w:t>–1</w:t>
      </w:r>
      <w:r>
        <w:t>8</w:t>
      </w:r>
      <w:r w:rsidRPr="006A56FD">
        <w:t xml:space="preserve"> (based on 201</w:t>
      </w:r>
      <w:r>
        <w:t>6</w:t>
      </w:r>
      <w:r w:rsidRPr="006A56FD">
        <w:t>–1</w:t>
      </w:r>
      <w:r>
        <w:t>7</w:t>
      </w:r>
      <w:r w:rsidRPr="006A56FD">
        <w:t xml:space="preserve"> costs)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57" w:type="dxa"/>
          <w:left w:w="57" w:type="dxa"/>
          <w:bottom w:w="57" w:type="dxa"/>
          <w:right w:w="57" w:type="dxa"/>
        </w:tblCellMar>
        <w:tblLook w:val="04A0" w:firstRow="1" w:lastRow="0" w:firstColumn="1" w:lastColumn="0" w:noHBand="0" w:noVBand="1"/>
        <w:tblCaption w:val="The ACCC’s component at output level, 2015–16"/>
        <w:tblDescription w:val="Includes the  direct, support and total costs for output activities."/>
      </w:tblPr>
      <w:tblGrid>
        <w:gridCol w:w="4009"/>
        <w:gridCol w:w="1138"/>
        <w:gridCol w:w="1281"/>
        <w:gridCol w:w="1227"/>
      </w:tblGrid>
      <w:tr w:rsidR="00156B53" w:rsidRPr="00B4771B" w14:paraId="777A3BC7" w14:textId="77777777" w:rsidTr="000269F7">
        <w:trPr>
          <w:trHeight w:val="361"/>
          <w:tblHeader/>
        </w:trPr>
        <w:tc>
          <w:tcPr>
            <w:tcW w:w="4009" w:type="dxa"/>
            <w:shd w:val="clear" w:color="auto" w:fill="404040" w:themeFill="text1" w:themeFillTint="BF"/>
          </w:tcPr>
          <w:p w14:paraId="02E6C124" w14:textId="77777777" w:rsidR="00156B53" w:rsidRPr="00AE2FD7" w:rsidRDefault="00156B53" w:rsidP="000269F7">
            <w:pPr>
              <w:pStyle w:val="TableHeading"/>
              <w:rPr>
                <w:b w:val="0"/>
                <w:color w:val="FFFFFF" w:themeColor="background1"/>
              </w:rPr>
            </w:pPr>
            <w:r w:rsidRPr="00AE2FD7">
              <w:rPr>
                <w:color w:val="FFFFFF" w:themeColor="background1"/>
              </w:rPr>
              <w:t>Output activity</w:t>
            </w:r>
          </w:p>
        </w:tc>
        <w:tc>
          <w:tcPr>
            <w:tcW w:w="1138" w:type="dxa"/>
            <w:shd w:val="clear" w:color="auto" w:fill="404040" w:themeFill="text1" w:themeFillTint="BF"/>
          </w:tcPr>
          <w:p w14:paraId="698C284A" w14:textId="77777777" w:rsidR="00156B53" w:rsidRPr="00AE2FD7" w:rsidRDefault="00156B53" w:rsidP="000269F7">
            <w:pPr>
              <w:pStyle w:val="TableHeading"/>
              <w:jc w:val="right"/>
              <w:rPr>
                <w:b w:val="0"/>
                <w:color w:val="FFFFFF" w:themeColor="background1"/>
              </w:rPr>
            </w:pPr>
            <w:r w:rsidRPr="00AE2FD7">
              <w:rPr>
                <w:color w:val="FFFFFF" w:themeColor="background1"/>
              </w:rPr>
              <w:t>Direct cost</w:t>
            </w:r>
            <w:r>
              <w:rPr>
                <w:color w:val="FFFFFF" w:themeColor="background1"/>
              </w:rPr>
              <w:t>s</w:t>
            </w:r>
          </w:p>
        </w:tc>
        <w:tc>
          <w:tcPr>
            <w:tcW w:w="1281" w:type="dxa"/>
            <w:shd w:val="clear" w:color="auto" w:fill="404040" w:themeFill="text1" w:themeFillTint="BF"/>
          </w:tcPr>
          <w:p w14:paraId="40F29127" w14:textId="77777777" w:rsidR="00156B53" w:rsidRPr="00AE2FD7" w:rsidRDefault="00156B53" w:rsidP="000269F7">
            <w:pPr>
              <w:pStyle w:val="TableHeading"/>
              <w:jc w:val="right"/>
              <w:rPr>
                <w:b w:val="0"/>
                <w:color w:val="FFFFFF" w:themeColor="background1"/>
              </w:rPr>
            </w:pPr>
            <w:r w:rsidRPr="00AE2FD7">
              <w:rPr>
                <w:color w:val="FFFFFF" w:themeColor="background1"/>
              </w:rPr>
              <w:t>Support cost</w:t>
            </w:r>
            <w:r>
              <w:rPr>
                <w:color w:val="FFFFFF" w:themeColor="background1"/>
              </w:rPr>
              <w:t>s</w:t>
            </w:r>
          </w:p>
        </w:tc>
        <w:tc>
          <w:tcPr>
            <w:tcW w:w="1227" w:type="dxa"/>
            <w:tcBorders>
              <w:top w:val="single" w:sz="6" w:space="0" w:color="auto"/>
            </w:tcBorders>
            <w:shd w:val="clear" w:color="auto" w:fill="404040" w:themeFill="text1" w:themeFillTint="BF"/>
          </w:tcPr>
          <w:p w14:paraId="34B74FB9" w14:textId="77777777" w:rsidR="00156B53" w:rsidRPr="00AE2FD7" w:rsidRDefault="00156B53" w:rsidP="000269F7">
            <w:pPr>
              <w:pStyle w:val="TableHeading"/>
              <w:jc w:val="right"/>
              <w:rPr>
                <w:b w:val="0"/>
                <w:color w:val="FFFFFF" w:themeColor="background1"/>
              </w:rPr>
            </w:pPr>
            <w:r w:rsidRPr="00AE2FD7">
              <w:rPr>
                <w:color w:val="FFFFFF" w:themeColor="background1"/>
              </w:rPr>
              <w:t xml:space="preserve">Total </w:t>
            </w:r>
            <w:r>
              <w:rPr>
                <w:color w:val="FFFFFF" w:themeColor="background1"/>
              </w:rPr>
              <w:br/>
            </w:r>
            <w:r w:rsidRPr="00AE2FD7">
              <w:rPr>
                <w:color w:val="FFFFFF" w:themeColor="background1"/>
              </w:rPr>
              <w:t>cost</w:t>
            </w:r>
          </w:p>
        </w:tc>
      </w:tr>
      <w:tr w:rsidR="00156B53" w:rsidRPr="00B4771B" w14:paraId="31BA2023" w14:textId="77777777" w:rsidTr="000269F7">
        <w:trPr>
          <w:trHeight w:val="256"/>
        </w:trPr>
        <w:tc>
          <w:tcPr>
            <w:tcW w:w="4009" w:type="dxa"/>
          </w:tcPr>
          <w:p w14:paraId="27543DC0" w14:textId="77777777" w:rsidR="00156B53" w:rsidRPr="00F45CD9" w:rsidRDefault="00156B53" w:rsidP="000269F7">
            <w:pPr>
              <w:keepNext/>
              <w:spacing w:after="0"/>
              <w:rPr>
                <w:rFonts w:cs="Arial"/>
                <w:szCs w:val="20"/>
              </w:rPr>
            </w:pPr>
            <w:r w:rsidRPr="00F70BD3">
              <w:rPr>
                <w:rFonts w:cs="Arial"/>
                <w:szCs w:val="20"/>
              </w:rPr>
              <w:t xml:space="preserve">Industry </w:t>
            </w:r>
            <w:r>
              <w:rPr>
                <w:rFonts w:cs="Arial"/>
                <w:szCs w:val="20"/>
              </w:rPr>
              <w:t>s</w:t>
            </w:r>
            <w:r w:rsidRPr="00F70BD3">
              <w:rPr>
                <w:rFonts w:cs="Arial"/>
                <w:szCs w:val="20"/>
              </w:rPr>
              <w:t xml:space="preserve">tructure </w:t>
            </w:r>
            <w:r>
              <w:rPr>
                <w:rFonts w:cs="Arial"/>
                <w:szCs w:val="20"/>
              </w:rPr>
              <w:t>and</w:t>
            </w:r>
            <w:r w:rsidRPr="00F70BD3">
              <w:rPr>
                <w:rFonts w:cs="Arial"/>
                <w:szCs w:val="20"/>
              </w:rPr>
              <w:t xml:space="preserve"> </w:t>
            </w:r>
            <w:r>
              <w:rPr>
                <w:rFonts w:cs="Arial"/>
                <w:szCs w:val="20"/>
              </w:rPr>
              <w:t>c</w:t>
            </w:r>
            <w:r w:rsidRPr="00F70BD3">
              <w:rPr>
                <w:rFonts w:cs="Arial"/>
                <w:szCs w:val="20"/>
              </w:rPr>
              <w:t>ompliance</w:t>
            </w:r>
          </w:p>
        </w:tc>
        <w:tc>
          <w:tcPr>
            <w:tcW w:w="1138" w:type="dxa"/>
          </w:tcPr>
          <w:p w14:paraId="65D1BD59" w14:textId="77777777" w:rsidR="00156B53" w:rsidRDefault="00156B53" w:rsidP="000269F7">
            <w:pPr>
              <w:keepNext/>
              <w:spacing w:after="0"/>
              <w:jc w:val="right"/>
              <w:rPr>
                <w:rFonts w:cs="Arial"/>
                <w:color w:val="000000"/>
                <w:szCs w:val="20"/>
              </w:rPr>
            </w:pPr>
            <w:r>
              <w:rPr>
                <w:rFonts w:cs="Arial"/>
                <w:color w:val="000000"/>
                <w:szCs w:val="20"/>
              </w:rPr>
              <w:t>$2,741,338</w:t>
            </w:r>
          </w:p>
        </w:tc>
        <w:tc>
          <w:tcPr>
            <w:tcW w:w="1281" w:type="dxa"/>
          </w:tcPr>
          <w:p w14:paraId="3A59EDED" w14:textId="77777777" w:rsidR="00156B53" w:rsidRDefault="00156B53" w:rsidP="000269F7">
            <w:pPr>
              <w:keepNext/>
              <w:spacing w:after="0"/>
              <w:jc w:val="right"/>
              <w:rPr>
                <w:rFonts w:cs="Arial"/>
                <w:color w:val="000000"/>
                <w:szCs w:val="20"/>
              </w:rPr>
            </w:pPr>
            <w:r>
              <w:rPr>
                <w:rFonts w:cs="Arial"/>
                <w:color w:val="000000"/>
                <w:szCs w:val="20"/>
              </w:rPr>
              <w:t>$1,698,209</w:t>
            </w:r>
          </w:p>
        </w:tc>
        <w:tc>
          <w:tcPr>
            <w:tcW w:w="1227" w:type="dxa"/>
          </w:tcPr>
          <w:p w14:paraId="27097AD6" w14:textId="77777777" w:rsidR="00156B53" w:rsidRDefault="00156B53" w:rsidP="000269F7">
            <w:pPr>
              <w:keepNext/>
              <w:spacing w:after="0"/>
              <w:jc w:val="right"/>
              <w:rPr>
                <w:rFonts w:cs="Arial"/>
                <w:color w:val="000000"/>
                <w:szCs w:val="20"/>
              </w:rPr>
            </w:pPr>
            <w:r>
              <w:rPr>
                <w:rFonts w:cs="Arial"/>
                <w:b/>
                <w:bCs/>
                <w:color w:val="000000"/>
                <w:szCs w:val="20"/>
              </w:rPr>
              <w:t>$4,439,547</w:t>
            </w:r>
          </w:p>
        </w:tc>
      </w:tr>
      <w:tr w:rsidR="00156B53" w:rsidRPr="00B4771B" w14:paraId="374C8DA9" w14:textId="77777777" w:rsidTr="000269F7">
        <w:trPr>
          <w:trHeight w:val="446"/>
        </w:trPr>
        <w:tc>
          <w:tcPr>
            <w:tcW w:w="4009" w:type="dxa"/>
          </w:tcPr>
          <w:p w14:paraId="4C6FA1A0" w14:textId="77777777" w:rsidR="00156B53" w:rsidRPr="00F45CD9" w:rsidRDefault="00156B53" w:rsidP="000269F7">
            <w:pPr>
              <w:keepNext/>
              <w:spacing w:after="0"/>
              <w:rPr>
                <w:rFonts w:cs="Arial"/>
                <w:szCs w:val="20"/>
              </w:rPr>
            </w:pPr>
            <w:r w:rsidRPr="00F70BD3">
              <w:rPr>
                <w:rFonts w:cs="Arial"/>
                <w:szCs w:val="20"/>
              </w:rPr>
              <w:t xml:space="preserve">Mobiles, </w:t>
            </w:r>
            <w:r>
              <w:rPr>
                <w:rFonts w:cs="Arial"/>
                <w:szCs w:val="20"/>
              </w:rPr>
              <w:t>t</w:t>
            </w:r>
            <w:r w:rsidRPr="00F70BD3">
              <w:rPr>
                <w:rFonts w:cs="Arial"/>
                <w:szCs w:val="20"/>
              </w:rPr>
              <w:t xml:space="preserve">ransmission and </w:t>
            </w:r>
            <w:r>
              <w:rPr>
                <w:rFonts w:cs="Arial"/>
                <w:szCs w:val="20"/>
              </w:rPr>
              <w:t>c</w:t>
            </w:r>
            <w:r w:rsidRPr="00F70BD3">
              <w:rPr>
                <w:rFonts w:cs="Arial"/>
                <w:szCs w:val="20"/>
              </w:rPr>
              <w:t>onsumer</w:t>
            </w:r>
            <w:r>
              <w:rPr>
                <w:rFonts w:cs="Arial"/>
                <w:szCs w:val="20"/>
              </w:rPr>
              <w:t xml:space="preserve"> (including NBN)</w:t>
            </w:r>
          </w:p>
        </w:tc>
        <w:tc>
          <w:tcPr>
            <w:tcW w:w="1138" w:type="dxa"/>
          </w:tcPr>
          <w:p w14:paraId="719858D4" w14:textId="77777777" w:rsidR="00156B53" w:rsidRDefault="00156B53" w:rsidP="000269F7">
            <w:pPr>
              <w:keepNext/>
              <w:spacing w:after="0"/>
              <w:jc w:val="right"/>
              <w:rPr>
                <w:rFonts w:cs="Arial"/>
                <w:color w:val="000000"/>
                <w:szCs w:val="20"/>
              </w:rPr>
            </w:pPr>
            <w:r>
              <w:rPr>
                <w:rFonts w:cs="Arial"/>
                <w:color w:val="000000"/>
                <w:szCs w:val="20"/>
              </w:rPr>
              <w:t>$2,644,238</w:t>
            </w:r>
          </w:p>
        </w:tc>
        <w:tc>
          <w:tcPr>
            <w:tcW w:w="1281" w:type="dxa"/>
          </w:tcPr>
          <w:p w14:paraId="7C94B7D2" w14:textId="77777777" w:rsidR="00156B53" w:rsidRDefault="00156B53" w:rsidP="000269F7">
            <w:pPr>
              <w:keepNext/>
              <w:spacing w:after="0"/>
              <w:jc w:val="right"/>
              <w:rPr>
                <w:rFonts w:cs="Arial"/>
                <w:color w:val="000000"/>
                <w:szCs w:val="20"/>
              </w:rPr>
            </w:pPr>
            <w:r>
              <w:rPr>
                <w:rFonts w:cs="Arial"/>
                <w:color w:val="000000"/>
                <w:szCs w:val="20"/>
              </w:rPr>
              <w:t>$1,638,057</w:t>
            </w:r>
          </w:p>
        </w:tc>
        <w:tc>
          <w:tcPr>
            <w:tcW w:w="1227" w:type="dxa"/>
          </w:tcPr>
          <w:p w14:paraId="705CE866" w14:textId="77777777" w:rsidR="00156B53" w:rsidRDefault="00156B53" w:rsidP="000269F7">
            <w:pPr>
              <w:keepNext/>
              <w:spacing w:after="0"/>
              <w:jc w:val="right"/>
              <w:rPr>
                <w:rFonts w:cs="Arial"/>
                <w:color w:val="000000"/>
                <w:szCs w:val="20"/>
              </w:rPr>
            </w:pPr>
            <w:r>
              <w:rPr>
                <w:rFonts w:cs="Arial"/>
                <w:b/>
                <w:bCs/>
                <w:color w:val="000000"/>
                <w:szCs w:val="20"/>
              </w:rPr>
              <w:t>$4,282,295</w:t>
            </w:r>
          </w:p>
        </w:tc>
      </w:tr>
      <w:tr w:rsidR="00156B53" w:rsidRPr="00B4771B" w14:paraId="3A3B32F7" w14:textId="77777777" w:rsidTr="000269F7">
        <w:trPr>
          <w:trHeight w:val="255"/>
        </w:trPr>
        <w:tc>
          <w:tcPr>
            <w:tcW w:w="4009" w:type="dxa"/>
          </w:tcPr>
          <w:p w14:paraId="0EE368EF" w14:textId="77777777" w:rsidR="00156B53" w:rsidRPr="00F45CD9" w:rsidRDefault="00156B53" w:rsidP="000269F7">
            <w:pPr>
              <w:keepNext/>
              <w:spacing w:after="0"/>
              <w:rPr>
                <w:rFonts w:cs="Arial"/>
                <w:szCs w:val="20"/>
              </w:rPr>
            </w:pPr>
            <w:r w:rsidRPr="00F70BD3">
              <w:rPr>
                <w:rFonts w:cs="Arial"/>
                <w:szCs w:val="20"/>
              </w:rPr>
              <w:t xml:space="preserve">Wireline </w:t>
            </w:r>
            <w:r>
              <w:rPr>
                <w:rFonts w:cs="Arial"/>
                <w:szCs w:val="20"/>
              </w:rPr>
              <w:t>m</w:t>
            </w:r>
            <w:r w:rsidRPr="00F70BD3">
              <w:rPr>
                <w:rFonts w:cs="Arial"/>
                <w:szCs w:val="20"/>
              </w:rPr>
              <w:t>arkets</w:t>
            </w:r>
          </w:p>
        </w:tc>
        <w:tc>
          <w:tcPr>
            <w:tcW w:w="1138" w:type="dxa"/>
          </w:tcPr>
          <w:p w14:paraId="453D58D0" w14:textId="77777777" w:rsidR="00156B53" w:rsidRDefault="00156B53" w:rsidP="000269F7">
            <w:pPr>
              <w:keepNext/>
              <w:spacing w:after="0"/>
              <w:jc w:val="right"/>
              <w:rPr>
                <w:rFonts w:cs="Arial"/>
                <w:color w:val="000000"/>
                <w:szCs w:val="20"/>
              </w:rPr>
            </w:pPr>
            <w:r>
              <w:rPr>
                <w:rFonts w:cs="Arial"/>
                <w:color w:val="000000"/>
                <w:szCs w:val="20"/>
              </w:rPr>
              <w:t>$2,022,623</w:t>
            </w:r>
          </w:p>
        </w:tc>
        <w:tc>
          <w:tcPr>
            <w:tcW w:w="1281" w:type="dxa"/>
          </w:tcPr>
          <w:p w14:paraId="5D85020C" w14:textId="77777777" w:rsidR="00156B53" w:rsidRDefault="00156B53" w:rsidP="000269F7">
            <w:pPr>
              <w:keepNext/>
              <w:spacing w:after="0"/>
              <w:jc w:val="right"/>
              <w:rPr>
                <w:rFonts w:cs="Arial"/>
                <w:color w:val="000000"/>
                <w:szCs w:val="20"/>
              </w:rPr>
            </w:pPr>
            <w:r>
              <w:rPr>
                <w:rFonts w:cs="Arial"/>
                <w:color w:val="000000"/>
                <w:szCs w:val="20"/>
              </w:rPr>
              <w:t>$1,252,978</w:t>
            </w:r>
          </w:p>
        </w:tc>
        <w:tc>
          <w:tcPr>
            <w:tcW w:w="1227" w:type="dxa"/>
          </w:tcPr>
          <w:p w14:paraId="52AC6212" w14:textId="77777777" w:rsidR="00156B53" w:rsidRDefault="00156B53" w:rsidP="000269F7">
            <w:pPr>
              <w:keepNext/>
              <w:spacing w:after="0"/>
              <w:jc w:val="right"/>
              <w:rPr>
                <w:rFonts w:cs="Arial"/>
                <w:color w:val="000000"/>
                <w:szCs w:val="20"/>
              </w:rPr>
            </w:pPr>
            <w:r>
              <w:rPr>
                <w:rFonts w:cs="Arial"/>
                <w:b/>
                <w:bCs/>
                <w:color w:val="000000"/>
                <w:szCs w:val="20"/>
              </w:rPr>
              <w:t>$3,275,601</w:t>
            </w:r>
          </w:p>
        </w:tc>
      </w:tr>
      <w:tr w:rsidR="00156B53" w:rsidRPr="00B4771B" w14:paraId="7057A116" w14:textId="77777777" w:rsidTr="000269F7">
        <w:trPr>
          <w:trHeight w:val="147"/>
        </w:trPr>
        <w:tc>
          <w:tcPr>
            <w:tcW w:w="4009" w:type="dxa"/>
            <w:tcBorders>
              <w:bottom w:val="single" w:sz="6" w:space="0" w:color="auto"/>
            </w:tcBorders>
          </w:tcPr>
          <w:p w14:paraId="0C1F1330" w14:textId="77777777" w:rsidR="00156B53" w:rsidRPr="00F45CD9" w:rsidRDefault="00156B53" w:rsidP="000269F7">
            <w:pPr>
              <w:keepNext/>
              <w:spacing w:after="0"/>
              <w:rPr>
                <w:rFonts w:cs="Arial"/>
                <w:szCs w:val="20"/>
              </w:rPr>
            </w:pPr>
            <w:r w:rsidRPr="00F45CD9">
              <w:rPr>
                <w:rFonts w:cs="Arial"/>
                <w:szCs w:val="20"/>
              </w:rPr>
              <w:t xml:space="preserve">Other </w:t>
            </w:r>
            <w:r>
              <w:rPr>
                <w:rFonts w:cs="Arial"/>
                <w:szCs w:val="20"/>
              </w:rPr>
              <w:t>outputs</w:t>
            </w:r>
          </w:p>
        </w:tc>
        <w:tc>
          <w:tcPr>
            <w:tcW w:w="1138" w:type="dxa"/>
            <w:tcBorders>
              <w:bottom w:val="single" w:sz="6" w:space="0" w:color="auto"/>
            </w:tcBorders>
          </w:tcPr>
          <w:p w14:paraId="1F2FC9AB" w14:textId="77777777" w:rsidR="00156B53" w:rsidRDefault="00156B53" w:rsidP="000269F7">
            <w:pPr>
              <w:keepNext/>
              <w:spacing w:after="0"/>
              <w:jc w:val="right"/>
              <w:rPr>
                <w:rFonts w:cs="Arial"/>
                <w:color w:val="000000"/>
                <w:szCs w:val="20"/>
              </w:rPr>
            </w:pPr>
            <w:r>
              <w:rPr>
                <w:rFonts w:cs="Arial"/>
                <w:color w:val="000000"/>
                <w:szCs w:val="20"/>
              </w:rPr>
              <w:t>$686,473</w:t>
            </w:r>
          </w:p>
        </w:tc>
        <w:tc>
          <w:tcPr>
            <w:tcW w:w="1281" w:type="dxa"/>
            <w:tcBorders>
              <w:bottom w:val="single" w:sz="6" w:space="0" w:color="auto"/>
            </w:tcBorders>
          </w:tcPr>
          <w:p w14:paraId="07586590" w14:textId="77777777" w:rsidR="00156B53" w:rsidRDefault="00156B53" w:rsidP="000269F7">
            <w:pPr>
              <w:keepNext/>
              <w:spacing w:after="0"/>
              <w:jc w:val="right"/>
              <w:rPr>
                <w:rFonts w:cs="Arial"/>
                <w:color w:val="000000"/>
                <w:szCs w:val="20"/>
              </w:rPr>
            </w:pPr>
            <w:r>
              <w:rPr>
                <w:rFonts w:cs="Arial"/>
                <w:color w:val="000000"/>
                <w:szCs w:val="20"/>
              </w:rPr>
              <w:t>$425,257</w:t>
            </w:r>
          </w:p>
        </w:tc>
        <w:tc>
          <w:tcPr>
            <w:tcW w:w="1227" w:type="dxa"/>
            <w:tcBorders>
              <w:bottom w:val="single" w:sz="6" w:space="0" w:color="auto"/>
            </w:tcBorders>
          </w:tcPr>
          <w:p w14:paraId="653D00E1" w14:textId="77777777" w:rsidR="00156B53" w:rsidRDefault="00156B53" w:rsidP="000269F7">
            <w:pPr>
              <w:keepNext/>
              <w:spacing w:after="0"/>
              <w:jc w:val="right"/>
              <w:rPr>
                <w:rFonts w:cs="Arial"/>
                <w:color w:val="000000"/>
                <w:szCs w:val="20"/>
              </w:rPr>
            </w:pPr>
            <w:r>
              <w:rPr>
                <w:rFonts w:cs="Arial"/>
                <w:b/>
                <w:bCs/>
                <w:color w:val="000000"/>
                <w:szCs w:val="20"/>
              </w:rPr>
              <w:t>$1,111,730</w:t>
            </w:r>
          </w:p>
        </w:tc>
      </w:tr>
      <w:tr w:rsidR="00156B53" w:rsidRPr="00B4771B" w14:paraId="30313EC0" w14:textId="77777777" w:rsidTr="000269F7">
        <w:trPr>
          <w:trHeight w:val="95"/>
        </w:trPr>
        <w:tc>
          <w:tcPr>
            <w:tcW w:w="4009" w:type="dxa"/>
            <w:shd w:val="clear" w:color="auto" w:fill="D9D9D9" w:themeFill="background1" w:themeFillShade="D9"/>
          </w:tcPr>
          <w:p w14:paraId="6CCBB1AA" w14:textId="77777777" w:rsidR="00156B53" w:rsidRPr="00F45CD9" w:rsidRDefault="00156B53" w:rsidP="000269F7">
            <w:pPr>
              <w:keepNext/>
              <w:spacing w:after="0"/>
              <w:rPr>
                <w:rFonts w:cs="Arial"/>
                <w:b/>
                <w:iCs/>
                <w:color w:val="000000" w:themeColor="text1"/>
                <w:szCs w:val="20"/>
              </w:rPr>
            </w:pPr>
            <w:r w:rsidRPr="00F45CD9">
              <w:rPr>
                <w:rFonts w:cs="Arial"/>
                <w:b/>
                <w:iCs/>
                <w:color w:val="000000" w:themeColor="text1"/>
                <w:szCs w:val="20"/>
              </w:rPr>
              <w:t>Total costs</w:t>
            </w:r>
          </w:p>
        </w:tc>
        <w:tc>
          <w:tcPr>
            <w:tcW w:w="1138" w:type="dxa"/>
            <w:shd w:val="clear" w:color="auto" w:fill="D9D9D9" w:themeFill="background1" w:themeFillShade="D9"/>
          </w:tcPr>
          <w:p w14:paraId="5D6BBD85" w14:textId="77777777" w:rsidR="00156B53" w:rsidRPr="009A2EB4" w:rsidRDefault="00156B53" w:rsidP="000269F7">
            <w:pPr>
              <w:keepNext/>
              <w:spacing w:after="0"/>
              <w:jc w:val="right"/>
              <w:rPr>
                <w:rFonts w:cs="Arial"/>
                <w:b/>
                <w:bCs/>
                <w:color w:val="000000"/>
                <w:szCs w:val="20"/>
              </w:rPr>
            </w:pPr>
            <w:r>
              <w:rPr>
                <w:rFonts w:cs="Arial"/>
                <w:b/>
                <w:bCs/>
                <w:color w:val="000000"/>
                <w:szCs w:val="20"/>
              </w:rPr>
              <w:t>$8,094,672</w:t>
            </w:r>
          </w:p>
        </w:tc>
        <w:tc>
          <w:tcPr>
            <w:tcW w:w="1281" w:type="dxa"/>
            <w:shd w:val="clear" w:color="auto" w:fill="D9D9D9" w:themeFill="background1" w:themeFillShade="D9"/>
          </w:tcPr>
          <w:p w14:paraId="09526D6A" w14:textId="77777777" w:rsidR="00156B53" w:rsidRPr="009A2EB4" w:rsidRDefault="00156B53" w:rsidP="000269F7">
            <w:pPr>
              <w:keepNext/>
              <w:spacing w:after="0"/>
              <w:jc w:val="right"/>
              <w:rPr>
                <w:rFonts w:cs="Arial"/>
                <w:b/>
                <w:bCs/>
                <w:color w:val="000000"/>
                <w:szCs w:val="20"/>
              </w:rPr>
            </w:pPr>
            <w:r>
              <w:rPr>
                <w:rFonts w:cs="Arial"/>
                <w:b/>
                <w:bCs/>
                <w:color w:val="000000"/>
                <w:szCs w:val="20"/>
              </w:rPr>
              <w:t>$5,014,501</w:t>
            </w:r>
          </w:p>
        </w:tc>
        <w:tc>
          <w:tcPr>
            <w:tcW w:w="1227" w:type="dxa"/>
            <w:shd w:val="clear" w:color="auto" w:fill="D9D9D9" w:themeFill="background1" w:themeFillShade="D9"/>
          </w:tcPr>
          <w:p w14:paraId="3A3C23AC" w14:textId="77777777" w:rsidR="00156B53" w:rsidRPr="009A2EB4" w:rsidRDefault="00156B53" w:rsidP="000269F7">
            <w:pPr>
              <w:keepNext/>
              <w:spacing w:after="0"/>
              <w:jc w:val="right"/>
              <w:rPr>
                <w:rFonts w:cs="Arial"/>
                <w:b/>
                <w:bCs/>
                <w:color w:val="000000"/>
                <w:szCs w:val="20"/>
              </w:rPr>
            </w:pPr>
            <w:r>
              <w:rPr>
                <w:rFonts w:cs="Arial"/>
                <w:b/>
                <w:bCs/>
                <w:color w:val="000000"/>
                <w:szCs w:val="20"/>
              </w:rPr>
              <w:t>$13,109,173</w:t>
            </w:r>
          </w:p>
        </w:tc>
      </w:tr>
    </w:tbl>
    <w:p w14:paraId="6C41073E" w14:textId="77777777" w:rsidR="00156B53" w:rsidRDefault="00156B53" w:rsidP="00A0125E"/>
    <w:p w14:paraId="15BFB7E8" w14:textId="7461184F" w:rsidR="00616057" w:rsidRDefault="00616057" w:rsidP="00616057">
      <w:pPr>
        <w:rPr>
          <w:rFonts w:eastAsia="SimSun" w:cs="Arial"/>
          <w:szCs w:val="20"/>
          <w:lang w:eastAsia="en-US"/>
        </w:rPr>
      </w:pPr>
      <w:r w:rsidRPr="009A2EB4">
        <w:rPr>
          <w:rFonts w:eastAsia="SimSun" w:cs="Arial"/>
          <w:szCs w:val="20"/>
          <w:lang w:eastAsia="en-US"/>
        </w:rPr>
        <w:t xml:space="preserve">Direct costs are the costs incurred directly by the ACCC’s </w:t>
      </w:r>
      <w:r>
        <w:rPr>
          <w:rFonts w:eastAsia="SimSun" w:cs="Arial"/>
          <w:szCs w:val="20"/>
          <w:lang w:eastAsia="en-US"/>
        </w:rPr>
        <w:t>c</w:t>
      </w:r>
      <w:r w:rsidRPr="009A2EB4">
        <w:rPr>
          <w:rFonts w:eastAsia="SimSun" w:cs="Arial"/>
          <w:szCs w:val="20"/>
          <w:lang w:eastAsia="en-US"/>
        </w:rPr>
        <w:t xml:space="preserve">ommunications function housed within the ACCC’s Infrastructure Regulation Division. These costs are </w:t>
      </w:r>
      <w:r>
        <w:rPr>
          <w:rFonts w:eastAsia="SimSun" w:cs="Arial"/>
          <w:szCs w:val="20"/>
          <w:lang w:eastAsia="en-US"/>
        </w:rPr>
        <w:t xml:space="preserve">attributed to </w:t>
      </w:r>
      <w:r w:rsidRPr="009A2EB4">
        <w:rPr>
          <w:rFonts w:eastAsia="SimSun" w:cs="Arial"/>
          <w:szCs w:val="20"/>
          <w:lang w:eastAsia="en-US"/>
        </w:rPr>
        <w:t xml:space="preserve">discrete cost centres aligned with the </w:t>
      </w:r>
      <w:r>
        <w:rPr>
          <w:rFonts w:eastAsia="SimSun" w:cs="Arial"/>
          <w:szCs w:val="20"/>
          <w:lang w:eastAsia="en-US"/>
        </w:rPr>
        <w:t xml:space="preserve">telecommunication </w:t>
      </w:r>
      <w:r w:rsidRPr="009A2EB4">
        <w:rPr>
          <w:rFonts w:eastAsia="SimSun" w:cs="Arial"/>
          <w:szCs w:val="20"/>
          <w:lang w:eastAsia="en-US"/>
        </w:rPr>
        <w:t>output activities</w:t>
      </w:r>
      <w:r>
        <w:rPr>
          <w:rFonts w:eastAsia="SimSun" w:cs="Arial"/>
          <w:szCs w:val="20"/>
          <w:lang w:eastAsia="en-US"/>
        </w:rPr>
        <w:t xml:space="preserve">. </w:t>
      </w:r>
      <w:r w:rsidRPr="009A2EB4">
        <w:rPr>
          <w:rFonts w:eastAsia="SimSun" w:cs="Arial"/>
          <w:szCs w:val="20"/>
          <w:lang w:eastAsia="en-US"/>
        </w:rPr>
        <w:t>The</w:t>
      </w:r>
      <w:r>
        <w:rPr>
          <w:rFonts w:eastAsia="SimSun" w:cs="Arial"/>
          <w:szCs w:val="20"/>
          <w:lang w:eastAsia="en-US"/>
        </w:rPr>
        <w:t xml:space="preserve">y </w:t>
      </w:r>
      <w:r w:rsidRPr="009A2EB4">
        <w:rPr>
          <w:rFonts w:eastAsia="SimSun" w:cs="Arial"/>
          <w:szCs w:val="20"/>
          <w:lang w:eastAsia="en-US"/>
        </w:rPr>
        <w:t xml:space="preserve">include staff salaries and other expenses </w:t>
      </w:r>
      <w:r w:rsidR="001C1C15">
        <w:rPr>
          <w:rFonts w:eastAsia="SimSun" w:cs="Arial"/>
          <w:szCs w:val="20"/>
          <w:lang w:eastAsia="en-US"/>
        </w:rPr>
        <w:t>for</w:t>
      </w:r>
      <w:r w:rsidRPr="009A2EB4">
        <w:rPr>
          <w:rFonts w:eastAsia="SimSun" w:cs="Arial"/>
          <w:szCs w:val="20"/>
          <w:lang w:eastAsia="en-US"/>
        </w:rPr>
        <w:t xml:space="preserve"> the </w:t>
      </w:r>
      <w:r>
        <w:rPr>
          <w:rFonts w:eastAsia="SimSun" w:cs="Arial"/>
          <w:szCs w:val="20"/>
          <w:lang w:eastAsia="en-US"/>
        </w:rPr>
        <w:t>c</w:t>
      </w:r>
      <w:r w:rsidRPr="009A2EB4">
        <w:rPr>
          <w:rFonts w:eastAsia="SimSun" w:cs="Arial"/>
          <w:szCs w:val="20"/>
          <w:lang w:eastAsia="en-US"/>
        </w:rPr>
        <w:t>ommunications function carrying out the activities (for example, contractors, consultants, suppliers,</w:t>
      </w:r>
      <w:r>
        <w:rPr>
          <w:rFonts w:eastAsia="SimSun" w:cs="Arial"/>
          <w:szCs w:val="20"/>
          <w:lang w:eastAsia="en-US"/>
        </w:rPr>
        <w:t xml:space="preserve"> travel and office consumables). An annual review of e</w:t>
      </w:r>
      <w:r w:rsidRPr="009A2EB4">
        <w:rPr>
          <w:rFonts w:eastAsia="SimSun" w:cs="Arial"/>
          <w:szCs w:val="20"/>
          <w:lang w:eastAsia="en-US"/>
        </w:rPr>
        <w:t>xecutive effort</w:t>
      </w:r>
      <w:r>
        <w:rPr>
          <w:rFonts w:eastAsia="SimSun" w:cs="Arial"/>
          <w:szCs w:val="20"/>
          <w:lang w:eastAsia="en-US"/>
        </w:rPr>
        <w:t xml:space="preserve"> related to the telecommunication function provides a consistent approach for capturing costs into the allocation model.</w:t>
      </w:r>
    </w:p>
    <w:p w14:paraId="76FF05C9" w14:textId="77777777" w:rsidR="00616057" w:rsidRDefault="00616057" w:rsidP="00616057">
      <w:pPr>
        <w:spacing w:after="80"/>
        <w:rPr>
          <w:rFonts w:eastAsia="SimSun" w:cs="Arial"/>
          <w:szCs w:val="20"/>
          <w:lang w:eastAsia="en-US"/>
        </w:rPr>
      </w:pPr>
      <w:r w:rsidRPr="009A2EB4">
        <w:rPr>
          <w:rFonts w:eastAsia="SimSun" w:cs="Arial"/>
          <w:szCs w:val="20"/>
          <w:lang w:eastAsia="en-US"/>
        </w:rPr>
        <w:t xml:space="preserve">The support costs are the costs incurred by the ACCC’s </w:t>
      </w:r>
      <w:r>
        <w:rPr>
          <w:rFonts w:eastAsia="SimSun" w:cs="Arial"/>
          <w:szCs w:val="20"/>
          <w:lang w:eastAsia="en-US"/>
        </w:rPr>
        <w:t>corporate divisions,</w:t>
      </w:r>
      <w:r w:rsidRPr="00136822">
        <w:rPr>
          <w:rFonts w:cs="Arial"/>
          <w:lang w:eastAsia="en-US"/>
        </w:rPr>
        <w:t xml:space="preserve"> </w:t>
      </w:r>
      <w:r w:rsidRPr="009A2EB4">
        <w:rPr>
          <w:rFonts w:cs="Arial"/>
          <w:lang w:eastAsia="en-US"/>
        </w:rPr>
        <w:t>including finance, human resources, legal, property, IT, and regulatory.</w:t>
      </w:r>
      <w:r w:rsidRPr="00136822">
        <w:rPr>
          <w:rFonts w:cs="Arial"/>
          <w:lang w:eastAsia="en-US"/>
        </w:rPr>
        <w:t xml:space="preserve"> </w:t>
      </w:r>
      <w:r w:rsidRPr="009A2EB4">
        <w:rPr>
          <w:rFonts w:eastAsia="SimSun" w:cs="Arial"/>
          <w:szCs w:val="20"/>
          <w:lang w:eastAsia="en-US"/>
        </w:rPr>
        <w:t>The costs include all support staff salaries and other expenses in relation to corporate support services (for example</w:t>
      </w:r>
      <w:r>
        <w:rPr>
          <w:rFonts w:eastAsia="SimSun" w:cs="Arial"/>
          <w:szCs w:val="20"/>
          <w:lang w:eastAsia="en-US"/>
        </w:rPr>
        <w:t>,</w:t>
      </w:r>
      <w:r w:rsidRPr="009A2EB4">
        <w:rPr>
          <w:rFonts w:eastAsia="SimSun" w:cs="Arial"/>
          <w:szCs w:val="20"/>
          <w:lang w:eastAsia="en-US"/>
        </w:rPr>
        <w:t xml:space="preserve"> consultancies, suppliers, depreciation and property</w:t>
      </w:r>
      <w:r>
        <w:rPr>
          <w:rFonts w:eastAsia="SimSun" w:cs="Arial"/>
          <w:szCs w:val="20"/>
          <w:lang w:eastAsia="en-US"/>
        </w:rPr>
        <w:t>/accommodation</w:t>
      </w:r>
      <w:r w:rsidRPr="009A2EB4">
        <w:rPr>
          <w:rFonts w:eastAsia="SimSun" w:cs="Arial"/>
          <w:szCs w:val="20"/>
          <w:lang w:eastAsia="en-US"/>
        </w:rPr>
        <w:t>).</w:t>
      </w:r>
      <w:r>
        <w:rPr>
          <w:rFonts w:eastAsia="SimSun" w:cs="Arial"/>
          <w:szCs w:val="20"/>
          <w:lang w:eastAsia="en-US"/>
        </w:rPr>
        <w:t xml:space="preserve"> </w:t>
      </w:r>
      <w:r w:rsidRPr="009A2EB4">
        <w:rPr>
          <w:rFonts w:eastAsia="SimSun" w:cs="Arial"/>
          <w:szCs w:val="20"/>
          <w:lang w:eastAsia="en-US"/>
        </w:rPr>
        <w:t>These costs are allocated to activities using three cost drivers: non-legal expenditure, legal expenditure and average staff levels (ASL)</w:t>
      </w:r>
      <w:r>
        <w:rPr>
          <w:rFonts w:eastAsia="SimSun" w:cs="Arial"/>
          <w:szCs w:val="20"/>
          <w:lang w:eastAsia="en-US"/>
        </w:rPr>
        <w:t>:</w:t>
      </w:r>
      <w:r w:rsidRPr="009A2EB4">
        <w:rPr>
          <w:rFonts w:eastAsia="SimSun" w:cs="Arial"/>
          <w:szCs w:val="20"/>
          <w:lang w:eastAsia="en-US"/>
        </w:rPr>
        <w:t xml:space="preserve"> </w:t>
      </w:r>
      <w:r>
        <w:rPr>
          <w:rFonts w:eastAsia="SimSun" w:cs="Arial"/>
          <w:szCs w:val="20"/>
          <w:lang w:eastAsia="en-US"/>
        </w:rPr>
        <w:t xml:space="preserve"> </w:t>
      </w:r>
    </w:p>
    <w:p w14:paraId="308DED4D" w14:textId="15DF546E" w:rsidR="00616057" w:rsidRDefault="00616057" w:rsidP="001C1C15">
      <w:pPr>
        <w:pStyle w:val="ListBullet"/>
        <w:rPr>
          <w:rFonts w:eastAsia="SimSun"/>
          <w:lang w:eastAsia="en-US"/>
        </w:rPr>
      </w:pPr>
      <w:r>
        <w:rPr>
          <w:rFonts w:eastAsia="SimSun"/>
          <w:lang w:eastAsia="en-US"/>
        </w:rPr>
        <w:t>non-legal expenditure driver</w:t>
      </w:r>
      <w:r w:rsidR="001C1C15">
        <w:rPr>
          <w:rFonts w:eastAsia="SimSun"/>
          <w:lang w:eastAsia="en-US"/>
        </w:rPr>
        <w:t>—</w:t>
      </w:r>
      <w:r>
        <w:rPr>
          <w:rFonts w:eastAsia="SimSun"/>
          <w:lang w:eastAsia="en-US"/>
        </w:rPr>
        <w:t>allocate</w:t>
      </w:r>
      <w:r w:rsidR="001C1C15">
        <w:rPr>
          <w:rFonts w:eastAsia="SimSun"/>
          <w:lang w:eastAsia="en-US"/>
        </w:rPr>
        <w:t>s</w:t>
      </w:r>
      <w:r>
        <w:rPr>
          <w:rFonts w:eastAsia="SimSun"/>
          <w:lang w:eastAsia="en-US"/>
        </w:rPr>
        <w:t xml:space="preserve"> corporate costs not easily attributed to usage or headcount (for example, executive governance, assurance and strategic support)</w:t>
      </w:r>
    </w:p>
    <w:p w14:paraId="4FD5716C" w14:textId="3FBED67C" w:rsidR="00616057" w:rsidRDefault="00616057" w:rsidP="00616057">
      <w:pPr>
        <w:pStyle w:val="ListBullet"/>
        <w:rPr>
          <w:rFonts w:eastAsia="SimSun"/>
          <w:lang w:eastAsia="en-US"/>
        </w:rPr>
      </w:pPr>
      <w:r w:rsidRPr="007A0FC8">
        <w:rPr>
          <w:rFonts w:eastAsia="SimSun"/>
          <w:lang w:eastAsia="en-US"/>
        </w:rPr>
        <w:t>ASL driver</w:t>
      </w:r>
      <w:r w:rsidR="001C1C15">
        <w:rPr>
          <w:rFonts w:eastAsia="SimSun"/>
          <w:lang w:eastAsia="en-US"/>
        </w:rPr>
        <w:t>—</w:t>
      </w:r>
      <w:r w:rsidRPr="007A0FC8">
        <w:rPr>
          <w:rFonts w:eastAsia="SimSun"/>
          <w:lang w:eastAsia="en-US"/>
        </w:rPr>
        <w:t>allocate</w:t>
      </w:r>
      <w:r w:rsidR="001C1C15">
        <w:rPr>
          <w:rFonts w:eastAsia="SimSun"/>
          <w:lang w:eastAsia="en-US"/>
        </w:rPr>
        <w:t>s</w:t>
      </w:r>
      <w:r w:rsidRPr="007A0FC8">
        <w:rPr>
          <w:rFonts w:eastAsia="SimSun"/>
          <w:lang w:eastAsia="en-US"/>
        </w:rPr>
        <w:t xml:space="preserve"> overhead costs that are driven more by staffing than expenditure (</w:t>
      </w:r>
      <w:r>
        <w:rPr>
          <w:rFonts w:eastAsia="SimSun"/>
          <w:lang w:eastAsia="en-US"/>
        </w:rPr>
        <w:t>for example, human resources, IT</w:t>
      </w:r>
      <w:r w:rsidRPr="007A0FC8">
        <w:rPr>
          <w:rFonts w:eastAsia="SimSun"/>
          <w:lang w:eastAsia="en-US"/>
        </w:rPr>
        <w:t xml:space="preserve"> support and property costs)</w:t>
      </w:r>
    </w:p>
    <w:p w14:paraId="4A6D1CE4" w14:textId="3CC73ADC" w:rsidR="00616057" w:rsidRDefault="00616057" w:rsidP="00616057">
      <w:pPr>
        <w:pStyle w:val="ListBulletLast"/>
        <w:rPr>
          <w:rFonts w:eastAsia="SimSun"/>
          <w:lang w:eastAsia="en-US"/>
        </w:rPr>
      </w:pPr>
      <w:r>
        <w:rPr>
          <w:rFonts w:eastAsia="SimSun"/>
          <w:lang w:eastAsia="en-US"/>
        </w:rPr>
        <w:t>legal driver</w:t>
      </w:r>
      <w:r w:rsidR="001C1C15">
        <w:rPr>
          <w:rFonts w:eastAsia="SimSun"/>
          <w:lang w:eastAsia="en-US"/>
        </w:rPr>
        <w:t>—</w:t>
      </w:r>
      <w:r>
        <w:rPr>
          <w:rFonts w:eastAsia="SimSun"/>
          <w:lang w:eastAsia="en-US"/>
        </w:rPr>
        <w:t>allocate</w:t>
      </w:r>
      <w:r w:rsidR="001C1C15">
        <w:rPr>
          <w:rFonts w:eastAsia="SimSun"/>
          <w:lang w:eastAsia="en-US"/>
        </w:rPr>
        <w:t>s</w:t>
      </w:r>
      <w:r>
        <w:rPr>
          <w:rFonts w:eastAsia="SimSun"/>
          <w:lang w:eastAsia="en-US"/>
        </w:rPr>
        <w:t xml:space="preserve"> the in-house legal support function, based on a proportion of usage.</w:t>
      </w:r>
      <w:r w:rsidRPr="003E11AA">
        <w:rPr>
          <w:rFonts w:eastAsia="SimSun"/>
          <w:lang w:eastAsia="en-US"/>
        </w:rPr>
        <w:t xml:space="preserve"> </w:t>
      </w:r>
    </w:p>
    <w:p w14:paraId="56FA3CCE" w14:textId="5A13D888" w:rsidR="006428C7" w:rsidRDefault="006428C7" w:rsidP="00A0125E">
      <w:pPr>
        <w:rPr>
          <w:rFonts w:cs="Arial"/>
          <w:lang w:eastAsia="en-US"/>
        </w:rPr>
      </w:pPr>
      <w:r w:rsidRPr="009D54C2">
        <w:rPr>
          <w:rFonts w:cs="Arial"/>
          <w:lang w:eastAsia="en-US"/>
        </w:rPr>
        <w:t xml:space="preserve">The output costs reported in Table 6 are the lowest cost object captured by </w:t>
      </w:r>
      <w:r w:rsidR="00F02932">
        <w:rPr>
          <w:rFonts w:cs="Arial"/>
          <w:lang w:eastAsia="en-US"/>
        </w:rPr>
        <w:t xml:space="preserve">the </w:t>
      </w:r>
      <w:r w:rsidRPr="009D54C2">
        <w:rPr>
          <w:rFonts w:cs="Arial"/>
          <w:lang w:eastAsia="en-US"/>
        </w:rPr>
        <w:t xml:space="preserve">ACCC. </w:t>
      </w:r>
      <w:r w:rsidR="009D54C2" w:rsidRPr="009D54C2">
        <w:rPr>
          <w:rFonts w:cs="Arial"/>
          <w:lang w:eastAsia="en-US"/>
        </w:rPr>
        <w:t>As an activity</w:t>
      </w:r>
      <w:r w:rsidR="001C1C15">
        <w:rPr>
          <w:rFonts w:cs="Arial"/>
          <w:lang w:eastAsia="en-US"/>
        </w:rPr>
        <w:t>-</w:t>
      </w:r>
      <w:r w:rsidR="009D54C2" w:rsidRPr="009D54C2">
        <w:rPr>
          <w:rFonts w:cs="Arial"/>
          <w:lang w:eastAsia="en-US"/>
        </w:rPr>
        <w:t>based cost system is not used by the ACCC, th</w:t>
      </w:r>
      <w:r w:rsidR="00F773AA" w:rsidRPr="009D54C2">
        <w:rPr>
          <w:rFonts w:cs="Arial"/>
          <w:lang w:eastAsia="en-US"/>
        </w:rPr>
        <w:t>ese costs are captured at cost object level</w:t>
      </w:r>
      <w:r w:rsidR="009D54C2" w:rsidRPr="009D54C2">
        <w:rPr>
          <w:rFonts w:cs="Arial"/>
          <w:lang w:eastAsia="en-US"/>
        </w:rPr>
        <w:t xml:space="preserve">. </w:t>
      </w:r>
    </w:p>
    <w:p w14:paraId="58FB8CD7" w14:textId="77777777" w:rsidR="00A0125E" w:rsidRDefault="00A0125E" w:rsidP="00A0125E">
      <w:pPr>
        <w:rPr>
          <w:rFonts w:cs="Arial"/>
          <w:lang w:eastAsia="en-US"/>
        </w:rPr>
      </w:pPr>
      <w:r>
        <w:rPr>
          <w:rFonts w:cs="Arial"/>
          <w:lang w:eastAsia="en-US"/>
        </w:rPr>
        <w:t xml:space="preserve">Table </w:t>
      </w:r>
      <w:r w:rsidR="00FA02BF">
        <w:rPr>
          <w:rFonts w:cs="Arial"/>
          <w:lang w:eastAsia="en-US"/>
        </w:rPr>
        <w:t>7</w:t>
      </w:r>
      <w:r w:rsidRPr="00083A83">
        <w:rPr>
          <w:rFonts w:cs="Arial"/>
          <w:lang w:eastAsia="en-US"/>
        </w:rPr>
        <w:t xml:space="preserve"> sets out the allocation method applied to each of the corporate</w:t>
      </w:r>
      <w:r>
        <w:rPr>
          <w:rFonts w:cs="Arial"/>
          <w:lang w:eastAsia="en-US"/>
        </w:rPr>
        <w:t xml:space="preserve"> categories</w:t>
      </w:r>
      <w:r w:rsidRPr="009A2EB4">
        <w:rPr>
          <w:rFonts w:cs="Arial"/>
          <w:lang w:eastAsia="en-US"/>
        </w:rPr>
        <w:t>.</w:t>
      </w:r>
    </w:p>
    <w:p w14:paraId="4557046C" w14:textId="77777777" w:rsidR="00A0125E" w:rsidRPr="006A56FD" w:rsidRDefault="00FA02BF" w:rsidP="007A371B">
      <w:pPr>
        <w:pStyle w:val="ACMATableHeader"/>
        <w:keepNext/>
        <w:keepLines/>
        <w:numPr>
          <w:ilvl w:val="0"/>
          <w:numId w:val="0"/>
        </w:numPr>
      </w:pPr>
      <w:r>
        <w:t>Table 7:</w:t>
      </w:r>
      <w:r>
        <w:tab/>
      </w:r>
      <w:r w:rsidR="00A0125E" w:rsidRPr="006A56FD">
        <w:t>Allocation of ACCC’s support costs</w:t>
      </w:r>
    </w:p>
    <w:tbl>
      <w:tblPr>
        <w:tblStyle w:val="TableGrid"/>
        <w:tblW w:w="7513" w:type="dxa"/>
        <w:tblInd w:w="-5" w:type="dxa"/>
        <w:tblLayout w:type="fixed"/>
        <w:tblCellMar>
          <w:top w:w="57" w:type="dxa"/>
          <w:bottom w:w="57" w:type="dxa"/>
        </w:tblCellMar>
        <w:tblLook w:val="04A0" w:firstRow="1" w:lastRow="0" w:firstColumn="1" w:lastColumn="0" w:noHBand="0" w:noVBand="1"/>
        <w:tblCaption w:val="Allocation of ACCC’s support costs"/>
        <w:tblDescription w:val="Includes categories, cost drivers and allocation methods."/>
      </w:tblPr>
      <w:tblGrid>
        <w:gridCol w:w="2835"/>
        <w:gridCol w:w="1418"/>
        <w:gridCol w:w="3260"/>
      </w:tblGrid>
      <w:tr w:rsidR="00A0125E" w:rsidRPr="009A2EB4" w14:paraId="61C551F7" w14:textId="77777777" w:rsidTr="00451B25">
        <w:trPr>
          <w:tblHeader/>
        </w:trPr>
        <w:tc>
          <w:tcPr>
            <w:tcW w:w="2835" w:type="dxa"/>
            <w:shd w:val="clear" w:color="auto" w:fill="404040" w:themeFill="text1" w:themeFillTint="BF"/>
          </w:tcPr>
          <w:p w14:paraId="365187CA" w14:textId="77777777" w:rsidR="00A0125E" w:rsidRPr="00451B25" w:rsidRDefault="00A0125E" w:rsidP="007A371B">
            <w:pPr>
              <w:pStyle w:val="TableHeading"/>
              <w:keepNext/>
              <w:keepLines/>
              <w:rPr>
                <w:rFonts w:eastAsia="SimSun"/>
                <w:b w:val="0"/>
                <w:color w:val="FFFFFF" w:themeColor="background1"/>
                <w:lang w:eastAsia="en-US"/>
              </w:rPr>
            </w:pPr>
            <w:r w:rsidRPr="00451B25">
              <w:rPr>
                <w:rFonts w:eastAsia="SimSun"/>
                <w:color w:val="FFFFFF" w:themeColor="background1"/>
                <w:lang w:eastAsia="en-US"/>
              </w:rPr>
              <w:t>Category</w:t>
            </w:r>
          </w:p>
        </w:tc>
        <w:tc>
          <w:tcPr>
            <w:tcW w:w="1418" w:type="dxa"/>
            <w:shd w:val="clear" w:color="auto" w:fill="404040" w:themeFill="text1" w:themeFillTint="BF"/>
          </w:tcPr>
          <w:p w14:paraId="70D32114" w14:textId="77777777" w:rsidR="00A0125E" w:rsidRPr="00451B25" w:rsidRDefault="00A0125E" w:rsidP="007A371B">
            <w:pPr>
              <w:pStyle w:val="TableHeading"/>
              <w:keepNext/>
              <w:keepLines/>
              <w:rPr>
                <w:rFonts w:eastAsia="SimSun"/>
                <w:b w:val="0"/>
                <w:color w:val="FFFFFF" w:themeColor="background1"/>
                <w:lang w:eastAsia="en-US"/>
              </w:rPr>
            </w:pPr>
            <w:r w:rsidRPr="00451B25">
              <w:rPr>
                <w:rFonts w:eastAsia="SimSun"/>
                <w:color w:val="FFFFFF" w:themeColor="background1"/>
                <w:lang w:eastAsia="en-US"/>
              </w:rPr>
              <w:t xml:space="preserve">Cost </w:t>
            </w:r>
            <w:r w:rsidR="00DA5037" w:rsidRPr="00451B25">
              <w:rPr>
                <w:rFonts w:eastAsia="SimSun"/>
                <w:color w:val="FFFFFF" w:themeColor="background1"/>
                <w:lang w:eastAsia="en-US"/>
              </w:rPr>
              <w:t>d</w:t>
            </w:r>
            <w:r w:rsidRPr="00451B25">
              <w:rPr>
                <w:rFonts w:eastAsia="SimSun"/>
                <w:color w:val="FFFFFF" w:themeColor="background1"/>
                <w:lang w:eastAsia="en-US"/>
              </w:rPr>
              <w:t>river</w:t>
            </w:r>
          </w:p>
        </w:tc>
        <w:tc>
          <w:tcPr>
            <w:tcW w:w="3260" w:type="dxa"/>
            <w:shd w:val="clear" w:color="auto" w:fill="404040" w:themeFill="text1" w:themeFillTint="BF"/>
          </w:tcPr>
          <w:p w14:paraId="6EA8EE27" w14:textId="77777777" w:rsidR="00A0125E" w:rsidRPr="00451B25" w:rsidRDefault="00A0125E" w:rsidP="007A371B">
            <w:pPr>
              <w:pStyle w:val="TableHeading"/>
              <w:keepNext/>
              <w:keepLines/>
              <w:rPr>
                <w:rFonts w:eastAsia="SimSun"/>
                <w:b w:val="0"/>
                <w:color w:val="FFFFFF" w:themeColor="background1"/>
                <w:lang w:eastAsia="en-US"/>
              </w:rPr>
            </w:pPr>
            <w:r w:rsidRPr="00451B25">
              <w:rPr>
                <w:rFonts w:eastAsia="SimSun"/>
                <w:color w:val="FFFFFF" w:themeColor="background1"/>
                <w:lang w:eastAsia="en-US"/>
              </w:rPr>
              <w:t xml:space="preserve">Allocation </w:t>
            </w:r>
            <w:r w:rsidR="00DA5037" w:rsidRPr="00451B25">
              <w:rPr>
                <w:rFonts w:eastAsia="SimSun"/>
                <w:color w:val="FFFFFF" w:themeColor="background1"/>
                <w:lang w:eastAsia="en-US"/>
              </w:rPr>
              <w:t>m</w:t>
            </w:r>
            <w:r w:rsidRPr="00451B25">
              <w:rPr>
                <w:rFonts w:eastAsia="SimSun"/>
                <w:color w:val="FFFFFF" w:themeColor="background1"/>
                <w:lang w:eastAsia="en-US"/>
              </w:rPr>
              <w:t>ethod</w:t>
            </w:r>
          </w:p>
        </w:tc>
      </w:tr>
      <w:tr w:rsidR="00A0125E" w:rsidRPr="009A2EB4" w14:paraId="79C6352B" w14:textId="77777777" w:rsidTr="00451B25">
        <w:tc>
          <w:tcPr>
            <w:tcW w:w="2835" w:type="dxa"/>
            <w:vAlign w:val="center"/>
          </w:tcPr>
          <w:p w14:paraId="69E65E0C" w14:textId="77777777" w:rsidR="00A0125E" w:rsidRPr="009A2EB4" w:rsidRDefault="00A0125E" w:rsidP="007A371B">
            <w:pPr>
              <w:keepNext/>
              <w:keepLines/>
              <w:spacing w:after="0"/>
              <w:rPr>
                <w:rFonts w:eastAsia="SimSun" w:cs="Arial"/>
                <w:szCs w:val="20"/>
                <w:lang w:eastAsia="en-US"/>
              </w:rPr>
            </w:pPr>
            <w:r w:rsidRPr="009A2EB4">
              <w:rPr>
                <w:rFonts w:cs="Arial"/>
              </w:rPr>
              <w:t>Executive</w:t>
            </w:r>
          </w:p>
        </w:tc>
        <w:tc>
          <w:tcPr>
            <w:tcW w:w="1418" w:type="dxa"/>
            <w:vMerge w:val="restart"/>
            <w:vAlign w:val="center"/>
          </w:tcPr>
          <w:p w14:paraId="45B2F316" w14:textId="77777777" w:rsidR="00A0125E" w:rsidRPr="009A2EB4" w:rsidRDefault="00616057" w:rsidP="007A371B">
            <w:pPr>
              <w:keepNext/>
              <w:keepLines/>
              <w:spacing w:after="0"/>
              <w:rPr>
                <w:rFonts w:eastAsia="SimSun" w:cs="Arial"/>
                <w:szCs w:val="20"/>
                <w:lang w:eastAsia="en-US"/>
              </w:rPr>
            </w:pPr>
            <w:r>
              <w:rPr>
                <w:rFonts w:eastAsia="SimSun" w:cs="Arial"/>
                <w:szCs w:val="20"/>
                <w:lang w:eastAsia="en-US"/>
              </w:rPr>
              <w:t>Non-legal costs</w:t>
            </w:r>
          </w:p>
        </w:tc>
        <w:tc>
          <w:tcPr>
            <w:tcW w:w="3260" w:type="dxa"/>
            <w:vMerge w:val="restart"/>
            <w:vAlign w:val="center"/>
          </w:tcPr>
          <w:p w14:paraId="7D246F13" w14:textId="77777777" w:rsidR="00A0125E" w:rsidRPr="009A2EB4" w:rsidRDefault="00A0125E" w:rsidP="007A371B">
            <w:pPr>
              <w:keepNext/>
              <w:keepLines/>
              <w:spacing w:after="0"/>
              <w:rPr>
                <w:rFonts w:eastAsia="SimSun" w:cs="Arial"/>
                <w:szCs w:val="20"/>
                <w:lang w:eastAsia="en-US"/>
              </w:rPr>
            </w:pPr>
            <w:r>
              <w:rPr>
                <w:rFonts w:eastAsia="SimSun" w:cs="Arial"/>
                <w:szCs w:val="20"/>
                <w:lang w:eastAsia="en-US"/>
              </w:rPr>
              <w:t>Percentage allocation based on the p</w:t>
            </w:r>
            <w:r w:rsidRPr="00A464F6">
              <w:rPr>
                <w:rFonts w:eastAsia="SimSun" w:cs="Arial"/>
                <w:szCs w:val="20"/>
                <w:lang w:eastAsia="en-US"/>
              </w:rPr>
              <w:t xml:space="preserve">roportion of the </w:t>
            </w:r>
            <w:r w:rsidR="00DA5037">
              <w:rPr>
                <w:rFonts w:eastAsia="SimSun" w:cs="Arial"/>
                <w:szCs w:val="20"/>
                <w:lang w:eastAsia="en-US"/>
              </w:rPr>
              <w:t>c</w:t>
            </w:r>
            <w:r w:rsidRPr="00A464F6">
              <w:rPr>
                <w:rFonts w:eastAsia="SimSun" w:cs="Arial"/>
                <w:szCs w:val="20"/>
                <w:lang w:eastAsia="en-US"/>
              </w:rPr>
              <w:t xml:space="preserve">ommunications function </w:t>
            </w:r>
            <w:r>
              <w:rPr>
                <w:rFonts w:eastAsia="SimSun" w:cs="Arial"/>
                <w:szCs w:val="20"/>
                <w:lang w:eastAsia="en-US"/>
              </w:rPr>
              <w:t xml:space="preserve">component </w:t>
            </w:r>
            <w:r w:rsidRPr="00A464F6">
              <w:rPr>
                <w:rFonts w:eastAsia="SimSun" w:cs="Arial"/>
                <w:szCs w:val="20"/>
                <w:lang w:eastAsia="en-US"/>
              </w:rPr>
              <w:t xml:space="preserve">to the ACCC’s operational </w:t>
            </w:r>
            <w:r w:rsidR="00DA5037">
              <w:rPr>
                <w:rFonts w:eastAsia="SimSun" w:cs="Arial"/>
                <w:szCs w:val="20"/>
                <w:lang w:eastAsia="en-US"/>
              </w:rPr>
              <w:t>d</w:t>
            </w:r>
            <w:r w:rsidRPr="00A464F6">
              <w:rPr>
                <w:rFonts w:eastAsia="SimSun" w:cs="Arial"/>
                <w:szCs w:val="20"/>
                <w:lang w:eastAsia="en-US"/>
              </w:rPr>
              <w:t>ivisions</w:t>
            </w:r>
            <w:r>
              <w:rPr>
                <w:rFonts w:eastAsia="SimSun" w:cs="Arial"/>
                <w:szCs w:val="20"/>
                <w:lang w:eastAsia="en-US"/>
              </w:rPr>
              <w:t>* component</w:t>
            </w:r>
          </w:p>
        </w:tc>
      </w:tr>
      <w:tr w:rsidR="00A0125E" w:rsidRPr="009A2EB4" w14:paraId="70096347" w14:textId="77777777" w:rsidTr="00451B25">
        <w:tc>
          <w:tcPr>
            <w:tcW w:w="2835" w:type="dxa"/>
            <w:vAlign w:val="center"/>
          </w:tcPr>
          <w:p w14:paraId="43F2A9D5" w14:textId="77777777" w:rsidR="00A0125E" w:rsidRPr="009A2EB4" w:rsidRDefault="00A0125E" w:rsidP="007A371B">
            <w:pPr>
              <w:keepNext/>
              <w:keepLines/>
              <w:spacing w:after="0"/>
              <w:rPr>
                <w:rFonts w:eastAsia="SimSun" w:cs="Arial"/>
                <w:szCs w:val="20"/>
                <w:lang w:eastAsia="en-US"/>
              </w:rPr>
            </w:pPr>
            <w:r w:rsidRPr="009A2EB4">
              <w:rPr>
                <w:rFonts w:cs="Arial"/>
              </w:rPr>
              <w:t>Corporate management</w:t>
            </w:r>
          </w:p>
        </w:tc>
        <w:tc>
          <w:tcPr>
            <w:tcW w:w="1418" w:type="dxa"/>
            <w:vMerge/>
            <w:vAlign w:val="center"/>
          </w:tcPr>
          <w:p w14:paraId="4F6A29EB" w14:textId="77777777" w:rsidR="00A0125E" w:rsidRPr="009A2EB4" w:rsidRDefault="00A0125E" w:rsidP="007A371B">
            <w:pPr>
              <w:keepNext/>
              <w:keepLines/>
              <w:spacing w:after="0"/>
              <w:rPr>
                <w:rFonts w:eastAsia="SimSun" w:cs="Arial"/>
                <w:szCs w:val="20"/>
                <w:lang w:eastAsia="en-US"/>
              </w:rPr>
            </w:pPr>
          </w:p>
        </w:tc>
        <w:tc>
          <w:tcPr>
            <w:tcW w:w="3260" w:type="dxa"/>
            <w:vMerge/>
            <w:vAlign w:val="center"/>
          </w:tcPr>
          <w:p w14:paraId="36D6F889" w14:textId="77777777" w:rsidR="00A0125E" w:rsidRPr="009A2EB4" w:rsidRDefault="00A0125E" w:rsidP="007A371B">
            <w:pPr>
              <w:keepNext/>
              <w:keepLines/>
              <w:spacing w:after="0"/>
              <w:jc w:val="right"/>
              <w:rPr>
                <w:rFonts w:eastAsia="SimSun" w:cs="Arial"/>
                <w:szCs w:val="20"/>
                <w:lang w:eastAsia="en-US"/>
              </w:rPr>
            </w:pPr>
          </w:p>
        </w:tc>
      </w:tr>
      <w:tr w:rsidR="00A0125E" w:rsidRPr="009A2EB4" w14:paraId="5243A718" w14:textId="77777777" w:rsidTr="00451B25">
        <w:tc>
          <w:tcPr>
            <w:tcW w:w="2835" w:type="dxa"/>
            <w:vAlign w:val="center"/>
          </w:tcPr>
          <w:p w14:paraId="33328DE2" w14:textId="77777777" w:rsidR="00A0125E" w:rsidRPr="009A2EB4" w:rsidRDefault="00A0125E" w:rsidP="007A371B">
            <w:pPr>
              <w:keepNext/>
              <w:keepLines/>
              <w:spacing w:after="0"/>
              <w:rPr>
                <w:rFonts w:eastAsia="SimSun" w:cs="Arial"/>
                <w:szCs w:val="20"/>
                <w:lang w:eastAsia="en-US"/>
              </w:rPr>
            </w:pPr>
            <w:r w:rsidRPr="009A2EB4">
              <w:rPr>
                <w:rFonts w:cs="Arial"/>
              </w:rPr>
              <w:t>Corporate services</w:t>
            </w:r>
          </w:p>
        </w:tc>
        <w:tc>
          <w:tcPr>
            <w:tcW w:w="1418" w:type="dxa"/>
            <w:vMerge/>
            <w:vAlign w:val="center"/>
          </w:tcPr>
          <w:p w14:paraId="3579F0F1" w14:textId="77777777" w:rsidR="00A0125E" w:rsidRPr="009A2EB4" w:rsidRDefault="00A0125E" w:rsidP="007A371B">
            <w:pPr>
              <w:keepNext/>
              <w:keepLines/>
              <w:spacing w:after="0"/>
              <w:rPr>
                <w:rFonts w:eastAsia="SimSun" w:cs="Arial"/>
                <w:szCs w:val="20"/>
                <w:lang w:eastAsia="en-US"/>
              </w:rPr>
            </w:pPr>
          </w:p>
        </w:tc>
        <w:tc>
          <w:tcPr>
            <w:tcW w:w="3260" w:type="dxa"/>
            <w:vMerge/>
            <w:vAlign w:val="center"/>
          </w:tcPr>
          <w:p w14:paraId="221D1F3A" w14:textId="77777777" w:rsidR="00A0125E" w:rsidRPr="009A2EB4" w:rsidRDefault="00A0125E" w:rsidP="007A371B">
            <w:pPr>
              <w:keepNext/>
              <w:keepLines/>
              <w:spacing w:after="0"/>
              <w:jc w:val="right"/>
              <w:rPr>
                <w:rFonts w:eastAsia="SimSun" w:cs="Arial"/>
                <w:szCs w:val="20"/>
                <w:lang w:eastAsia="en-US"/>
              </w:rPr>
            </w:pPr>
          </w:p>
        </w:tc>
      </w:tr>
      <w:tr w:rsidR="00A0125E" w:rsidRPr="009A2EB4" w14:paraId="31B45FC8" w14:textId="77777777" w:rsidTr="00451B25">
        <w:tc>
          <w:tcPr>
            <w:tcW w:w="2835" w:type="dxa"/>
            <w:vAlign w:val="center"/>
          </w:tcPr>
          <w:p w14:paraId="086E3850" w14:textId="77777777" w:rsidR="00A0125E" w:rsidRPr="009A2EB4" w:rsidRDefault="00A0125E" w:rsidP="007A371B">
            <w:pPr>
              <w:keepNext/>
              <w:keepLines/>
              <w:spacing w:after="0"/>
              <w:rPr>
                <w:rFonts w:eastAsia="SimSun" w:cs="Arial"/>
                <w:szCs w:val="20"/>
                <w:lang w:eastAsia="en-US"/>
              </w:rPr>
            </w:pPr>
            <w:r w:rsidRPr="009A2EB4">
              <w:rPr>
                <w:rFonts w:cs="Arial"/>
              </w:rPr>
              <w:t>Finance</w:t>
            </w:r>
          </w:p>
        </w:tc>
        <w:tc>
          <w:tcPr>
            <w:tcW w:w="1418" w:type="dxa"/>
            <w:vMerge/>
            <w:vAlign w:val="center"/>
          </w:tcPr>
          <w:p w14:paraId="0772FA75" w14:textId="77777777" w:rsidR="00A0125E" w:rsidRPr="009A2EB4" w:rsidRDefault="00A0125E" w:rsidP="007A371B">
            <w:pPr>
              <w:keepNext/>
              <w:keepLines/>
              <w:spacing w:after="0"/>
              <w:rPr>
                <w:rFonts w:eastAsia="SimSun" w:cs="Arial"/>
                <w:szCs w:val="20"/>
                <w:lang w:eastAsia="en-US"/>
              </w:rPr>
            </w:pPr>
          </w:p>
        </w:tc>
        <w:tc>
          <w:tcPr>
            <w:tcW w:w="3260" w:type="dxa"/>
            <w:vMerge/>
            <w:vAlign w:val="center"/>
          </w:tcPr>
          <w:p w14:paraId="60FF001E" w14:textId="77777777" w:rsidR="00A0125E" w:rsidRPr="009A2EB4" w:rsidRDefault="00A0125E" w:rsidP="007A371B">
            <w:pPr>
              <w:keepNext/>
              <w:keepLines/>
              <w:spacing w:after="0"/>
              <w:jc w:val="right"/>
              <w:rPr>
                <w:rFonts w:eastAsia="SimSun" w:cs="Arial"/>
                <w:szCs w:val="20"/>
                <w:lang w:eastAsia="en-US"/>
              </w:rPr>
            </w:pPr>
          </w:p>
        </w:tc>
      </w:tr>
      <w:tr w:rsidR="00A0125E" w:rsidRPr="009A2EB4" w14:paraId="6176C08E" w14:textId="77777777" w:rsidTr="00451B25">
        <w:tc>
          <w:tcPr>
            <w:tcW w:w="2835" w:type="dxa"/>
            <w:vAlign w:val="center"/>
          </w:tcPr>
          <w:p w14:paraId="6FCB502C" w14:textId="77777777" w:rsidR="00A0125E" w:rsidRPr="009A2EB4" w:rsidRDefault="00A0125E" w:rsidP="007A371B">
            <w:pPr>
              <w:keepNext/>
              <w:keepLines/>
              <w:spacing w:after="0"/>
              <w:rPr>
                <w:rFonts w:eastAsia="SimSun" w:cs="Arial"/>
                <w:szCs w:val="20"/>
                <w:lang w:eastAsia="en-US"/>
              </w:rPr>
            </w:pPr>
            <w:r w:rsidRPr="009A2EB4">
              <w:rPr>
                <w:rFonts w:cs="Arial"/>
              </w:rPr>
              <w:t>Strategic communications</w:t>
            </w:r>
          </w:p>
        </w:tc>
        <w:tc>
          <w:tcPr>
            <w:tcW w:w="1418" w:type="dxa"/>
            <w:vMerge/>
            <w:vAlign w:val="center"/>
          </w:tcPr>
          <w:p w14:paraId="65CFA3FD" w14:textId="77777777" w:rsidR="00A0125E" w:rsidRPr="009A2EB4" w:rsidRDefault="00A0125E" w:rsidP="007A371B">
            <w:pPr>
              <w:keepNext/>
              <w:keepLines/>
              <w:spacing w:after="0"/>
              <w:rPr>
                <w:rFonts w:eastAsia="SimSun" w:cs="Arial"/>
                <w:szCs w:val="20"/>
                <w:lang w:eastAsia="en-US"/>
              </w:rPr>
            </w:pPr>
          </w:p>
        </w:tc>
        <w:tc>
          <w:tcPr>
            <w:tcW w:w="3260" w:type="dxa"/>
            <w:vMerge/>
            <w:vAlign w:val="center"/>
          </w:tcPr>
          <w:p w14:paraId="69D3126D" w14:textId="77777777" w:rsidR="00A0125E" w:rsidRPr="009A2EB4" w:rsidRDefault="00A0125E" w:rsidP="007A371B">
            <w:pPr>
              <w:keepNext/>
              <w:keepLines/>
              <w:spacing w:after="0"/>
              <w:jc w:val="right"/>
              <w:rPr>
                <w:rFonts w:eastAsia="SimSun" w:cs="Arial"/>
                <w:szCs w:val="20"/>
                <w:lang w:eastAsia="en-US"/>
              </w:rPr>
            </w:pPr>
          </w:p>
        </w:tc>
      </w:tr>
      <w:tr w:rsidR="00A0125E" w:rsidRPr="009A2EB4" w14:paraId="528DAF44" w14:textId="77777777" w:rsidTr="00451B25">
        <w:tc>
          <w:tcPr>
            <w:tcW w:w="2835" w:type="dxa"/>
            <w:vAlign w:val="center"/>
          </w:tcPr>
          <w:p w14:paraId="23C5E313" w14:textId="77777777" w:rsidR="00A0125E" w:rsidRPr="009A2EB4" w:rsidRDefault="00A0125E" w:rsidP="007A371B">
            <w:pPr>
              <w:keepNext/>
              <w:keepLines/>
              <w:spacing w:after="0"/>
              <w:rPr>
                <w:rFonts w:eastAsia="SimSun" w:cs="Arial"/>
                <w:szCs w:val="20"/>
                <w:lang w:eastAsia="en-US"/>
              </w:rPr>
            </w:pPr>
            <w:r w:rsidRPr="009A2EB4">
              <w:rPr>
                <w:rFonts w:cs="Arial"/>
              </w:rPr>
              <w:t>Information and technology</w:t>
            </w:r>
          </w:p>
        </w:tc>
        <w:tc>
          <w:tcPr>
            <w:tcW w:w="1418" w:type="dxa"/>
            <w:vMerge w:val="restart"/>
            <w:vAlign w:val="center"/>
          </w:tcPr>
          <w:p w14:paraId="79A5216C" w14:textId="77777777" w:rsidR="00A0125E" w:rsidRPr="009A2EB4" w:rsidRDefault="00A0125E" w:rsidP="007A371B">
            <w:pPr>
              <w:keepNext/>
              <w:keepLines/>
              <w:spacing w:after="0"/>
              <w:rPr>
                <w:rFonts w:eastAsia="SimSun" w:cs="Arial"/>
                <w:szCs w:val="20"/>
                <w:lang w:eastAsia="en-US"/>
              </w:rPr>
            </w:pPr>
            <w:r>
              <w:rPr>
                <w:rFonts w:eastAsia="SimSun" w:cs="Arial"/>
                <w:szCs w:val="20"/>
                <w:lang w:eastAsia="en-US"/>
              </w:rPr>
              <w:t>ASL</w:t>
            </w:r>
          </w:p>
        </w:tc>
        <w:tc>
          <w:tcPr>
            <w:tcW w:w="3260" w:type="dxa"/>
            <w:vMerge/>
            <w:vAlign w:val="center"/>
          </w:tcPr>
          <w:p w14:paraId="4F001E0D" w14:textId="77777777" w:rsidR="00A0125E" w:rsidRPr="009A2EB4" w:rsidRDefault="00A0125E" w:rsidP="007A371B">
            <w:pPr>
              <w:keepNext/>
              <w:keepLines/>
              <w:spacing w:after="0"/>
              <w:jc w:val="center"/>
              <w:rPr>
                <w:rFonts w:eastAsia="SimSun" w:cs="Arial"/>
                <w:szCs w:val="20"/>
                <w:lang w:eastAsia="en-US"/>
              </w:rPr>
            </w:pPr>
          </w:p>
        </w:tc>
      </w:tr>
      <w:tr w:rsidR="00A0125E" w:rsidRPr="009A2EB4" w14:paraId="7F360205" w14:textId="77777777" w:rsidTr="00451B25">
        <w:tc>
          <w:tcPr>
            <w:tcW w:w="2835" w:type="dxa"/>
            <w:vAlign w:val="center"/>
          </w:tcPr>
          <w:p w14:paraId="208995AD" w14:textId="77777777" w:rsidR="00A0125E" w:rsidRPr="009A2EB4" w:rsidRDefault="00A0125E" w:rsidP="007A371B">
            <w:pPr>
              <w:keepNext/>
              <w:keepLines/>
              <w:spacing w:after="0"/>
              <w:rPr>
                <w:rFonts w:eastAsia="SimSun" w:cs="Arial"/>
                <w:szCs w:val="20"/>
                <w:lang w:eastAsia="en-US"/>
              </w:rPr>
            </w:pPr>
            <w:r w:rsidRPr="009A2EB4">
              <w:rPr>
                <w:rFonts w:cs="Arial"/>
              </w:rPr>
              <w:t>Human resources</w:t>
            </w:r>
          </w:p>
        </w:tc>
        <w:tc>
          <w:tcPr>
            <w:tcW w:w="1418" w:type="dxa"/>
            <w:vMerge/>
            <w:vAlign w:val="center"/>
          </w:tcPr>
          <w:p w14:paraId="593FDCBF" w14:textId="77777777" w:rsidR="00A0125E" w:rsidRPr="009A2EB4" w:rsidRDefault="00A0125E" w:rsidP="007A371B">
            <w:pPr>
              <w:keepNext/>
              <w:keepLines/>
              <w:spacing w:after="0"/>
              <w:rPr>
                <w:rFonts w:eastAsia="SimSun" w:cs="Arial"/>
                <w:szCs w:val="20"/>
                <w:lang w:eastAsia="en-US"/>
              </w:rPr>
            </w:pPr>
          </w:p>
        </w:tc>
        <w:tc>
          <w:tcPr>
            <w:tcW w:w="3260" w:type="dxa"/>
            <w:vMerge/>
            <w:vAlign w:val="center"/>
          </w:tcPr>
          <w:p w14:paraId="02046F7F" w14:textId="77777777" w:rsidR="00A0125E" w:rsidRPr="009A2EB4" w:rsidRDefault="00A0125E" w:rsidP="007A371B">
            <w:pPr>
              <w:keepNext/>
              <w:keepLines/>
              <w:spacing w:after="0"/>
              <w:jc w:val="center"/>
              <w:rPr>
                <w:rFonts w:eastAsia="SimSun" w:cs="Arial"/>
                <w:szCs w:val="20"/>
                <w:lang w:eastAsia="en-US"/>
              </w:rPr>
            </w:pPr>
          </w:p>
        </w:tc>
      </w:tr>
      <w:tr w:rsidR="00A0125E" w:rsidRPr="009A2EB4" w14:paraId="68A17834" w14:textId="77777777" w:rsidTr="00451B25">
        <w:tc>
          <w:tcPr>
            <w:tcW w:w="2835" w:type="dxa"/>
            <w:vAlign w:val="center"/>
          </w:tcPr>
          <w:p w14:paraId="55F8846F" w14:textId="77777777" w:rsidR="00A0125E" w:rsidRPr="009A2EB4" w:rsidRDefault="00A0125E" w:rsidP="007A371B">
            <w:pPr>
              <w:keepNext/>
              <w:keepLines/>
              <w:spacing w:after="0"/>
              <w:rPr>
                <w:rFonts w:eastAsia="SimSun" w:cs="Arial"/>
                <w:szCs w:val="20"/>
                <w:lang w:eastAsia="en-US"/>
              </w:rPr>
            </w:pPr>
            <w:r w:rsidRPr="009A2EB4">
              <w:rPr>
                <w:rFonts w:cs="Arial"/>
              </w:rPr>
              <w:t>Property</w:t>
            </w:r>
          </w:p>
        </w:tc>
        <w:tc>
          <w:tcPr>
            <w:tcW w:w="1418" w:type="dxa"/>
            <w:vMerge/>
            <w:vAlign w:val="center"/>
          </w:tcPr>
          <w:p w14:paraId="39FD8897" w14:textId="77777777" w:rsidR="00A0125E" w:rsidRPr="009A2EB4" w:rsidRDefault="00A0125E" w:rsidP="007A371B">
            <w:pPr>
              <w:keepNext/>
              <w:keepLines/>
              <w:spacing w:after="0"/>
              <w:rPr>
                <w:rFonts w:eastAsia="SimSun" w:cs="Arial"/>
                <w:szCs w:val="20"/>
                <w:lang w:eastAsia="en-US"/>
              </w:rPr>
            </w:pPr>
          </w:p>
        </w:tc>
        <w:tc>
          <w:tcPr>
            <w:tcW w:w="3260" w:type="dxa"/>
            <w:vMerge/>
            <w:vAlign w:val="center"/>
          </w:tcPr>
          <w:p w14:paraId="4E6DE2C5" w14:textId="77777777" w:rsidR="00A0125E" w:rsidRPr="009A2EB4" w:rsidRDefault="00A0125E" w:rsidP="007A371B">
            <w:pPr>
              <w:keepNext/>
              <w:keepLines/>
              <w:spacing w:after="0"/>
              <w:jc w:val="center"/>
              <w:rPr>
                <w:rFonts w:eastAsia="SimSun" w:cs="Arial"/>
                <w:szCs w:val="20"/>
                <w:lang w:eastAsia="en-US"/>
              </w:rPr>
            </w:pPr>
          </w:p>
        </w:tc>
      </w:tr>
      <w:tr w:rsidR="00A0125E" w:rsidRPr="009A2EB4" w14:paraId="3AF3CEB3" w14:textId="77777777" w:rsidTr="00451B25">
        <w:tc>
          <w:tcPr>
            <w:tcW w:w="2835" w:type="dxa"/>
            <w:vAlign w:val="center"/>
          </w:tcPr>
          <w:p w14:paraId="158D5E86" w14:textId="77777777" w:rsidR="00A0125E" w:rsidRPr="009A2EB4" w:rsidRDefault="00A0125E" w:rsidP="007A371B">
            <w:pPr>
              <w:keepNext/>
              <w:keepLines/>
              <w:spacing w:after="0"/>
              <w:rPr>
                <w:rFonts w:eastAsia="SimSun" w:cs="Arial"/>
                <w:szCs w:val="20"/>
                <w:lang w:eastAsia="en-US"/>
              </w:rPr>
            </w:pPr>
            <w:r w:rsidRPr="009A2EB4">
              <w:rPr>
                <w:rFonts w:cs="Arial"/>
              </w:rPr>
              <w:t>Asset usage</w:t>
            </w:r>
          </w:p>
        </w:tc>
        <w:tc>
          <w:tcPr>
            <w:tcW w:w="1418" w:type="dxa"/>
            <w:vMerge/>
            <w:vAlign w:val="center"/>
          </w:tcPr>
          <w:p w14:paraId="6B700947" w14:textId="77777777" w:rsidR="00A0125E" w:rsidRPr="009A2EB4" w:rsidRDefault="00A0125E" w:rsidP="007A371B">
            <w:pPr>
              <w:keepNext/>
              <w:keepLines/>
              <w:spacing w:after="0"/>
              <w:rPr>
                <w:rFonts w:eastAsia="SimSun" w:cs="Arial"/>
                <w:szCs w:val="20"/>
                <w:lang w:eastAsia="en-US"/>
              </w:rPr>
            </w:pPr>
          </w:p>
        </w:tc>
        <w:tc>
          <w:tcPr>
            <w:tcW w:w="3260" w:type="dxa"/>
            <w:vMerge/>
            <w:vAlign w:val="center"/>
          </w:tcPr>
          <w:p w14:paraId="4420D763" w14:textId="77777777" w:rsidR="00A0125E" w:rsidRPr="009A2EB4" w:rsidRDefault="00A0125E" w:rsidP="007A371B">
            <w:pPr>
              <w:keepNext/>
              <w:keepLines/>
              <w:spacing w:after="0"/>
              <w:jc w:val="center"/>
              <w:rPr>
                <w:rFonts w:eastAsia="SimSun" w:cs="Arial"/>
                <w:szCs w:val="20"/>
                <w:lang w:eastAsia="en-US"/>
              </w:rPr>
            </w:pPr>
          </w:p>
        </w:tc>
      </w:tr>
      <w:tr w:rsidR="00A0125E" w:rsidRPr="009A2EB4" w14:paraId="41618211" w14:textId="77777777" w:rsidTr="00451B25">
        <w:tc>
          <w:tcPr>
            <w:tcW w:w="2835" w:type="dxa"/>
            <w:vAlign w:val="center"/>
          </w:tcPr>
          <w:p w14:paraId="364D8BC9" w14:textId="77777777" w:rsidR="00A0125E" w:rsidRPr="009A2EB4" w:rsidRDefault="00A0125E" w:rsidP="007A371B">
            <w:pPr>
              <w:keepNext/>
              <w:keepLines/>
              <w:spacing w:after="0"/>
              <w:rPr>
                <w:rFonts w:cs="Arial"/>
              </w:rPr>
            </w:pPr>
            <w:r>
              <w:rPr>
                <w:rFonts w:cs="Arial"/>
              </w:rPr>
              <w:t>Legal</w:t>
            </w:r>
          </w:p>
        </w:tc>
        <w:tc>
          <w:tcPr>
            <w:tcW w:w="1418" w:type="dxa"/>
            <w:vAlign w:val="center"/>
          </w:tcPr>
          <w:p w14:paraId="57F860EE" w14:textId="77777777" w:rsidR="00A0125E" w:rsidRPr="009A2EB4" w:rsidRDefault="00A0125E" w:rsidP="007A371B">
            <w:pPr>
              <w:keepNext/>
              <w:keepLines/>
              <w:spacing w:after="0"/>
              <w:rPr>
                <w:rFonts w:eastAsia="SimSun" w:cs="Arial"/>
                <w:szCs w:val="20"/>
                <w:lang w:eastAsia="en-US"/>
              </w:rPr>
            </w:pPr>
            <w:r>
              <w:rPr>
                <w:rFonts w:eastAsia="SimSun" w:cs="Arial"/>
                <w:szCs w:val="20"/>
                <w:lang w:eastAsia="en-US"/>
              </w:rPr>
              <w:t xml:space="preserve">Legal </w:t>
            </w:r>
            <w:r w:rsidR="00DA5037">
              <w:rPr>
                <w:rFonts w:eastAsia="SimSun" w:cs="Arial"/>
                <w:szCs w:val="20"/>
                <w:lang w:eastAsia="en-US"/>
              </w:rPr>
              <w:t>c</w:t>
            </w:r>
            <w:r>
              <w:rPr>
                <w:rFonts w:eastAsia="SimSun" w:cs="Arial"/>
                <w:szCs w:val="20"/>
                <w:lang w:eastAsia="en-US"/>
              </w:rPr>
              <w:t>osts</w:t>
            </w:r>
          </w:p>
        </w:tc>
        <w:tc>
          <w:tcPr>
            <w:tcW w:w="3260" w:type="dxa"/>
            <w:vMerge/>
            <w:vAlign w:val="center"/>
          </w:tcPr>
          <w:p w14:paraId="6EAB6C2A" w14:textId="77777777" w:rsidR="00A0125E" w:rsidRPr="009A2EB4" w:rsidRDefault="00A0125E" w:rsidP="007A371B">
            <w:pPr>
              <w:keepNext/>
              <w:keepLines/>
              <w:spacing w:after="0"/>
              <w:jc w:val="center"/>
              <w:rPr>
                <w:rFonts w:eastAsia="SimSun" w:cs="Arial"/>
                <w:szCs w:val="20"/>
                <w:lang w:eastAsia="en-US"/>
              </w:rPr>
            </w:pPr>
          </w:p>
        </w:tc>
      </w:tr>
    </w:tbl>
    <w:p w14:paraId="54C794ED" w14:textId="77777777" w:rsidR="00400A7F" w:rsidRDefault="00A0125E" w:rsidP="007A371B">
      <w:pPr>
        <w:pStyle w:val="ACMASpaceaftertable"/>
        <w:keepNext/>
        <w:keepLines/>
        <w:rPr>
          <w:rFonts w:eastAsia="SimSun"/>
          <w:lang w:eastAsia="en-US"/>
        </w:rPr>
      </w:pPr>
      <w:r>
        <w:rPr>
          <w:i/>
          <w:sz w:val="16"/>
          <w:szCs w:val="16"/>
        </w:rPr>
        <w:t xml:space="preserve">*ACCC’s operational </w:t>
      </w:r>
      <w:r w:rsidR="00DA5037">
        <w:rPr>
          <w:i/>
          <w:sz w:val="16"/>
          <w:szCs w:val="16"/>
        </w:rPr>
        <w:t>d</w:t>
      </w:r>
      <w:r>
        <w:rPr>
          <w:i/>
          <w:sz w:val="16"/>
          <w:szCs w:val="16"/>
        </w:rPr>
        <w:t>ivisions perform consumer and competition regulatory and enforcement functions.</w:t>
      </w:r>
    </w:p>
    <w:p w14:paraId="5F475A8E" w14:textId="5CC4F2C6" w:rsidR="007B5ADB" w:rsidRDefault="00616057" w:rsidP="007A371B">
      <w:r w:rsidRPr="00EE5DBD">
        <w:rPr>
          <w:rFonts w:eastAsia="SimSun"/>
          <w:lang w:eastAsia="en-US"/>
        </w:rPr>
        <w:t>The ACCC’s component for 201</w:t>
      </w:r>
      <w:r>
        <w:rPr>
          <w:rFonts w:eastAsia="SimSun"/>
          <w:lang w:eastAsia="en-US"/>
        </w:rPr>
        <w:t>7</w:t>
      </w:r>
      <w:r w:rsidRPr="00EE5DBD">
        <w:rPr>
          <w:rFonts w:eastAsia="SimSun"/>
          <w:lang w:eastAsia="en-US"/>
        </w:rPr>
        <w:t>–1</w:t>
      </w:r>
      <w:r>
        <w:rPr>
          <w:rFonts w:eastAsia="SimSun"/>
          <w:lang w:eastAsia="en-US"/>
        </w:rPr>
        <w:t>8</w:t>
      </w:r>
      <w:r w:rsidRPr="00EE5DBD">
        <w:rPr>
          <w:rFonts w:eastAsia="SimSun"/>
          <w:lang w:eastAsia="en-US"/>
        </w:rPr>
        <w:t xml:space="preserve"> has been calculated at $</w:t>
      </w:r>
      <w:r>
        <w:rPr>
          <w:rFonts w:eastAsia="SimSun"/>
          <w:lang w:eastAsia="en-US"/>
        </w:rPr>
        <w:t>13,109,173</w:t>
      </w:r>
      <w:r w:rsidRPr="00EE5DBD">
        <w:rPr>
          <w:rFonts w:eastAsia="SimSun"/>
          <w:lang w:eastAsia="en-US"/>
        </w:rPr>
        <w:t xml:space="preserve">. This </w:t>
      </w:r>
      <w:r>
        <w:rPr>
          <w:rFonts w:eastAsia="SimSun"/>
          <w:lang w:eastAsia="en-US"/>
        </w:rPr>
        <w:t>represents a $531,850 (3.9 per cent</w:t>
      </w:r>
      <w:r w:rsidRPr="007974E2">
        <w:rPr>
          <w:rFonts w:eastAsia="SimSun"/>
          <w:lang w:eastAsia="en-US"/>
        </w:rPr>
        <w:t xml:space="preserve">) </w:t>
      </w:r>
      <w:r>
        <w:rPr>
          <w:rFonts w:eastAsia="SimSun"/>
          <w:lang w:eastAsia="en-US"/>
        </w:rPr>
        <w:t>de</w:t>
      </w:r>
      <w:r w:rsidRPr="007974E2">
        <w:rPr>
          <w:rFonts w:eastAsia="SimSun"/>
          <w:lang w:eastAsia="en-US"/>
        </w:rPr>
        <w:t xml:space="preserve">crease from the </w:t>
      </w:r>
      <w:r>
        <w:rPr>
          <w:rFonts w:eastAsia="SimSun"/>
          <w:lang w:eastAsia="en-US"/>
        </w:rPr>
        <w:t>previous</w:t>
      </w:r>
      <w:r w:rsidRPr="007974E2">
        <w:rPr>
          <w:rFonts w:eastAsia="SimSun"/>
          <w:lang w:eastAsia="en-US"/>
        </w:rPr>
        <w:t xml:space="preserve"> year</w:t>
      </w:r>
      <w:r w:rsidR="00765C1E">
        <w:rPr>
          <w:rFonts w:eastAsia="SimSun"/>
          <w:lang w:eastAsia="en-US"/>
        </w:rPr>
        <w:t>, which</w:t>
      </w:r>
      <w:r>
        <w:rPr>
          <w:rFonts w:eastAsia="SimSun"/>
          <w:lang w:eastAsia="en-US"/>
        </w:rPr>
        <w:t xml:space="preserve"> is largely the result of a </w:t>
      </w:r>
      <w:r w:rsidR="00D17D01">
        <w:rPr>
          <w:rFonts w:eastAsia="SimSun"/>
          <w:lang w:eastAsia="en-US"/>
        </w:rPr>
        <w:t xml:space="preserve">$398,129 </w:t>
      </w:r>
      <w:r>
        <w:rPr>
          <w:rFonts w:eastAsia="SimSun"/>
          <w:lang w:eastAsia="en-US"/>
        </w:rPr>
        <w:t>reduction in consultancy costs</w:t>
      </w:r>
      <w:r w:rsidR="00D17D01">
        <w:rPr>
          <w:rFonts w:eastAsia="SimSun"/>
          <w:lang w:eastAsia="en-US"/>
        </w:rPr>
        <w:t xml:space="preserve"> and $157,309 in legal costs</w:t>
      </w:r>
      <w:r>
        <w:rPr>
          <w:rFonts w:eastAsia="SimSun"/>
          <w:lang w:eastAsia="en-US"/>
        </w:rPr>
        <w:t xml:space="preserve">. </w:t>
      </w:r>
      <w:r w:rsidR="00D17D01">
        <w:rPr>
          <w:rFonts w:eastAsia="SimSun"/>
          <w:lang w:eastAsia="en-US"/>
        </w:rPr>
        <w:t>Legal and c</w:t>
      </w:r>
      <w:r>
        <w:rPr>
          <w:rFonts w:eastAsia="SimSun"/>
          <w:lang w:eastAsia="en-US"/>
        </w:rPr>
        <w:t xml:space="preserve">onsultancy support for cyclical telecommunications access determinations occurred </w:t>
      </w:r>
      <w:r w:rsidR="006638FE">
        <w:rPr>
          <w:rFonts w:eastAsia="SimSun"/>
          <w:lang w:eastAsia="en-US"/>
        </w:rPr>
        <w:t xml:space="preserve">more frequently </w:t>
      </w:r>
      <w:r>
        <w:rPr>
          <w:rFonts w:eastAsia="SimSun"/>
          <w:lang w:eastAsia="en-US"/>
        </w:rPr>
        <w:t>in 2015</w:t>
      </w:r>
      <w:r w:rsidR="006638FE">
        <w:rPr>
          <w:rFonts w:eastAsia="SimSun"/>
          <w:lang w:eastAsia="en-US"/>
        </w:rPr>
        <w:t>–</w:t>
      </w:r>
      <w:r>
        <w:rPr>
          <w:rFonts w:eastAsia="SimSun"/>
          <w:lang w:eastAsia="en-US"/>
        </w:rPr>
        <w:t>16 than 2016</w:t>
      </w:r>
      <w:r w:rsidR="006638FE">
        <w:rPr>
          <w:rFonts w:eastAsia="SimSun"/>
          <w:lang w:eastAsia="en-US"/>
        </w:rPr>
        <w:t>–</w:t>
      </w:r>
      <w:r>
        <w:rPr>
          <w:rFonts w:eastAsia="SimSun"/>
          <w:lang w:eastAsia="en-US"/>
        </w:rPr>
        <w:t xml:space="preserve">17. </w:t>
      </w:r>
      <w:r w:rsidR="00D17D01">
        <w:rPr>
          <w:rFonts w:eastAsia="SimSun"/>
          <w:lang w:eastAsia="en-US"/>
        </w:rPr>
        <w:t>The Legal and consultancy cost reductions are offset by a minor increase in employee costs of $79,444.</w:t>
      </w:r>
      <w:r>
        <w:rPr>
          <w:rFonts w:eastAsia="SimSun"/>
          <w:lang w:eastAsia="en-US"/>
        </w:rPr>
        <w:t xml:space="preserve">  </w:t>
      </w:r>
    </w:p>
    <w:p w14:paraId="4F69D1C7" w14:textId="77777777" w:rsidR="00616057" w:rsidRPr="006A56FD" w:rsidRDefault="00616057" w:rsidP="00616057">
      <w:pPr>
        <w:pStyle w:val="ACMATableHeader"/>
        <w:keepNext/>
        <w:numPr>
          <w:ilvl w:val="0"/>
          <w:numId w:val="0"/>
        </w:numPr>
        <w:rPr>
          <w:rFonts w:eastAsia="SimSun"/>
        </w:rPr>
      </w:pPr>
      <w:r>
        <w:t>Table 8:</w:t>
      </w:r>
      <w:r>
        <w:tab/>
      </w:r>
      <w:r w:rsidRPr="006A56FD">
        <w:t xml:space="preserve">The </w:t>
      </w:r>
      <w:r w:rsidRPr="003C3E9A">
        <w:t>ACCC’s</w:t>
      </w:r>
      <w:r w:rsidRPr="006A56FD">
        <w:t xml:space="preserve"> cost component</w:t>
      </w:r>
    </w:p>
    <w:tbl>
      <w:tblPr>
        <w:tblStyle w:val="TableGrid"/>
        <w:tblW w:w="7513" w:type="dxa"/>
        <w:tblInd w:w="-5" w:type="dxa"/>
        <w:tblLayout w:type="fixed"/>
        <w:tblCellMar>
          <w:top w:w="57" w:type="dxa"/>
          <w:bottom w:w="57" w:type="dxa"/>
        </w:tblCellMar>
        <w:tblLook w:val="04A0" w:firstRow="1" w:lastRow="0" w:firstColumn="1" w:lastColumn="0" w:noHBand="0" w:noVBand="1"/>
        <w:tblCaption w:val="The ACCC’s cost component"/>
        <w:tblDescription w:val="Includes costs for employees, consultancy and travel, and overheads as well as percentage change."/>
      </w:tblPr>
      <w:tblGrid>
        <w:gridCol w:w="2089"/>
        <w:gridCol w:w="1880"/>
        <w:gridCol w:w="1985"/>
        <w:gridCol w:w="1559"/>
      </w:tblGrid>
      <w:tr w:rsidR="00616057" w:rsidRPr="009A2EB4" w14:paraId="3E044C0A" w14:textId="77777777" w:rsidTr="000269F7">
        <w:trPr>
          <w:tblHeader/>
        </w:trPr>
        <w:tc>
          <w:tcPr>
            <w:tcW w:w="2089" w:type="dxa"/>
            <w:shd w:val="clear" w:color="auto" w:fill="404040" w:themeFill="text1" w:themeFillTint="BF"/>
          </w:tcPr>
          <w:p w14:paraId="29A1911E" w14:textId="77777777" w:rsidR="00616057" w:rsidRPr="00451B25" w:rsidRDefault="00616057" w:rsidP="000269F7">
            <w:pPr>
              <w:pStyle w:val="TableHeading"/>
              <w:rPr>
                <w:rFonts w:eastAsia="SimSun"/>
                <w:b w:val="0"/>
                <w:color w:val="FFFFFF" w:themeColor="background1"/>
                <w:lang w:eastAsia="en-US"/>
              </w:rPr>
            </w:pPr>
            <w:r w:rsidRPr="00451B25">
              <w:rPr>
                <w:rFonts w:eastAsia="SimSun"/>
                <w:color w:val="FFFFFF" w:themeColor="background1"/>
                <w:lang w:eastAsia="en-US"/>
              </w:rPr>
              <w:t>Costs</w:t>
            </w:r>
          </w:p>
        </w:tc>
        <w:tc>
          <w:tcPr>
            <w:tcW w:w="1880" w:type="dxa"/>
            <w:shd w:val="clear" w:color="auto" w:fill="404040" w:themeFill="text1" w:themeFillTint="BF"/>
          </w:tcPr>
          <w:p w14:paraId="3648ECDD" w14:textId="77777777" w:rsidR="00616057" w:rsidRPr="00451B25" w:rsidRDefault="00616057" w:rsidP="007A371B">
            <w:pPr>
              <w:pStyle w:val="TableHeading"/>
              <w:spacing w:after="80"/>
              <w:jc w:val="right"/>
              <w:rPr>
                <w:rFonts w:eastAsia="SimSun"/>
                <w:b w:val="0"/>
                <w:color w:val="FFFFFF" w:themeColor="background1"/>
                <w:lang w:eastAsia="en-US"/>
              </w:rPr>
            </w:pPr>
            <w:r w:rsidRPr="00451B25">
              <w:rPr>
                <w:rFonts w:eastAsia="SimSun"/>
                <w:color w:val="FFFFFF" w:themeColor="background1"/>
                <w:lang w:eastAsia="en-US"/>
              </w:rPr>
              <w:t>201</w:t>
            </w:r>
            <w:r>
              <w:rPr>
                <w:rFonts w:eastAsia="SimSun"/>
                <w:color w:val="FFFFFF" w:themeColor="background1"/>
                <w:lang w:eastAsia="en-US"/>
              </w:rPr>
              <w:t>7</w:t>
            </w:r>
            <w:r w:rsidRPr="00451B25">
              <w:rPr>
                <w:rFonts w:eastAsia="SimSun"/>
                <w:color w:val="FFFFFF" w:themeColor="background1"/>
                <w:lang w:eastAsia="en-US"/>
              </w:rPr>
              <w:t>–1</w:t>
            </w:r>
            <w:r>
              <w:rPr>
                <w:rFonts w:eastAsia="SimSun"/>
                <w:color w:val="FFFFFF" w:themeColor="background1"/>
                <w:lang w:eastAsia="en-US"/>
              </w:rPr>
              <w:t>8</w:t>
            </w:r>
          </w:p>
          <w:p w14:paraId="26B3A045" w14:textId="77777777" w:rsidR="00616057" w:rsidRPr="00451B25" w:rsidRDefault="00616057" w:rsidP="000269F7">
            <w:pPr>
              <w:pStyle w:val="TableHeading"/>
              <w:jc w:val="right"/>
              <w:rPr>
                <w:rFonts w:eastAsia="SimSun"/>
                <w:b w:val="0"/>
                <w:color w:val="FFFFFF" w:themeColor="background1"/>
                <w:lang w:eastAsia="en-US"/>
              </w:rPr>
            </w:pPr>
            <w:r w:rsidRPr="00451B25">
              <w:rPr>
                <w:rFonts w:eastAsia="SimSun"/>
                <w:color w:val="FFFFFF" w:themeColor="background1"/>
                <w:lang w:eastAsia="en-US"/>
              </w:rPr>
              <w:t xml:space="preserve">(based on </w:t>
            </w:r>
            <w:r w:rsidRPr="00451B25">
              <w:rPr>
                <w:rFonts w:eastAsia="SimSun"/>
                <w:color w:val="FFFFFF" w:themeColor="background1"/>
                <w:lang w:eastAsia="en-US"/>
              </w:rPr>
              <w:br/>
              <w:t>201</w:t>
            </w:r>
            <w:r>
              <w:rPr>
                <w:rFonts w:eastAsia="SimSun"/>
                <w:color w:val="FFFFFF" w:themeColor="background1"/>
                <w:lang w:eastAsia="en-US"/>
              </w:rPr>
              <w:t>6</w:t>
            </w:r>
            <w:r w:rsidRPr="00451B25">
              <w:rPr>
                <w:rFonts w:eastAsia="SimSun"/>
                <w:color w:val="FFFFFF" w:themeColor="background1"/>
                <w:lang w:eastAsia="en-US"/>
              </w:rPr>
              <w:t>–1</w:t>
            </w:r>
            <w:r>
              <w:rPr>
                <w:rFonts w:eastAsia="SimSun"/>
                <w:color w:val="FFFFFF" w:themeColor="background1"/>
                <w:lang w:eastAsia="en-US"/>
              </w:rPr>
              <w:t>7</w:t>
            </w:r>
            <w:r w:rsidRPr="00451B25">
              <w:rPr>
                <w:rFonts w:eastAsia="SimSun"/>
                <w:color w:val="FFFFFF" w:themeColor="background1"/>
                <w:lang w:eastAsia="en-US"/>
              </w:rPr>
              <w:t xml:space="preserve"> costs)</w:t>
            </w:r>
          </w:p>
        </w:tc>
        <w:tc>
          <w:tcPr>
            <w:tcW w:w="1985" w:type="dxa"/>
            <w:shd w:val="clear" w:color="auto" w:fill="404040" w:themeFill="text1" w:themeFillTint="BF"/>
          </w:tcPr>
          <w:p w14:paraId="54184391" w14:textId="77777777" w:rsidR="00616057" w:rsidRPr="00451B25" w:rsidRDefault="00616057" w:rsidP="007A371B">
            <w:pPr>
              <w:pStyle w:val="TableHeading"/>
              <w:spacing w:after="80"/>
              <w:jc w:val="right"/>
              <w:rPr>
                <w:rFonts w:eastAsia="SimSun"/>
                <w:b w:val="0"/>
                <w:color w:val="FFFFFF" w:themeColor="background1"/>
                <w:lang w:eastAsia="en-US"/>
              </w:rPr>
            </w:pPr>
            <w:r w:rsidRPr="00451B25">
              <w:rPr>
                <w:rFonts w:eastAsia="SimSun"/>
                <w:color w:val="FFFFFF" w:themeColor="background1"/>
                <w:lang w:eastAsia="en-US"/>
              </w:rPr>
              <w:t>201</w:t>
            </w:r>
            <w:r>
              <w:rPr>
                <w:rFonts w:eastAsia="SimSun"/>
                <w:color w:val="FFFFFF" w:themeColor="background1"/>
                <w:lang w:eastAsia="en-US"/>
              </w:rPr>
              <w:t>6</w:t>
            </w:r>
            <w:r w:rsidRPr="00451B25">
              <w:rPr>
                <w:rFonts w:eastAsia="SimSun"/>
                <w:color w:val="FFFFFF" w:themeColor="background1"/>
                <w:lang w:eastAsia="en-US"/>
              </w:rPr>
              <w:t>–1</w:t>
            </w:r>
            <w:r>
              <w:rPr>
                <w:rFonts w:eastAsia="SimSun"/>
                <w:color w:val="FFFFFF" w:themeColor="background1"/>
                <w:lang w:eastAsia="en-US"/>
              </w:rPr>
              <w:t>7</w:t>
            </w:r>
          </w:p>
          <w:p w14:paraId="41E4FCF9" w14:textId="77777777" w:rsidR="00616057" w:rsidRPr="00451B25" w:rsidRDefault="00616057" w:rsidP="000269F7">
            <w:pPr>
              <w:pStyle w:val="TableHeading"/>
              <w:jc w:val="right"/>
              <w:rPr>
                <w:rFonts w:eastAsia="SimSun"/>
                <w:b w:val="0"/>
                <w:color w:val="FFFFFF" w:themeColor="background1"/>
                <w:lang w:eastAsia="en-US"/>
              </w:rPr>
            </w:pPr>
            <w:r w:rsidRPr="00451B25">
              <w:rPr>
                <w:rFonts w:eastAsia="SimSun"/>
                <w:color w:val="FFFFFF" w:themeColor="background1"/>
                <w:lang w:eastAsia="en-US"/>
              </w:rPr>
              <w:t xml:space="preserve">(based on </w:t>
            </w:r>
            <w:r w:rsidRPr="00451B25">
              <w:rPr>
                <w:rFonts w:eastAsia="SimSun"/>
                <w:color w:val="FFFFFF" w:themeColor="background1"/>
                <w:lang w:eastAsia="en-US"/>
              </w:rPr>
              <w:br/>
              <w:t>201</w:t>
            </w:r>
            <w:r>
              <w:rPr>
                <w:rFonts w:eastAsia="SimSun"/>
                <w:color w:val="FFFFFF" w:themeColor="background1"/>
                <w:lang w:eastAsia="en-US"/>
              </w:rPr>
              <w:t>5</w:t>
            </w:r>
            <w:r w:rsidRPr="00451B25">
              <w:rPr>
                <w:rFonts w:eastAsia="SimSun"/>
                <w:color w:val="FFFFFF" w:themeColor="background1"/>
                <w:lang w:eastAsia="en-US"/>
              </w:rPr>
              <w:t>–1</w:t>
            </w:r>
            <w:r>
              <w:rPr>
                <w:rFonts w:eastAsia="SimSun"/>
                <w:color w:val="FFFFFF" w:themeColor="background1"/>
                <w:lang w:eastAsia="en-US"/>
              </w:rPr>
              <w:t>6</w:t>
            </w:r>
            <w:r w:rsidRPr="00451B25">
              <w:rPr>
                <w:rFonts w:eastAsia="SimSun"/>
                <w:color w:val="FFFFFF" w:themeColor="background1"/>
                <w:lang w:eastAsia="en-US"/>
              </w:rPr>
              <w:t xml:space="preserve"> costs)</w:t>
            </w:r>
          </w:p>
        </w:tc>
        <w:tc>
          <w:tcPr>
            <w:tcW w:w="1559" w:type="dxa"/>
            <w:shd w:val="clear" w:color="auto" w:fill="404040" w:themeFill="text1" w:themeFillTint="BF"/>
          </w:tcPr>
          <w:p w14:paraId="08C9BA7F" w14:textId="77777777" w:rsidR="00616057" w:rsidRPr="00451B25" w:rsidRDefault="00616057" w:rsidP="000269F7">
            <w:pPr>
              <w:pStyle w:val="TableHeading"/>
              <w:jc w:val="right"/>
              <w:rPr>
                <w:rFonts w:eastAsia="SimSun"/>
                <w:b w:val="0"/>
                <w:color w:val="FFFFFF" w:themeColor="background1"/>
                <w:lang w:eastAsia="en-US"/>
              </w:rPr>
            </w:pPr>
            <w:r w:rsidRPr="00451B25">
              <w:rPr>
                <w:rFonts w:eastAsia="SimSun"/>
                <w:color w:val="FFFFFF" w:themeColor="background1"/>
                <w:lang w:eastAsia="en-US"/>
              </w:rPr>
              <w:t>% change*</w:t>
            </w:r>
          </w:p>
        </w:tc>
      </w:tr>
      <w:tr w:rsidR="00616057" w:rsidRPr="009A2EB4" w14:paraId="1DA99E78" w14:textId="77777777" w:rsidTr="000269F7">
        <w:tc>
          <w:tcPr>
            <w:tcW w:w="2089" w:type="dxa"/>
          </w:tcPr>
          <w:p w14:paraId="45E5F46C" w14:textId="77777777" w:rsidR="00616057" w:rsidRPr="009A2EB4" w:rsidRDefault="00616057" w:rsidP="000269F7">
            <w:pPr>
              <w:spacing w:after="0"/>
              <w:rPr>
                <w:rFonts w:eastAsia="SimSun" w:cs="Arial"/>
                <w:szCs w:val="20"/>
                <w:lang w:eastAsia="en-US"/>
              </w:rPr>
            </w:pPr>
            <w:r w:rsidRPr="009A2EB4">
              <w:rPr>
                <w:rFonts w:eastAsia="Calibri" w:cs="Arial"/>
                <w:szCs w:val="20"/>
              </w:rPr>
              <w:t>Employees</w:t>
            </w:r>
          </w:p>
        </w:tc>
        <w:tc>
          <w:tcPr>
            <w:tcW w:w="1880" w:type="dxa"/>
          </w:tcPr>
          <w:p w14:paraId="21DEB671" w14:textId="77777777" w:rsidR="00616057" w:rsidRPr="009A2EB4" w:rsidRDefault="00616057" w:rsidP="000269F7">
            <w:pPr>
              <w:spacing w:after="0"/>
              <w:jc w:val="right"/>
              <w:rPr>
                <w:rFonts w:eastAsia="SimSun" w:cs="Arial"/>
                <w:szCs w:val="20"/>
                <w:lang w:eastAsia="en-US"/>
              </w:rPr>
            </w:pPr>
            <w:r>
              <w:rPr>
                <w:rFonts w:cs="Arial"/>
                <w:color w:val="000000"/>
                <w:szCs w:val="20"/>
              </w:rPr>
              <w:t>$9,438,026</w:t>
            </w:r>
          </w:p>
        </w:tc>
        <w:tc>
          <w:tcPr>
            <w:tcW w:w="1985" w:type="dxa"/>
          </w:tcPr>
          <w:p w14:paraId="7809D368" w14:textId="77777777" w:rsidR="00616057" w:rsidRPr="009A2EB4" w:rsidRDefault="00616057" w:rsidP="000269F7">
            <w:pPr>
              <w:spacing w:after="0"/>
              <w:jc w:val="right"/>
              <w:rPr>
                <w:rFonts w:eastAsia="SimSun" w:cs="Arial"/>
                <w:szCs w:val="20"/>
                <w:lang w:eastAsia="en-US"/>
              </w:rPr>
            </w:pPr>
            <w:r>
              <w:rPr>
                <w:rFonts w:cs="Arial"/>
                <w:color w:val="000000"/>
                <w:szCs w:val="20"/>
              </w:rPr>
              <w:t>$9,358,582</w:t>
            </w:r>
          </w:p>
        </w:tc>
        <w:tc>
          <w:tcPr>
            <w:tcW w:w="1559" w:type="dxa"/>
          </w:tcPr>
          <w:p w14:paraId="2C002C20" w14:textId="77777777" w:rsidR="00616057" w:rsidRPr="009A2EB4" w:rsidRDefault="00616057" w:rsidP="000269F7">
            <w:pPr>
              <w:spacing w:after="0"/>
              <w:jc w:val="right"/>
              <w:rPr>
                <w:rFonts w:eastAsia="SimSun" w:cs="Arial"/>
                <w:szCs w:val="20"/>
                <w:lang w:eastAsia="en-US"/>
              </w:rPr>
            </w:pPr>
            <w:r>
              <w:rPr>
                <w:rFonts w:cs="Arial"/>
                <w:color w:val="000000"/>
                <w:szCs w:val="20"/>
              </w:rPr>
              <w:t>0.8%</w:t>
            </w:r>
          </w:p>
        </w:tc>
      </w:tr>
      <w:tr w:rsidR="00616057" w:rsidRPr="009A2EB4" w14:paraId="0BE15FEB" w14:textId="77777777" w:rsidTr="000269F7">
        <w:tc>
          <w:tcPr>
            <w:tcW w:w="2089" w:type="dxa"/>
          </w:tcPr>
          <w:p w14:paraId="0F312914" w14:textId="77777777" w:rsidR="00616057" w:rsidRPr="009A2EB4" w:rsidRDefault="00616057" w:rsidP="000269F7">
            <w:pPr>
              <w:spacing w:after="0"/>
              <w:rPr>
                <w:rFonts w:eastAsia="SimSun" w:cs="Arial"/>
                <w:szCs w:val="20"/>
                <w:lang w:eastAsia="en-US"/>
              </w:rPr>
            </w:pPr>
            <w:r w:rsidRPr="009A2EB4">
              <w:rPr>
                <w:rFonts w:eastAsia="Calibri" w:cs="Arial"/>
                <w:szCs w:val="20"/>
              </w:rPr>
              <w:t>Consultancy and travel</w:t>
            </w:r>
          </w:p>
        </w:tc>
        <w:tc>
          <w:tcPr>
            <w:tcW w:w="1880" w:type="dxa"/>
          </w:tcPr>
          <w:p w14:paraId="6C01A2AE" w14:textId="77777777" w:rsidR="00616057" w:rsidRPr="009A2EB4" w:rsidRDefault="00616057" w:rsidP="000269F7">
            <w:pPr>
              <w:spacing w:after="0"/>
              <w:jc w:val="right"/>
              <w:rPr>
                <w:rFonts w:eastAsia="SimSun" w:cs="Arial"/>
                <w:szCs w:val="20"/>
                <w:lang w:eastAsia="en-US"/>
              </w:rPr>
            </w:pPr>
            <w:r>
              <w:rPr>
                <w:rFonts w:cs="Arial"/>
                <w:color w:val="000000"/>
                <w:szCs w:val="20"/>
              </w:rPr>
              <w:t>$368,941</w:t>
            </w:r>
          </w:p>
        </w:tc>
        <w:tc>
          <w:tcPr>
            <w:tcW w:w="1985" w:type="dxa"/>
          </w:tcPr>
          <w:p w14:paraId="15CAD2D1" w14:textId="77777777" w:rsidR="00616057" w:rsidRPr="009A2EB4" w:rsidRDefault="00616057" w:rsidP="000269F7">
            <w:pPr>
              <w:spacing w:after="0"/>
              <w:jc w:val="right"/>
              <w:rPr>
                <w:rFonts w:eastAsia="SimSun" w:cs="Arial"/>
                <w:szCs w:val="20"/>
                <w:lang w:eastAsia="en-US"/>
              </w:rPr>
            </w:pPr>
            <w:r>
              <w:rPr>
                <w:rFonts w:cs="Arial"/>
                <w:color w:val="000000"/>
                <w:szCs w:val="20"/>
              </w:rPr>
              <w:t>$784,481</w:t>
            </w:r>
          </w:p>
        </w:tc>
        <w:tc>
          <w:tcPr>
            <w:tcW w:w="1559" w:type="dxa"/>
          </w:tcPr>
          <w:p w14:paraId="21065B18" w14:textId="77777777" w:rsidR="00616057" w:rsidRPr="009A2EB4" w:rsidRDefault="00616057" w:rsidP="000269F7">
            <w:pPr>
              <w:spacing w:after="0"/>
              <w:jc w:val="right"/>
              <w:rPr>
                <w:rFonts w:eastAsia="SimSun" w:cs="Arial"/>
                <w:szCs w:val="20"/>
                <w:lang w:eastAsia="en-US"/>
              </w:rPr>
            </w:pPr>
            <w:r>
              <w:rPr>
                <w:rFonts w:cs="Arial"/>
                <w:color w:val="000000"/>
                <w:szCs w:val="20"/>
              </w:rPr>
              <w:t>(53.0%)</w:t>
            </w:r>
          </w:p>
        </w:tc>
      </w:tr>
      <w:tr w:rsidR="00616057" w:rsidRPr="009A2EB4" w14:paraId="5B1C918C" w14:textId="77777777" w:rsidTr="000269F7">
        <w:tc>
          <w:tcPr>
            <w:tcW w:w="2089" w:type="dxa"/>
          </w:tcPr>
          <w:p w14:paraId="602976B0" w14:textId="77777777" w:rsidR="00616057" w:rsidRPr="009A2EB4" w:rsidRDefault="00616057" w:rsidP="000269F7">
            <w:pPr>
              <w:spacing w:after="0"/>
              <w:rPr>
                <w:rFonts w:eastAsia="SimSun" w:cs="Arial"/>
                <w:szCs w:val="20"/>
                <w:lang w:eastAsia="en-US"/>
              </w:rPr>
            </w:pPr>
            <w:r w:rsidRPr="009A2EB4">
              <w:rPr>
                <w:rFonts w:eastAsia="Calibri" w:cs="Arial"/>
                <w:szCs w:val="20"/>
              </w:rPr>
              <w:t xml:space="preserve">Overheads </w:t>
            </w:r>
          </w:p>
        </w:tc>
        <w:tc>
          <w:tcPr>
            <w:tcW w:w="1880" w:type="dxa"/>
          </w:tcPr>
          <w:p w14:paraId="31BB203F" w14:textId="77777777" w:rsidR="00616057" w:rsidRPr="009A2EB4" w:rsidRDefault="00616057" w:rsidP="000269F7">
            <w:pPr>
              <w:spacing w:after="0"/>
              <w:jc w:val="right"/>
              <w:rPr>
                <w:rFonts w:eastAsia="SimSun" w:cs="Arial"/>
                <w:szCs w:val="20"/>
                <w:lang w:eastAsia="en-US"/>
              </w:rPr>
            </w:pPr>
            <w:r>
              <w:rPr>
                <w:rFonts w:cs="Arial"/>
                <w:color w:val="000000"/>
                <w:szCs w:val="20"/>
              </w:rPr>
              <w:t>$3,302,206</w:t>
            </w:r>
          </w:p>
        </w:tc>
        <w:tc>
          <w:tcPr>
            <w:tcW w:w="1985" w:type="dxa"/>
          </w:tcPr>
          <w:p w14:paraId="72D0D059" w14:textId="77777777" w:rsidR="00616057" w:rsidRPr="009A2EB4" w:rsidRDefault="00616057" w:rsidP="000269F7">
            <w:pPr>
              <w:spacing w:after="0"/>
              <w:jc w:val="right"/>
              <w:rPr>
                <w:rFonts w:eastAsia="SimSun" w:cs="Arial"/>
                <w:szCs w:val="20"/>
                <w:lang w:eastAsia="en-US"/>
              </w:rPr>
            </w:pPr>
            <w:r>
              <w:rPr>
                <w:rFonts w:cs="Arial"/>
                <w:color w:val="000000"/>
                <w:szCs w:val="20"/>
              </w:rPr>
              <w:t>$3,497,960</w:t>
            </w:r>
          </w:p>
        </w:tc>
        <w:tc>
          <w:tcPr>
            <w:tcW w:w="1559" w:type="dxa"/>
            <w:tcBorders>
              <w:bottom w:val="single" w:sz="4" w:space="0" w:color="auto"/>
            </w:tcBorders>
          </w:tcPr>
          <w:p w14:paraId="4FD5E0C4" w14:textId="77777777" w:rsidR="00616057" w:rsidRPr="009A2EB4" w:rsidRDefault="00616057" w:rsidP="000269F7">
            <w:pPr>
              <w:spacing w:after="0"/>
              <w:jc w:val="right"/>
              <w:rPr>
                <w:rFonts w:eastAsia="SimSun" w:cs="Arial"/>
                <w:szCs w:val="20"/>
                <w:lang w:eastAsia="en-US"/>
              </w:rPr>
            </w:pPr>
            <w:r>
              <w:rPr>
                <w:rFonts w:cs="Arial"/>
                <w:color w:val="000000"/>
                <w:szCs w:val="20"/>
              </w:rPr>
              <w:t>(5.6%)</w:t>
            </w:r>
          </w:p>
        </w:tc>
      </w:tr>
      <w:tr w:rsidR="00616057" w:rsidRPr="009A2EB4" w14:paraId="2E07FF70" w14:textId="77777777" w:rsidTr="000269F7">
        <w:tc>
          <w:tcPr>
            <w:tcW w:w="2089" w:type="dxa"/>
            <w:shd w:val="clear" w:color="auto" w:fill="D9D9D9" w:themeFill="background1" w:themeFillShade="D9"/>
          </w:tcPr>
          <w:p w14:paraId="72089999" w14:textId="77777777" w:rsidR="00616057" w:rsidRPr="009A2EB4" w:rsidRDefault="00616057" w:rsidP="000269F7">
            <w:pPr>
              <w:spacing w:after="0"/>
              <w:rPr>
                <w:rFonts w:eastAsia="SimSun" w:cs="Arial"/>
                <w:szCs w:val="20"/>
                <w:lang w:eastAsia="en-US"/>
              </w:rPr>
            </w:pPr>
            <w:r w:rsidRPr="009A2EB4">
              <w:rPr>
                <w:rFonts w:eastAsia="Calibri" w:cs="Arial"/>
                <w:b/>
                <w:bCs/>
                <w:szCs w:val="20"/>
              </w:rPr>
              <w:t>Total costs</w:t>
            </w:r>
          </w:p>
        </w:tc>
        <w:tc>
          <w:tcPr>
            <w:tcW w:w="1880" w:type="dxa"/>
            <w:shd w:val="clear" w:color="auto" w:fill="D9D9D9" w:themeFill="background1" w:themeFillShade="D9"/>
          </w:tcPr>
          <w:p w14:paraId="4EF97872" w14:textId="77777777" w:rsidR="00616057" w:rsidRPr="009A2EB4" w:rsidRDefault="00616057" w:rsidP="000269F7">
            <w:pPr>
              <w:spacing w:after="0"/>
              <w:jc w:val="right"/>
              <w:rPr>
                <w:rFonts w:eastAsia="SimSun" w:cs="Arial"/>
                <w:szCs w:val="20"/>
                <w:lang w:eastAsia="en-US"/>
              </w:rPr>
            </w:pPr>
            <w:r>
              <w:rPr>
                <w:rFonts w:cs="Arial"/>
                <w:b/>
                <w:bCs/>
                <w:color w:val="000000"/>
                <w:szCs w:val="20"/>
              </w:rPr>
              <w:t>$13,109,173</w:t>
            </w:r>
          </w:p>
        </w:tc>
        <w:tc>
          <w:tcPr>
            <w:tcW w:w="1985" w:type="dxa"/>
            <w:shd w:val="clear" w:color="auto" w:fill="D9D9D9" w:themeFill="background1" w:themeFillShade="D9"/>
          </w:tcPr>
          <w:p w14:paraId="538E7C9D" w14:textId="77777777" w:rsidR="00616057" w:rsidRPr="009A2EB4" w:rsidRDefault="00616057" w:rsidP="000269F7">
            <w:pPr>
              <w:spacing w:after="0"/>
              <w:jc w:val="right"/>
              <w:rPr>
                <w:rFonts w:eastAsia="SimSun" w:cs="Arial"/>
                <w:szCs w:val="20"/>
                <w:lang w:eastAsia="en-US"/>
              </w:rPr>
            </w:pPr>
            <w:r>
              <w:rPr>
                <w:rFonts w:cs="Arial"/>
                <w:b/>
                <w:bCs/>
                <w:color w:val="000000"/>
                <w:szCs w:val="20"/>
              </w:rPr>
              <w:t>$13,641,023</w:t>
            </w:r>
          </w:p>
        </w:tc>
        <w:tc>
          <w:tcPr>
            <w:tcW w:w="1559" w:type="dxa"/>
            <w:shd w:val="clear" w:color="auto" w:fill="D9D9D9" w:themeFill="background1" w:themeFillShade="D9"/>
          </w:tcPr>
          <w:p w14:paraId="1C4F6CA7" w14:textId="77777777" w:rsidR="00616057" w:rsidRPr="009A2EB4" w:rsidRDefault="00616057" w:rsidP="000269F7">
            <w:pPr>
              <w:spacing w:after="0"/>
              <w:jc w:val="right"/>
              <w:rPr>
                <w:rFonts w:eastAsia="SimSun" w:cs="Arial"/>
                <w:szCs w:val="20"/>
                <w:lang w:eastAsia="en-US"/>
              </w:rPr>
            </w:pPr>
            <w:r>
              <w:rPr>
                <w:rFonts w:cs="Arial"/>
                <w:b/>
                <w:bCs/>
                <w:color w:val="000000"/>
                <w:szCs w:val="20"/>
              </w:rPr>
              <w:t>(3.9%)</w:t>
            </w:r>
          </w:p>
        </w:tc>
      </w:tr>
    </w:tbl>
    <w:p w14:paraId="03DF2B15" w14:textId="368CEB54" w:rsidR="0093407C" w:rsidRDefault="0093407C" w:rsidP="0093407C">
      <w:pPr>
        <w:pStyle w:val="ACMASpaceaftertable"/>
      </w:pPr>
      <w:r w:rsidRPr="001A3BDB">
        <w:rPr>
          <w:i/>
          <w:sz w:val="16"/>
          <w:szCs w:val="16"/>
        </w:rPr>
        <w:t>*increase/(decrease</w:t>
      </w:r>
      <w:r w:rsidRPr="00F7198B">
        <w:t>)</w:t>
      </w:r>
      <w:r w:rsidR="00627665">
        <w:t>.</w:t>
      </w:r>
    </w:p>
    <w:p w14:paraId="23846B5E" w14:textId="7FB9F6DD" w:rsidR="009E783D" w:rsidRPr="0039521A" w:rsidRDefault="009E783D" w:rsidP="003F7E3A">
      <w:pPr>
        <w:pStyle w:val="Heading2"/>
        <w:spacing w:after="240"/>
      </w:pPr>
      <w:bookmarkStart w:id="61" w:name="_Toc417990952"/>
      <w:bookmarkStart w:id="62" w:name="_Toc511634394"/>
      <w:bookmarkStart w:id="63" w:name="_Toc532543401"/>
      <w:r w:rsidRPr="003F7E3A">
        <w:t>3.3</w:t>
      </w:r>
      <w:r w:rsidRPr="003F7E3A">
        <w:tab/>
        <w:t>Determination of cost component</w:t>
      </w:r>
      <w:r w:rsidR="00627665">
        <w:t xml:space="preserve"> for </w:t>
      </w:r>
      <w:r w:rsidRPr="003F7E3A">
        <w:t xml:space="preserve">the ITU </w:t>
      </w:r>
      <w:bookmarkEnd w:id="61"/>
      <w:r w:rsidRPr="003F7E3A">
        <w:t>activity</w:t>
      </w:r>
      <w:bookmarkEnd w:id="62"/>
      <w:bookmarkEnd w:id="63"/>
    </w:p>
    <w:p w14:paraId="2A17CB78" w14:textId="77777777" w:rsidR="009E783D" w:rsidRPr="003F7E3A" w:rsidRDefault="009E783D" w:rsidP="003F7E3A">
      <w:pPr>
        <w:pStyle w:val="Heading3"/>
      </w:pPr>
      <w:bookmarkStart w:id="64" w:name="_Toc417990953"/>
      <w:bookmarkStart w:id="65" w:name="_Toc511634395"/>
      <w:bookmarkStart w:id="66" w:name="_Toc532543402"/>
      <w:r w:rsidRPr="003F7E3A">
        <w:t>3.3.1</w:t>
      </w:r>
      <w:r w:rsidRPr="003F7E3A">
        <w:tab/>
        <w:t>Outputs and business processes of the activity</w:t>
      </w:r>
      <w:bookmarkEnd w:id="64"/>
      <w:bookmarkEnd w:id="65"/>
      <w:bookmarkEnd w:id="66"/>
    </w:p>
    <w:p w14:paraId="6DE577A8" w14:textId="7C0C641E" w:rsidR="009E783D" w:rsidRPr="003F7E3A" w:rsidRDefault="009E783D" w:rsidP="009E783D">
      <w:pPr>
        <w:rPr>
          <w:rFonts w:ascii="Calibri" w:hAnsi="Calibri"/>
          <w:szCs w:val="22"/>
        </w:rPr>
      </w:pPr>
      <w:r>
        <w:t xml:space="preserve">This cost component </w:t>
      </w:r>
      <w:r w:rsidR="00627665">
        <w:t>(</w:t>
      </w:r>
      <w:r w:rsidR="00627665" w:rsidRPr="00627665">
        <w:t>under paragraph 15(1)(c) of the Act</w:t>
      </w:r>
      <w:r w:rsidR="00627665">
        <w:t>)</w:t>
      </w:r>
      <w:r w:rsidR="00627665" w:rsidRPr="00627665">
        <w:t xml:space="preserve"> </w:t>
      </w:r>
      <w:r>
        <w:t xml:space="preserve">relates to the Commonwealth’s annual contribution to the </w:t>
      </w:r>
      <w:r w:rsidR="00765C1E">
        <w:t xml:space="preserve">ITU </w:t>
      </w:r>
      <w:r>
        <w:t>budget associated with telecommunications for the calendar year 201</w:t>
      </w:r>
      <w:r w:rsidR="00616057">
        <w:t>7</w:t>
      </w:r>
      <w:r>
        <w:t xml:space="preserve">. The </w:t>
      </w:r>
      <w:r w:rsidR="00AD2433">
        <w:t xml:space="preserve">applicable </w:t>
      </w:r>
      <w:r>
        <w:t xml:space="preserve">amount is calculated by </w:t>
      </w:r>
      <w:proofErr w:type="spellStart"/>
      <w:r>
        <w:t>DoC</w:t>
      </w:r>
      <w:r w:rsidR="005822FA">
        <w:t>A</w:t>
      </w:r>
      <w:proofErr w:type="spellEnd"/>
      <w:r>
        <w:t xml:space="preserve">. </w:t>
      </w:r>
    </w:p>
    <w:p w14:paraId="172C69A9" w14:textId="0269CEC2" w:rsidR="00616057" w:rsidRDefault="00616057" w:rsidP="00616057">
      <w:r w:rsidRPr="004C43A7">
        <w:t xml:space="preserve">The ITU is the specialised United Nations agency responsible for international cooperation </w:t>
      </w:r>
      <w:r w:rsidR="00765C1E">
        <w:t>for</w:t>
      </w:r>
      <w:r w:rsidR="00765C1E" w:rsidRPr="004C43A7">
        <w:t xml:space="preserve"> </w:t>
      </w:r>
      <w:r w:rsidRPr="004C43A7">
        <w:t xml:space="preserve">the use of telecommunications and the radiofrequency spectrum. It establishes treaty agreements and recommends standards for telecommunications and radiocommunications (including satellite) services. </w:t>
      </w:r>
      <w:r>
        <w:t>There are 193 m</w:t>
      </w:r>
      <w:r w:rsidRPr="004C43A7">
        <w:t>ember</w:t>
      </w:r>
      <w:r>
        <w:t xml:space="preserve"> states</w:t>
      </w:r>
      <w:r w:rsidRPr="004C43A7">
        <w:t xml:space="preserve"> of the ITU and </w:t>
      </w:r>
      <w:r>
        <w:t xml:space="preserve">more than </w:t>
      </w:r>
      <w:r w:rsidRPr="004C43A7">
        <w:t xml:space="preserve">700 non-government </w:t>
      </w:r>
      <w:r>
        <w:t>members</w:t>
      </w:r>
      <w:r w:rsidRPr="004C43A7">
        <w:t xml:space="preserve">. </w:t>
      </w:r>
      <w:proofErr w:type="spellStart"/>
      <w:r w:rsidRPr="004C43A7">
        <w:t>D</w:t>
      </w:r>
      <w:r>
        <w:t>oCA</w:t>
      </w:r>
      <w:proofErr w:type="spellEnd"/>
      <w:r w:rsidRPr="004C43A7">
        <w:t xml:space="preserve"> manages Australia's membershi</w:t>
      </w:r>
      <w:r>
        <w:t>p and engagement in the ITU.</w:t>
      </w:r>
      <w:r w:rsidRPr="0058511A">
        <w:t xml:space="preserve"> </w:t>
      </w:r>
      <w:r>
        <w:t>Australian organisations, both government and private, engage with the ITU. As the ITU forms part of the regulatory framework, it is appropriate to attribute ITU costs to the licensed carriers through the ACLC.</w:t>
      </w:r>
    </w:p>
    <w:p w14:paraId="1B0ADE83" w14:textId="77777777" w:rsidR="00765C1E" w:rsidRDefault="00616057" w:rsidP="007A371B">
      <w:pPr>
        <w:spacing w:after="80"/>
      </w:pPr>
      <w:r w:rsidRPr="004C43A7">
        <w:t>The ITU’s work is carried out by three sectors</w:t>
      </w:r>
      <w:r w:rsidR="00765C1E">
        <w:t>:</w:t>
      </w:r>
    </w:p>
    <w:p w14:paraId="26F3937D" w14:textId="43EE2761" w:rsidR="00765C1E" w:rsidRDefault="00616057" w:rsidP="007A371B">
      <w:pPr>
        <w:pStyle w:val="ListBullet"/>
      </w:pPr>
      <w:r w:rsidRPr="004C43A7">
        <w:t>Radiocommunication Sector (ITU-R</w:t>
      </w:r>
      <w:r w:rsidR="00765C1E" w:rsidRPr="004C43A7">
        <w:t>)</w:t>
      </w:r>
      <w:r w:rsidR="007B2F6C">
        <w:t>—</w:t>
      </w:r>
      <w:r w:rsidR="00765C1E" w:rsidRPr="004C43A7">
        <w:t>manag</w:t>
      </w:r>
      <w:r w:rsidR="007B2F6C">
        <w:t>es</w:t>
      </w:r>
      <w:r w:rsidR="00765C1E" w:rsidRPr="004C43A7">
        <w:t xml:space="preserve"> the finite natural resources of </w:t>
      </w:r>
      <w:r w:rsidR="00765C1E">
        <w:t xml:space="preserve">the </w:t>
      </w:r>
      <w:r w:rsidR="00765C1E" w:rsidRPr="004C43A7">
        <w:t>radiofrequenc</w:t>
      </w:r>
      <w:r w:rsidR="007B2F6C">
        <w:t>y spectrum and satellite orbits</w:t>
      </w:r>
    </w:p>
    <w:p w14:paraId="19888661" w14:textId="4673C753" w:rsidR="00765C1E" w:rsidRDefault="00616057" w:rsidP="007A371B">
      <w:pPr>
        <w:pStyle w:val="ListBullet"/>
      </w:pPr>
      <w:r w:rsidRPr="004C43A7">
        <w:t>Development Sector (ITU-D)</w:t>
      </w:r>
      <w:r w:rsidR="00765C1E">
        <w:t>—</w:t>
      </w:r>
      <w:r w:rsidR="00765C1E" w:rsidRPr="004C43A7">
        <w:t>assist</w:t>
      </w:r>
      <w:r w:rsidR="00765C1E">
        <w:t>s</w:t>
      </w:r>
      <w:r w:rsidR="00765C1E" w:rsidRPr="004C43A7">
        <w:t xml:space="preserve"> developing countries </w:t>
      </w:r>
      <w:r w:rsidR="007B2F6C">
        <w:t>with</w:t>
      </w:r>
      <w:r w:rsidR="00765C1E" w:rsidRPr="004C43A7">
        <w:t xml:space="preserve"> information and communication technologies (ICTs), including promoting access to ICTs and actions that narrow the digital divide</w:t>
      </w:r>
      <w:r>
        <w:t xml:space="preserve"> </w:t>
      </w:r>
    </w:p>
    <w:p w14:paraId="1DDE352A" w14:textId="76BB2AE4" w:rsidR="00616057" w:rsidRDefault="00616057" w:rsidP="007A371B">
      <w:pPr>
        <w:pStyle w:val="ListBulletLast"/>
      </w:pPr>
      <w:r w:rsidRPr="004C43A7">
        <w:t>Telecommunicati</w:t>
      </w:r>
      <w:r>
        <w:t>on Standardisation Sector (ITU-T)</w:t>
      </w:r>
      <w:r w:rsidR="007B2F6C">
        <w:t>—</w:t>
      </w:r>
      <w:r w:rsidR="00765C1E" w:rsidRPr="004C43A7">
        <w:t>develops voluntary standards called ITU-T Recommendations</w:t>
      </w:r>
      <w:r>
        <w:t>.</w:t>
      </w:r>
      <w:r w:rsidRPr="004C43A7">
        <w:t xml:space="preserve"> </w:t>
      </w:r>
    </w:p>
    <w:p w14:paraId="70AA4BA5" w14:textId="77777777" w:rsidR="00616057" w:rsidRDefault="00616057" w:rsidP="00616057">
      <w:pPr>
        <w:spacing w:after="80"/>
      </w:pPr>
      <w:r>
        <w:t>The ITU is responsible for a number of treaties, including:</w:t>
      </w:r>
    </w:p>
    <w:p w14:paraId="5024EC68" w14:textId="056976C6" w:rsidR="00616057" w:rsidRPr="00AC6621" w:rsidRDefault="00616057" w:rsidP="00616057">
      <w:pPr>
        <w:pStyle w:val="ListBullet"/>
        <w:rPr>
          <w:rFonts w:ascii="Calibri" w:hAnsi="Calibri"/>
          <w:szCs w:val="22"/>
        </w:rPr>
      </w:pPr>
      <w:r>
        <w:t xml:space="preserve">the ITU Constitution and Convention, which governs the organisation and </w:t>
      </w:r>
      <w:r w:rsidR="007B2F6C">
        <w:t xml:space="preserve">its </w:t>
      </w:r>
      <w:r>
        <w:t xml:space="preserve">engagement </w:t>
      </w:r>
    </w:p>
    <w:p w14:paraId="338E282D" w14:textId="39FE4CD7" w:rsidR="00616057" w:rsidRPr="00AC6621" w:rsidRDefault="00616057" w:rsidP="00616057">
      <w:pPr>
        <w:pStyle w:val="ListBullet"/>
        <w:rPr>
          <w:rFonts w:ascii="Calibri" w:hAnsi="Calibri"/>
          <w:szCs w:val="22"/>
        </w:rPr>
      </w:pPr>
      <w:r>
        <w:t xml:space="preserve">the Radio Regulations, </w:t>
      </w:r>
      <w:r w:rsidR="007B2F6C">
        <w:t xml:space="preserve">which governs </w:t>
      </w:r>
      <w:r>
        <w:t>the use of radiofrequency spectrum</w:t>
      </w:r>
    </w:p>
    <w:p w14:paraId="6FA80A61" w14:textId="3C3E387A" w:rsidR="00616057" w:rsidRPr="00AC6621" w:rsidRDefault="00616057" w:rsidP="00616057">
      <w:pPr>
        <w:pStyle w:val="ListBulletLast"/>
        <w:rPr>
          <w:rFonts w:ascii="Calibri" w:hAnsi="Calibri"/>
          <w:szCs w:val="22"/>
        </w:rPr>
      </w:pPr>
      <w:r>
        <w:t xml:space="preserve">the </w:t>
      </w:r>
      <w:r w:rsidRPr="00596F9C">
        <w:t>International Telecommunication Regulations</w:t>
      </w:r>
      <w:r>
        <w:t xml:space="preserve">, </w:t>
      </w:r>
      <w:r w:rsidR="007B2F6C">
        <w:t xml:space="preserve">which </w:t>
      </w:r>
      <w:r w:rsidR="007B2F6C" w:rsidRPr="00596F9C">
        <w:t>facilitat</w:t>
      </w:r>
      <w:r w:rsidR="007B2F6C">
        <w:t>e</w:t>
      </w:r>
      <w:r w:rsidR="007B2F6C" w:rsidRPr="00596F9C">
        <w:t xml:space="preserve"> </w:t>
      </w:r>
      <w:r w:rsidRPr="00596F9C">
        <w:t xml:space="preserve">the interconnection of international telecommunication services. </w:t>
      </w:r>
    </w:p>
    <w:p w14:paraId="1CA328BF" w14:textId="77777777" w:rsidR="009E783D" w:rsidRDefault="009E783D" w:rsidP="003F7E3A">
      <w:pPr>
        <w:pStyle w:val="Heading3"/>
      </w:pPr>
      <w:bookmarkStart w:id="67" w:name="_Toc417990954"/>
      <w:bookmarkStart w:id="68" w:name="_Toc511634396"/>
      <w:bookmarkStart w:id="69" w:name="_Toc532543403"/>
      <w:r w:rsidRPr="003F7E3A">
        <w:t>3.3.2</w:t>
      </w:r>
      <w:r w:rsidRPr="003F7E3A">
        <w:tab/>
        <w:t>Costs of the activity</w:t>
      </w:r>
      <w:bookmarkEnd w:id="67"/>
      <w:bookmarkEnd w:id="68"/>
      <w:bookmarkEnd w:id="69"/>
    </w:p>
    <w:p w14:paraId="6B668EE4" w14:textId="15525172" w:rsidR="007B2F6C" w:rsidRDefault="009C64BD" w:rsidP="007B2F6C">
      <w:r w:rsidRPr="00D057F7">
        <w:t xml:space="preserve">The Commonwealth contributions to the ITU are made by </w:t>
      </w:r>
      <w:proofErr w:type="spellStart"/>
      <w:r w:rsidRPr="00D057F7">
        <w:t>DoCA</w:t>
      </w:r>
      <w:proofErr w:type="spellEnd"/>
      <w:r w:rsidRPr="00D057F7">
        <w:t xml:space="preserve"> each year as appropriated in the budget process. </w:t>
      </w:r>
      <w:r w:rsidRPr="00041F26">
        <w:t>The contribution for the 2017 calendar year was 4,725,000 Swiss Francs</w:t>
      </w:r>
      <w:r w:rsidR="007B2F6C">
        <w:t xml:space="preserve"> (</w:t>
      </w:r>
      <w:r w:rsidR="007B2F6C" w:rsidRPr="00041F26">
        <w:t>AUD 6,442,157</w:t>
      </w:r>
      <w:r w:rsidR="007B2F6C">
        <w:t xml:space="preserve">, using </w:t>
      </w:r>
      <w:r w:rsidR="007B2F6C" w:rsidRPr="00041F26">
        <w:t>the exchange rate at the time payment was made</w:t>
      </w:r>
      <w:r w:rsidR="007B2F6C">
        <w:t>)</w:t>
      </w:r>
      <w:r w:rsidR="007B2F6C" w:rsidRPr="00041F26">
        <w:t>.</w:t>
      </w:r>
      <w:r w:rsidR="007B2F6C" w:rsidRPr="00D057F7">
        <w:t xml:space="preserve"> </w:t>
      </w:r>
    </w:p>
    <w:p w14:paraId="3A5EE474" w14:textId="50E9C089" w:rsidR="009C64BD" w:rsidRDefault="009C64BD" w:rsidP="009C64BD">
      <w:r>
        <w:t>This represents a return to the normal level of funding after a slight decrease for the 2016 calendar year, when part of the contribution was affected by the government’s decision to reduce all discretionary official development assistance by 20 per cent for the 2015</w:t>
      </w:r>
      <w:r w:rsidR="007B2F6C">
        <w:t>–</w:t>
      </w:r>
      <w:r>
        <w:t>16</w:t>
      </w:r>
      <w:r w:rsidR="007B2F6C">
        <w:t xml:space="preserve"> financial year</w:t>
      </w:r>
      <w:r>
        <w:t xml:space="preserve">. </w:t>
      </w:r>
    </w:p>
    <w:p w14:paraId="656F1167" w14:textId="7F6125BA" w:rsidR="009C64BD" w:rsidRDefault="009C64BD" w:rsidP="009C64BD">
      <w:r>
        <w:t xml:space="preserve">The ITU has provided the </w:t>
      </w:r>
      <w:r w:rsidRPr="00041F26">
        <w:t xml:space="preserve">following </w:t>
      </w:r>
      <w:r>
        <w:t>output costs</w:t>
      </w:r>
      <w:r w:rsidRPr="00041F26">
        <w:t xml:space="preserve"> for 2017</w:t>
      </w:r>
      <w:r>
        <w:t xml:space="preserve"> in Swiss Francs: ITU-T, 26,166,000; ITU-R, 57,971,000. To determine the telecommunication component of the Commonwealth’s 2017 contribution, </w:t>
      </w:r>
      <w:proofErr w:type="spellStart"/>
      <w:r w:rsidRPr="0014060A">
        <w:t>DoCA</w:t>
      </w:r>
      <w:proofErr w:type="spellEnd"/>
      <w:r>
        <w:t xml:space="preserve"> has considered ITU-T’s share of the </w:t>
      </w:r>
      <w:r w:rsidRPr="00ED0289">
        <w:t xml:space="preserve">combined output costs for ITU-T and ITU-R. As </w:t>
      </w:r>
      <w:r w:rsidR="00157F82">
        <w:t>outlined</w:t>
      </w:r>
      <w:r w:rsidRPr="00ED0289">
        <w:t xml:space="preserve"> in Table</w:t>
      </w:r>
      <w:r>
        <w:t xml:space="preserve"> </w:t>
      </w:r>
      <w:r w:rsidRPr="00ED0289">
        <w:t>8, the component of the contribution associated with ITU-T activities is AUD 2,</w:t>
      </w:r>
      <w:r w:rsidRPr="00041F26">
        <w:t>003,511</w:t>
      </w:r>
      <w:r w:rsidRPr="00ED0289">
        <w:t>. This is a</w:t>
      </w:r>
      <w:r>
        <w:t xml:space="preserve"> decrease</w:t>
      </w:r>
      <w:r w:rsidRPr="00ED0289">
        <w:t xml:space="preserve"> of AUD </w:t>
      </w:r>
      <w:r w:rsidRPr="00430DC2">
        <w:t xml:space="preserve">258,567 </w:t>
      </w:r>
      <w:r w:rsidRPr="00ED0289">
        <w:t>from the previous year</w:t>
      </w:r>
      <w:r w:rsidR="00157F82">
        <w:t xml:space="preserve">, </w:t>
      </w:r>
      <w:r w:rsidRPr="00ED0289">
        <w:t>due to differences in exchange rates at time of payment and a</w:t>
      </w:r>
      <w:r>
        <w:t xml:space="preserve"> decrease</w:t>
      </w:r>
      <w:r w:rsidRPr="00ED0289">
        <w:t xml:space="preserve"> in the ITU-T expenditure relative to ITU-R expenditure in 201</w:t>
      </w:r>
      <w:r>
        <w:t>7</w:t>
      </w:r>
      <w:r w:rsidRPr="00ED0289">
        <w:t>.</w:t>
      </w:r>
    </w:p>
    <w:p w14:paraId="70FB7F65" w14:textId="77777777" w:rsidR="009C64BD" w:rsidRDefault="009C64BD" w:rsidP="009C64BD">
      <w:r>
        <w:t>Table 9</w:t>
      </w:r>
      <w:r w:rsidRPr="00A84CBD">
        <w:t xml:space="preserve"> provides the comparison of ITU contribut</w:t>
      </w:r>
      <w:r>
        <w:t>ions for the calendar years 2016 and 2017.</w:t>
      </w:r>
    </w:p>
    <w:p w14:paraId="7B5343DE" w14:textId="42060E44" w:rsidR="009C64BD" w:rsidRPr="006A56FD" w:rsidRDefault="009C64BD" w:rsidP="007A371B">
      <w:pPr>
        <w:pStyle w:val="ACMATableHeader"/>
        <w:keepNext/>
        <w:keepLines/>
        <w:numPr>
          <w:ilvl w:val="0"/>
          <w:numId w:val="0"/>
        </w:numPr>
      </w:pPr>
      <w:r>
        <w:t xml:space="preserve">Table 9: </w:t>
      </w:r>
      <w:r w:rsidRPr="006A56FD">
        <w:t xml:space="preserve">Costs associated with </w:t>
      </w:r>
      <w:r w:rsidR="00B27039">
        <w:t>ITU-T</w:t>
      </w:r>
      <w:r w:rsidRPr="006A56FD">
        <w:t xml:space="preserve"> and </w:t>
      </w:r>
      <w:r w:rsidR="00B27039">
        <w:t>ITU-R</w:t>
      </w:r>
      <w:r w:rsidRPr="006A56FD">
        <w:t xml:space="preserve"> activities</w:t>
      </w:r>
    </w:p>
    <w:tbl>
      <w:tblPr>
        <w:tblW w:w="835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57" w:type="dxa"/>
          <w:left w:w="57" w:type="dxa"/>
          <w:bottom w:w="57" w:type="dxa"/>
          <w:right w:w="57" w:type="dxa"/>
        </w:tblCellMar>
        <w:tblLook w:val="01E0" w:firstRow="1" w:lastRow="1" w:firstColumn="1" w:lastColumn="1" w:noHBand="0" w:noVBand="0"/>
      </w:tblPr>
      <w:tblGrid>
        <w:gridCol w:w="1977"/>
        <w:gridCol w:w="2121"/>
        <w:gridCol w:w="2386"/>
        <w:gridCol w:w="1872"/>
      </w:tblGrid>
      <w:tr w:rsidR="009C64BD" w:rsidRPr="00E11BCD" w14:paraId="37F117BD" w14:textId="77777777" w:rsidTr="000269F7">
        <w:trPr>
          <w:trHeight w:val="410"/>
        </w:trPr>
        <w:tc>
          <w:tcPr>
            <w:tcW w:w="1183" w:type="pct"/>
            <w:tcBorders>
              <w:bottom w:val="single" w:sz="6" w:space="0" w:color="auto"/>
            </w:tcBorders>
            <w:shd w:val="clear" w:color="auto" w:fill="404040" w:themeFill="text1" w:themeFillTint="BF"/>
            <w:vAlign w:val="center"/>
          </w:tcPr>
          <w:p w14:paraId="445F975B" w14:textId="77777777" w:rsidR="009C64BD" w:rsidRPr="00936B69" w:rsidRDefault="009C64BD" w:rsidP="007A371B">
            <w:pPr>
              <w:pStyle w:val="TableHeading"/>
              <w:keepNext/>
              <w:keepLines/>
              <w:rPr>
                <w:color w:val="FFFFFF" w:themeColor="background1"/>
              </w:rPr>
            </w:pPr>
          </w:p>
        </w:tc>
        <w:tc>
          <w:tcPr>
            <w:tcW w:w="1269" w:type="pct"/>
            <w:tcBorders>
              <w:bottom w:val="single" w:sz="6" w:space="0" w:color="auto"/>
            </w:tcBorders>
            <w:shd w:val="clear" w:color="auto" w:fill="404040" w:themeFill="text1" w:themeFillTint="BF"/>
            <w:tcMar>
              <w:left w:w="0" w:type="dxa"/>
              <w:right w:w="0" w:type="dxa"/>
            </w:tcMar>
            <w:vAlign w:val="center"/>
          </w:tcPr>
          <w:p w14:paraId="223E53B4" w14:textId="7D5E2735" w:rsidR="009C64BD" w:rsidRPr="00936B69" w:rsidRDefault="00B27039" w:rsidP="007A371B">
            <w:pPr>
              <w:pStyle w:val="TableHeading"/>
              <w:keepNext/>
              <w:keepLines/>
              <w:jc w:val="right"/>
              <w:rPr>
                <w:color w:val="FFFFFF" w:themeColor="background1"/>
              </w:rPr>
            </w:pPr>
            <w:r w:rsidRPr="00936B69">
              <w:rPr>
                <w:color w:val="FFFFFF" w:themeColor="background1"/>
              </w:rPr>
              <w:t>ITU-T</w:t>
            </w:r>
          </w:p>
        </w:tc>
        <w:tc>
          <w:tcPr>
            <w:tcW w:w="1428" w:type="pct"/>
            <w:tcBorders>
              <w:bottom w:val="single" w:sz="6" w:space="0" w:color="auto"/>
            </w:tcBorders>
            <w:shd w:val="clear" w:color="auto" w:fill="404040" w:themeFill="text1" w:themeFillTint="BF"/>
            <w:vAlign w:val="center"/>
          </w:tcPr>
          <w:p w14:paraId="4C1DEB78" w14:textId="20131AA9" w:rsidR="009C64BD" w:rsidRPr="0014060A" w:rsidRDefault="00B27039" w:rsidP="007A371B">
            <w:pPr>
              <w:pStyle w:val="TableHeading"/>
              <w:keepNext/>
              <w:keepLines/>
              <w:jc w:val="right"/>
              <w:rPr>
                <w:color w:val="FFFFFF" w:themeColor="background1"/>
              </w:rPr>
            </w:pPr>
            <w:r>
              <w:rPr>
                <w:color w:val="FFFFFF" w:themeColor="background1"/>
              </w:rPr>
              <w:t>ITU-R</w:t>
            </w:r>
          </w:p>
        </w:tc>
        <w:tc>
          <w:tcPr>
            <w:tcW w:w="1120" w:type="pct"/>
            <w:tcBorders>
              <w:bottom w:val="single" w:sz="6" w:space="0" w:color="auto"/>
            </w:tcBorders>
            <w:shd w:val="clear" w:color="auto" w:fill="404040" w:themeFill="text1" w:themeFillTint="BF"/>
            <w:vAlign w:val="center"/>
          </w:tcPr>
          <w:p w14:paraId="32DF3495" w14:textId="77777777" w:rsidR="009C64BD" w:rsidRPr="0014060A" w:rsidRDefault="009C64BD" w:rsidP="007A371B">
            <w:pPr>
              <w:pStyle w:val="TableHeading"/>
              <w:keepNext/>
              <w:keepLines/>
              <w:jc w:val="right"/>
              <w:rPr>
                <w:color w:val="FFFFFF" w:themeColor="background1"/>
              </w:rPr>
            </w:pPr>
            <w:r w:rsidRPr="0014060A">
              <w:rPr>
                <w:color w:val="FFFFFF" w:themeColor="background1"/>
              </w:rPr>
              <w:t>Total</w:t>
            </w:r>
          </w:p>
        </w:tc>
      </w:tr>
      <w:tr w:rsidR="009C64BD" w:rsidRPr="00E11BCD" w14:paraId="260DD765" w14:textId="77777777" w:rsidTr="000269F7">
        <w:trPr>
          <w:trHeight w:hRule="exact" w:val="386"/>
        </w:trPr>
        <w:tc>
          <w:tcPr>
            <w:tcW w:w="1183" w:type="pct"/>
            <w:tcBorders>
              <w:bottom w:val="single" w:sz="6" w:space="0" w:color="auto"/>
            </w:tcBorders>
            <w:shd w:val="clear" w:color="auto" w:fill="D9D9D9" w:themeFill="background1" w:themeFillShade="D9"/>
            <w:vAlign w:val="center"/>
          </w:tcPr>
          <w:p w14:paraId="37287ECF" w14:textId="77777777" w:rsidR="009C64BD" w:rsidRPr="000D6F80" w:rsidRDefault="009C64BD" w:rsidP="00B27039">
            <w:pPr>
              <w:keepNext/>
              <w:keepLines/>
              <w:spacing w:after="0"/>
              <w:jc w:val="center"/>
              <w:rPr>
                <w:rFonts w:cs="Arial"/>
                <w:b/>
                <w:szCs w:val="20"/>
              </w:rPr>
            </w:pPr>
          </w:p>
        </w:tc>
        <w:tc>
          <w:tcPr>
            <w:tcW w:w="1269" w:type="pct"/>
            <w:tcBorders>
              <w:bottom w:val="single" w:sz="6" w:space="0" w:color="auto"/>
            </w:tcBorders>
            <w:shd w:val="clear" w:color="auto" w:fill="D9D9D9" w:themeFill="background1" w:themeFillShade="D9"/>
            <w:vAlign w:val="center"/>
          </w:tcPr>
          <w:p w14:paraId="27959A2D" w14:textId="77777777" w:rsidR="009C64BD" w:rsidRDefault="009C64BD" w:rsidP="00B27039">
            <w:pPr>
              <w:keepNext/>
              <w:keepLines/>
              <w:spacing w:after="0"/>
              <w:jc w:val="right"/>
              <w:rPr>
                <w:rFonts w:cs="Arial"/>
                <w:b/>
                <w:szCs w:val="20"/>
              </w:rPr>
            </w:pPr>
            <w:r w:rsidRPr="000D6F80">
              <w:rPr>
                <w:rFonts w:cs="Arial"/>
                <w:b/>
                <w:szCs w:val="20"/>
              </w:rPr>
              <w:t>AUD</w:t>
            </w:r>
          </w:p>
        </w:tc>
        <w:tc>
          <w:tcPr>
            <w:tcW w:w="1428" w:type="pct"/>
            <w:tcBorders>
              <w:bottom w:val="single" w:sz="6" w:space="0" w:color="auto"/>
            </w:tcBorders>
            <w:shd w:val="clear" w:color="auto" w:fill="D9D9D9" w:themeFill="background1" w:themeFillShade="D9"/>
            <w:vAlign w:val="center"/>
          </w:tcPr>
          <w:p w14:paraId="3148750F" w14:textId="77777777" w:rsidR="009C64BD" w:rsidRDefault="009C64BD" w:rsidP="00B27039">
            <w:pPr>
              <w:keepNext/>
              <w:keepLines/>
              <w:spacing w:after="0"/>
              <w:jc w:val="right"/>
              <w:rPr>
                <w:rFonts w:cs="Arial"/>
                <w:b/>
                <w:szCs w:val="20"/>
              </w:rPr>
            </w:pPr>
            <w:r w:rsidRPr="000D6F80">
              <w:rPr>
                <w:rFonts w:cs="Arial"/>
                <w:b/>
                <w:szCs w:val="20"/>
              </w:rPr>
              <w:t>AUD</w:t>
            </w:r>
          </w:p>
        </w:tc>
        <w:tc>
          <w:tcPr>
            <w:tcW w:w="1120" w:type="pct"/>
            <w:tcBorders>
              <w:bottom w:val="single" w:sz="6" w:space="0" w:color="auto"/>
            </w:tcBorders>
            <w:shd w:val="clear" w:color="auto" w:fill="D9D9D9" w:themeFill="background1" w:themeFillShade="D9"/>
            <w:vAlign w:val="center"/>
          </w:tcPr>
          <w:p w14:paraId="43BF8994" w14:textId="77777777" w:rsidR="009C64BD" w:rsidRDefault="009C64BD" w:rsidP="00B27039">
            <w:pPr>
              <w:keepNext/>
              <w:keepLines/>
              <w:spacing w:after="0"/>
              <w:jc w:val="right"/>
              <w:rPr>
                <w:rFonts w:cs="Arial"/>
                <w:b/>
                <w:szCs w:val="20"/>
              </w:rPr>
            </w:pPr>
            <w:r w:rsidRPr="000D6F80">
              <w:rPr>
                <w:rFonts w:cs="Arial"/>
                <w:b/>
                <w:szCs w:val="20"/>
              </w:rPr>
              <w:t>AUD</w:t>
            </w:r>
          </w:p>
        </w:tc>
      </w:tr>
      <w:tr w:rsidR="009C64BD" w:rsidRPr="00E11BCD" w14:paraId="4E8A40EB" w14:textId="77777777" w:rsidTr="000269F7">
        <w:trPr>
          <w:trHeight w:hRule="exact" w:val="386"/>
        </w:trPr>
        <w:tc>
          <w:tcPr>
            <w:tcW w:w="1183" w:type="pct"/>
            <w:vAlign w:val="center"/>
          </w:tcPr>
          <w:p w14:paraId="7C0D155B" w14:textId="77777777" w:rsidR="009C64BD" w:rsidRPr="00E11BCD" w:rsidRDefault="009C64BD" w:rsidP="00B27039">
            <w:pPr>
              <w:keepNext/>
              <w:keepLines/>
              <w:spacing w:after="0"/>
              <w:ind w:right="-142"/>
              <w:rPr>
                <w:rFonts w:cs="Arial"/>
                <w:bCs/>
                <w:szCs w:val="20"/>
              </w:rPr>
            </w:pPr>
            <w:r w:rsidRPr="00E11BCD">
              <w:rPr>
                <w:rFonts w:cs="Arial"/>
                <w:bCs/>
                <w:szCs w:val="20"/>
              </w:rPr>
              <w:t>201</w:t>
            </w:r>
            <w:r>
              <w:rPr>
                <w:rFonts w:cs="Arial"/>
                <w:bCs/>
                <w:szCs w:val="20"/>
              </w:rPr>
              <w:t>7</w:t>
            </w:r>
          </w:p>
        </w:tc>
        <w:tc>
          <w:tcPr>
            <w:tcW w:w="1269" w:type="pct"/>
            <w:vAlign w:val="center"/>
          </w:tcPr>
          <w:p w14:paraId="1CF931D5" w14:textId="77777777" w:rsidR="009C64BD" w:rsidRDefault="009C64BD" w:rsidP="00B27039">
            <w:pPr>
              <w:keepNext/>
              <w:keepLines/>
              <w:spacing w:after="0"/>
              <w:jc w:val="right"/>
              <w:rPr>
                <w:rFonts w:cs="Arial"/>
                <w:bCs/>
                <w:szCs w:val="20"/>
              </w:rPr>
            </w:pPr>
            <w:r w:rsidRPr="00430DC2">
              <w:rPr>
                <w:rFonts w:cs="Arial"/>
                <w:bCs/>
                <w:szCs w:val="20"/>
              </w:rPr>
              <w:t xml:space="preserve">2,003,511  </w:t>
            </w:r>
          </w:p>
        </w:tc>
        <w:tc>
          <w:tcPr>
            <w:tcW w:w="1428" w:type="pct"/>
            <w:vAlign w:val="center"/>
          </w:tcPr>
          <w:p w14:paraId="1EF96FE7" w14:textId="77777777" w:rsidR="009C64BD" w:rsidRDefault="009C64BD" w:rsidP="00B27039">
            <w:pPr>
              <w:keepNext/>
              <w:keepLines/>
              <w:spacing w:after="0"/>
              <w:ind w:right="34"/>
              <w:jc w:val="right"/>
              <w:rPr>
                <w:rFonts w:cs="Arial"/>
                <w:bCs/>
                <w:szCs w:val="20"/>
              </w:rPr>
            </w:pPr>
            <w:r>
              <w:rPr>
                <w:rFonts w:cs="Arial"/>
                <w:bCs/>
                <w:szCs w:val="20"/>
              </w:rPr>
              <w:t xml:space="preserve">4,438,646  </w:t>
            </w:r>
          </w:p>
        </w:tc>
        <w:tc>
          <w:tcPr>
            <w:tcW w:w="1120" w:type="pct"/>
            <w:vAlign w:val="center"/>
          </w:tcPr>
          <w:p w14:paraId="6246BB3F" w14:textId="77777777" w:rsidR="009C64BD" w:rsidRDefault="009C64BD" w:rsidP="00B27039">
            <w:pPr>
              <w:keepNext/>
              <w:keepLines/>
              <w:spacing w:after="0"/>
              <w:jc w:val="right"/>
              <w:rPr>
                <w:rFonts w:cs="Arial"/>
                <w:bCs/>
                <w:szCs w:val="20"/>
              </w:rPr>
            </w:pPr>
            <w:r>
              <w:rPr>
                <w:rFonts w:cs="Arial"/>
                <w:bCs/>
                <w:szCs w:val="20"/>
              </w:rPr>
              <w:t xml:space="preserve">6,442,157 </w:t>
            </w:r>
          </w:p>
        </w:tc>
      </w:tr>
      <w:tr w:rsidR="009C64BD" w:rsidRPr="009C16DA" w14:paraId="327D1538" w14:textId="77777777" w:rsidTr="000269F7">
        <w:trPr>
          <w:trHeight w:hRule="exact" w:val="386"/>
        </w:trPr>
        <w:tc>
          <w:tcPr>
            <w:tcW w:w="1183" w:type="pct"/>
            <w:vAlign w:val="center"/>
          </w:tcPr>
          <w:p w14:paraId="28E959D4" w14:textId="77777777" w:rsidR="009C64BD" w:rsidRPr="00E11BCD" w:rsidRDefault="009C64BD" w:rsidP="00B27039">
            <w:pPr>
              <w:keepNext/>
              <w:keepLines/>
              <w:spacing w:after="0"/>
              <w:ind w:right="-142"/>
              <w:rPr>
                <w:rFonts w:cs="Arial"/>
                <w:bCs/>
                <w:szCs w:val="20"/>
              </w:rPr>
            </w:pPr>
            <w:r>
              <w:rPr>
                <w:rFonts w:cs="Arial"/>
                <w:bCs/>
                <w:szCs w:val="20"/>
              </w:rPr>
              <w:t>2016</w:t>
            </w:r>
          </w:p>
        </w:tc>
        <w:tc>
          <w:tcPr>
            <w:tcW w:w="1269" w:type="pct"/>
            <w:vAlign w:val="center"/>
          </w:tcPr>
          <w:p w14:paraId="1B27E76B" w14:textId="77777777" w:rsidR="009C64BD" w:rsidRDefault="009C64BD" w:rsidP="00B27039">
            <w:pPr>
              <w:keepNext/>
              <w:keepLines/>
              <w:spacing w:after="0"/>
              <w:jc w:val="right"/>
              <w:rPr>
                <w:rFonts w:cs="Arial"/>
                <w:bCs/>
                <w:szCs w:val="20"/>
              </w:rPr>
            </w:pPr>
            <w:r>
              <w:rPr>
                <w:rFonts w:cs="Arial"/>
                <w:bCs/>
                <w:szCs w:val="20"/>
              </w:rPr>
              <w:t xml:space="preserve">2,262,078  </w:t>
            </w:r>
          </w:p>
        </w:tc>
        <w:tc>
          <w:tcPr>
            <w:tcW w:w="1428" w:type="pct"/>
            <w:vAlign w:val="center"/>
          </w:tcPr>
          <w:p w14:paraId="64E5BFB2" w14:textId="77777777" w:rsidR="009C64BD" w:rsidRDefault="009C64BD" w:rsidP="00B27039">
            <w:pPr>
              <w:keepNext/>
              <w:keepLines/>
              <w:spacing w:after="0"/>
              <w:ind w:right="34"/>
              <w:jc w:val="right"/>
              <w:rPr>
                <w:rFonts w:cs="Arial"/>
                <w:bCs/>
                <w:szCs w:val="20"/>
              </w:rPr>
            </w:pPr>
            <w:r w:rsidRPr="00430DC2">
              <w:rPr>
                <w:rFonts w:cs="Arial"/>
                <w:bCs/>
                <w:szCs w:val="20"/>
              </w:rPr>
              <w:t xml:space="preserve">4,522,800  </w:t>
            </w:r>
          </w:p>
        </w:tc>
        <w:tc>
          <w:tcPr>
            <w:tcW w:w="1120" w:type="pct"/>
            <w:vAlign w:val="center"/>
          </w:tcPr>
          <w:p w14:paraId="5CF808F9" w14:textId="77777777" w:rsidR="009C64BD" w:rsidRDefault="009C64BD" w:rsidP="00B27039">
            <w:pPr>
              <w:keepNext/>
              <w:keepLines/>
              <w:spacing w:after="0"/>
              <w:jc w:val="right"/>
              <w:rPr>
                <w:rFonts w:cs="Arial"/>
                <w:bCs/>
                <w:szCs w:val="20"/>
              </w:rPr>
            </w:pPr>
            <w:r w:rsidRPr="00430DC2">
              <w:rPr>
                <w:rFonts w:cs="Arial"/>
                <w:bCs/>
                <w:szCs w:val="20"/>
              </w:rPr>
              <w:t xml:space="preserve">6,784,878  </w:t>
            </w:r>
          </w:p>
        </w:tc>
      </w:tr>
      <w:tr w:rsidR="009C64BD" w:rsidRPr="00E11BCD" w14:paraId="37D1E6B7" w14:textId="77777777" w:rsidTr="000269F7">
        <w:trPr>
          <w:trHeight w:hRule="exact" w:val="386"/>
        </w:trPr>
        <w:tc>
          <w:tcPr>
            <w:tcW w:w="1183" w:type="pct"/>
            <w:tcBorders>
              <w:top w:val="single" w:sz="6" w:space="0" w:color="auto"/>
              <w:bottom w:val="single" w:sz="6" w:space="0" w:color="auto"/>
              <w:right w:val="single" w:sz="6" w:space="0" w:color="auto"/>
            </w:tcBorders>
            <w:vAlign w:val="center"/>
          </w:tcPr>
          <w:p w14:paraId="03A3DA3E" w14:textId="77777777" w:rsidR="009C64BD" w:rsidRPr="00E11BCD" w:rsidRDefault="009C64BD" w:rsidP="00B27039">
            <w:pPr>
              <w:keepNext/>
              <w:keepLines/>
              <w:spacing w:after="0"/>
              <w:ind w:right="-142"/>
              <w:rPr>
                <w:rFonts w:cs="Arial"/>
                <w:bCs/>
                <w:szCs w:val="20"/>
              </w:rPr>
            </w:pPr>
            <w:r>
              <w:rPr>
                <w:rFonts w:cs="Arial"/>
                <w:bCs/>
                <w:szCs w:val="20"/>
              </w:rPr>
              <w:t>Increase/(decrease)</w:t>
            </w:r>
          </w:p>
        </w:tc>
        <w:tc>
          <w:tcPr>
            <w:tcW w:w="1269" w:type="pct"/>
            <w:tcBorders>
              <w:top w:val="single" w:sz="6" w:space="0" w:color="auto"/>
              <w:left w:val="single" w:sz="6" w:space="0" w:color="auto"/>
              <w:bottom w:val="single" w:sz="6" w:space="0" w:color="auto"/>
              <w:right w:val="single" w:sz="6" w:space="0" w:color="auto"/>
            </w:tcBorders>
            <w:shd w:val="clear" w:color="auto" w:fill="auto"/>
            <w:vAlign w:val="center"/>
          </w:tcPr>
          <w:p w14:paraId="3FF82848" w14:textId="77777777" w:rsidR="009C64BD" w:rsidRDefault="009C64BD" w:rsidP="00B27039">
            <w:pPr>
              <w:keepNext/>
              <w:keepLines/>
              <w:spacing w:after="0"/>
              <w:jc w:val="right"/>
              <w:rPr>
                <w:rFonts w:cs="Arial"/>
                <w:bCs/>
                <w:szCs w:val="20"/>
              </w:rPr>
            </w:pPr>
            <w:r>
              <w:rPr>
                <w:rFonts w:cs="Arial"/>
                <w:bCs/>
                <w:color w:val="000000"/>
                <w:szCs w:val="20"/>
              </w:rPr>
              <w:t xml:space="preserve">(11.43%)  </w:t>
            </w:r>
          </w:p>
        </w:tc>
        <w:tc>
          <w:tcPr>
            <w:tcW w:w="1428" w:type="pct"/>
            <w:tcBorders>
              <w:top w:val="single" w:sz="6" w:space="0" w:color="auto"/>
              <w:left w:val="single" w:sz="6" w:space="0" w:color="auto"/>
              <w:bottom w:val="single" w:sz="6" w:space="0" w:color="auto"/>
              <w:right w:val="single" w:sz="6" w:space="0" w:color="auto"/>
            </w:tcBorders>
            <w:shd w:val="clear" w:color="auto" w:fill="auto"/>
            <w:vAlign w:val="center"/>
          </w:tcPr>
          <w:p w14:paraId="2E2E2EFE" w14:textId="77777777" w:rsidR="009C64BD" w:rsidRDefault="009C64BD" w:rsidP="00B27039">
            <w:pPr>
              <w:keepNext/>
              <w:keepLines/>
              <w:spacing w:after="0"/>
              <w:jc w:val="right"/>
              <w:rPr>
                <w:rFonts w:cs="Arial"/>
                <w:bCs/>
                <w:szCs w:val="20"/>
              </w:rPr>
            </w:pPr>
            <w:r w:rsidRPr="00430DC2">
              <w:rPr>
                <w:rFonts w:cs="Arial"/>
                <w:bCs/>
                <w:color w:val="000000"/>
                <w:szCs w:val="20"/>
              </w:rPr>
              <w:t xml:space="preserve">(1.86 %)  </w:t>
            </w:r>
          </w:p>
        </w:tc>
        <w:tc>
          <w:tcPr>
            <w:tcW w:w="1120" w:type="pct"/>
            <w:tcBorders>
              <w:top w:val="single" w:sz="6" w:space="0" w:color="auto"/>
              <w:left w:val="single" w:sz="6" w:space="0" w:color="auto"/>
              <w:bottom w:val="single" w:sz="6" w:space="0" w:color="auto"/>
              <w:right w:val="single" w:sz="6" w:space="0" w:color="auto"/>
            </w:tcBorders>
            <w:shd w:val="clear" w:color="auto" w:fill="auto"/>
            <w:vAlign w:val="center"/>
          </w:tcPr>
          <w:p w14:paraId="3CCDA223" w14:textId="77777777" w:rsidR="009C64BD" w:rsidRDefault="009C64BD" w:rsidP="00B27039">
            <w:pPr>
              <w:keepNext/>
              <w:keepLines/>
              <w:spacing w:after="0"/>
              <w:jc w:val="right"/>
              <w:rPr>
                <w:rFonts w:cs="Arial"/>
                <w:bCs/>
                <w:szCs w:val="20"/>
              </w:rPr>
            </w:pPr>
            <w:r w:rsidRPr="00430DC2">
              <w:rPr>
                <w:rFonts w:cs="Arial"/>
                <w:bCs/>
                <w:color w:val="000000"/>
                <w:szCs w:val="20"/>
              </w:rPr>
              <w:t xml:space="preserve">(5.05 %) </w:t>
            </w:r>
          </w:p>
        </w:tc>
      </w:tr>
      <w:tr w:rsidR="009C64BD" w:rsidRPr="00E11BCD" w14:paraId="74407F52" w14:textId="77777777" w:rsidTr="000269F7">
        <w:trPr>
          <w:trHeight w:hRule="exact" w:val="386"/>
        </w:trPr>
        <w:tc>
          <w:tcPr>
            <w:tcW w:w="1183" w:type="pct"/>
            <w:tcBorders>
              <w:top w:val="single" w:sz="6" w:space="0" w:color="auto"/>
              <w:bottom w:val="single" w:sz="6" w:space="0" w:color="auto"/>
              <w:right w:val="single" w:sz="6" w:space="0" w:color="auto"/>
            </w:tcBorders>
            <w:vAlign w:val="center"/>
          </w:tcPr>
          <w:p w14:paraId="0A8CD7B2" w14:textId="77777777" w:rsidR="009C64BD" w:rsidRPr="00E11BCD" w:rsidRDefault="009C64BD" w:rsidP="00B27039">
            <w:pPr>
              <w:keepNext/>
              <w:keepLines/>
              <w:spacing w:after="0"/>
              <w:ind w:right="-142"/>
              <w:rPr>
                <w:rFonts w:cs="Arial"/>
                <w:bCs/>
                <w:szCs w:val="20"/>
              </w:rPr>
            </w:pPr>
            <w:r>
              <w:rPr>
                <w:rFonts w:cs="Arial"/>
                <w:bCs/>
                <w:szCs w:val="20"/>
              </w:rPr>
              <w:t>Ratio 2017</w:t>
            </w:r>
          </w:p>
        </w:tc>
        <w:tc>
          <w:tcPr>
            <w:tcW w:w="1269" w:type="pct"/>
            <w:tcBorders>
              <w:top w:val="single" w:sz="6" w:space="0" w:color="auto"/>
              <w:left w:val="single" w:sz="6" w:space="0" w:color="auto"/>
              <w:bottom w:val="single" w:sz="6" w:space="0" w:color="auto"/>
              <w:right w:val="single" w:sz="6" w:space="0" w:color="auto"/>
            </w:tcBorders>
            <w:shd w:val="clear" w:color="auto" w:fill="auto"/>
            <w:vAlign w:val="center"/>
          </w:tcPr>
          <w:p w14:paraId="583B79A4" w14:textId="77777777" w:rsidR="009C64BD" w:rsidRDefault="009C64BD" w:rsidP="00B27039">
            <w:pPr>
              <w:keepNext/>
              <w:keepLines/>
              <w:spacing w:after="0"/>
              <w:jc w:val="right"/>
              <w:rPr>
                <w:rFonts w:cs="Arial"/>
                <w:bCs/>
                <w:szCs w:val="20"/>
              </w:rPr>
            </w:pPr>
            <w:r w:rsidRPr="00430DC2">
              <w:rPr>
                <w:rFonts w:cs="Arial"/>
                <w:bCs/>
                <w:color w:val="000000"/>
                <w:szCs w:val="20"/>
              </w:rPr>
              <w:t>31.10%</w:t>
            </w:r>
            <w:r>
              <w:rPr>
                <w:rFonts w:cs="Arial"/>
                <w:bCs/>
                <w:color w:val="000000"/>
                <w:szCs w:val="20"/>
              </w:rPr>
              <w:t xml:space="preserve">  </w:t>
            </w:r>
          </w:p>
        </w:tc>
        <w:tc>
          <w:tcPr>
            <w:tcW w:w="1428" w:type="pct"/>
            <w:tcBorders>
              <w:top w:val="single" w:sz="6" w:space="0" w:color="auto"/>
              <w:left w:val="single" w:sz="6" w:space="0" w:color="auto"/>
              <w:bottom w:val="single" w:sz="6" w:space="0" w:color="auto"/>
              <w:right w:val="single" w:sz="6" w:space="0" w:color="auto"/>
            </w:tcBorders>
            <w:shd w:val="clear" w:color="auto" w:fill="auto"/>
            <w:vAlign w:val="center"/>
          </w:tcPr>
          <w:p w14:paraId="7CB66855" w14:textId="77777777" w:rsidR="009C64BD" w:rsidRDefault="009C64BD" w:rsidP="00B27039">
            <w:pPr>
              <w:keepNext/>
              <w:keepLines/>
              <w:spacing w:after="0"/>
              <w:ind w:right="34"/>
              <w:jc w:val="right"/>
              <w:rPr>
                <w:rFonts w:cs="Arial"/>
                <w:bCs/>
                <w:szCs w:val="20"/>
              </w:rPr>
            </w:pPr>
            <w:r w:rsidRPr="00430DC2">
              <w:rPr>
                <w:rFonts w:cs="Arial"/>
                <w:bCs/>
                <w:color w:val="000000"/>
                <w:szCs w:val="20"/>
              </w:rPr>
              <w:t>68.90%</w:t>
            </w:r>
            <w:r>
              <w:rPr>
                <w:rFonts w:cs="Arial"/>
                <w:bCs/>
                <w:color w:val="000000"/>
                <w:szCs w:val="20"/>
              </w:rPr>
              <w:t xml:space="preserve">  </w:t>
            </w:r>
          </w:p>
        </w:tc>
        <w:tc>
          <w:tcPr>
            <w:tcW w:w="1120" w:type="pct"/>
            <w:tcBorders>
              <w:top w:val="single" w:sz="6" w:space="0" w:color="auto"/>
              <w:left w:val="single" w:sz="6" w:space="0" w:color="auto"/>
              <w:bottom w:val="single" w:sz="6" w:space="0" w:color="auto"/>
              <w:right w:val="single" w:sz="6" w:space="0" w:color="auto"/>
            </w:tcBorders>
            <w:shd w:val="clear" w:color="auto" w:fill="auto"/>
            <w:vAlign w:val="center"/>
          </w:tcPr>
          <w:p w14:paraId="7CCD8A53" w14:textId="77777777" w:rsidR="009C64BD" w:rsidRPr="00E11BCD" w:rsidRDefault="009C64BD" w:rsidP="00B27039">
            <w:pPr>
              <w:keepNext/>
              <w:keepLines/>
              <w:spacing w:after="0"/>
              <w:jc w:val="right"/>
              <w:rPr>
                <w:rFonts w:cs="Arial"/>
                <w:bCs/>
                <w:szCs w:val="20"/>
              </w:rPr>
            </w:pPr>
            <w:r>
              <w:rPr>
                <w:rFonts w:cs="Arial"/>
                <w:bCs/>
                <w:color w:val="000000"/>
                <w:szCs w:val="20"/>
              </w:rPr>
              <w:t> </w:t>
            </w:r>
          </w:p>
        </w:tc>
      </w:tr>
      <w:tr w:rsidR="009C64BD" w:rsidRPr="00E11BCD" w14:paraId="31EF0C96" w14:textId="77777777" w:rsidTr="000269F7">
        <w:trPr>
          <w:trHeight w:hRule="exact" w:val="386"/>
        </w:trPr>
        <w:tc>
          <w:tcPr>
            <w:tcW w:w="1183" w:type="pct"/>
            <w:tcBorders>
              <w:top w:val="single" w:sz="6" w:space="0" w:color="auto"/>
              <w:bottom w:val="single" w:sz="6" w:space="0" w:color="auto"/>
              <w:right w:val="single" w:sz="6" w:space="0" w:color="auto"/>
            </w:tcBorders>
            <w:vAlign w:val="center"/>
          </w:tcPr>
          <w:p w14:paraId="69615FA7" w14:textId="77777777" w:rsidR="009C64BD" w:rsidRPr="00E11BCD" w:rsidRDefault="009C64BD" w:rsidP="00B27039">
            <w:pPr>
              <w:keepNext/>
              <w:keepLines/>
              <w:spacing w:after="0"/>
              <w:ind w:right="-142"/>
              <w:rPr>
                <w:rFonts w:cs="Arial"/>
                <w:bCs/>
                <w:szCs w:val="20"/>
              </w:rPr>
            </w:pPr>
            <w:r>
              <w:rPr>
                <w:rFonts w:cs="Arial"/>
                <w:bCs/>
                <w:szCs w:val="20"/>
              </w:rPr>
              <w:t>Ratio 2016</w:t>
            </w:r>
          </w:p>
        </w:tc>
        <w:tc>
          <w:tcPr>
            <w:tcW w:w="1269" w:type="pct"/>
            <w:tcBorders>
              <w:top w:val="single" w:sz="6" w:space="0" w:color="auto"/>
              <w:left w:val="single" w:sz="6" w:space="0" w:color="auto"/>
              <w:bottom w:val="single" w:sz="6" w:space="0" w:color="auto"/>
              <w:right w:val="single" w:sz="6" w:space="0" w:color="auto"/>
            </w:tcBorders>
            <w:shd w:val="clear" w:color="auto" w:fill="auto"/>
            <w:vAlign w:val="center"/>
          </w:tcPr>
          <w:p w14:paraId="579F750A" w14:textId="77777777" w:rsidR="009C64BD" w:rsidRDefault="009C64BD" w:rsidP="00B27039">
            <w:pPr>
              <w:keepNext/>
              <w:keepLines/>
              <w:spacing w:after="0"/>
              <w:jc w:val="right"/>
              <w:rPr>
                <w:rFonts w:cs="Arial"/>
                <w:bCs/>
                <w:szCs w:val="20"/>
              </w:rPr>
            </w:pPr>
            <w:r>
              <w:rPr>
                <w:rFonts w:cs="Arial"/>
                <w:bCs/>
                <w:color w:val="000000"/>
                <w:szCs w:val="20"/>
              </w:rPr>
              <w:t xml:space="preserve">33.34%  </w:t>
            </w:r>
          </w:p>
        </w:tc>
        <w:tc>
          <w:tcPr>
            <w:tcW w:w="1428" w:type="pct"/>
            <w:tcBorders>
              <w:top w:val="single" w:sz="6" w:space="0" w:color="auto"/>
              <w:left w:val="single" w:sz="6" w:space="0" w:color="auto"/>
              <w:bottom w:val="single" w:sz="6" w:space="0" w:color="auto"/>
              <w:right w:val="single" w:sz="6" w:space="0" w:color="auto"/>
            </w:tcBorders>
            <w:shd w:val="clear" w:color="auto" w:fill="auto"/>
            <w:vAlign w:val="center"/>
          </w:tcPr>
          <w:p w14:paraId="1B59E5A4" w14:textId="77777777" w:rsidR="009C64BD" w:rsidRDefault="009C64BD" w:rsidP="00B27039">
            <w:pPr>
              <w:keepNext/>
              <w:keepLines/>
              <w:spacing w:after="0"/>
              <w:ind w:right="34"/>
              <w:jc w:val="right"/>
              <w:rPr>
                <w:rFonts w:cs="Arial"/>
                <w:bCs/>
                <w:szCs w:val="20"/>
              </w:rPr>
            </w:pPr>
            <w:r w:rsidRPr="00430DC2">
              <w:rPr>
                <w:rFonts w:cs="Arial"/>
                <w:bCs/>
                <w:color w:val="000000"/>
                <w:szCs w:val="20"/>
              </w:rPr>
              <w:t>66.66%</w:t>
            </w:r>
            <w:r>
              <w:rPr>
                <w:rFonts w:cs="Arial"/>
                <w:bCs/>
                <w:color w:val="000000"/>
                <w:szCs w:val="20"/>
              </w:rPr>
              <w:t xml:space="preserve">  </w:t>
            </w:r>
          </w:p>
        </w:tc>
        <w:tc>
          <w:tcPr>
            <w:tcW w:w="1120" w:type="pct"/>
            <w:tcBorders>
              <w:top w:val="single" w:sz="6" w:space="0" w:color="auto"/>
              <w:left w:val="single" w:sz="6" w:space="0" w:color="auto"/>
              <w:bottom w:val="single" w:sz="6" w:space="0" w:color="auto"/>
              <w:right w:val="single" w:sz="6" w:space="0" w:color="auto"/>
            </w:tcBorders>
            <w:shd w:val="clear" w:color="auto" w:fill="auto"/>
            <w:vAlign w:val="center"/>
          </w:tcPr>
          <w:p w14:paraId="62CB725C" w14:textId="77777777" w:rsidR="009C64BD" w:rsidRPr="00E11BCD" w:rsidRDefault="009C64BD" w:rsidP="00B27039">
            <w:pPr>
              <w:keepNext/>
              <w:keepLines/>
              <w:spacing w:after="0"/>
              <w:jc w:val="right"/>
              <w:rPr>
                <w:rFonts w:cs="Arial"/>
                <w:bCs/>
                <w:szCs w:val="20"/>
              </w:rPr>
            </w:pPr>
            <w:r>
              <w:rPr>
                <w:rFonts w:cs="Arial"/>
                <w:bCs/>
                <w:color w:val="000000"/>
                <w:szCs w:val="20"/>
              </w:rPr>
              <w:t> </w:t>
            </w:r>
          </w:p>
        </w:tc>
      </w:tr>
      <w:tr w:rsidR="009C64BD" w:rsidRPr="00E11BCD" w14:paraId="205A15E0" w14:textId="77777777" w:rsidTr="000269F7">
        <w:trPr>
          <w:trHeight w:hRule="exact" w:val="386"/>
        </w:trPr>
        <w:tc>
          <w:tcPr>
            <w:tcW w:w="1183" w:type="pct"/>
            <w:shd w:val="clear" w:color="auto" w:fill="D9D9D9" w:themeFill="background1" w:themeFillShade="D9"/>
            <w:vAlign w:val="center"/>
          </w:tcPr>
          <w:p w14:paraId="3AC2B62D" w14:textId="77777777" w:rsidR="009C64BD" w:rsidRPr="000D6F80" w:rsidRDefault="009C64BD" w:rsidP="00B27039">
            <w:pPr>
              <w:keepNext/>
              <w:keepLines/>
              <w:spacing w:after="0"/>
              <w:ind w:right="-142"/>
              <w:jc w:val="center"/>
              <w:rPr>
                <w:rFonts w:cs="Arial"/>
                <w:b/>
                <w:szCs w:val="20"/>
              </w:rPr>
            </w:pPr>
          </w:p>
        </w:tc>
        <w:tc>
          <w:tcPr>
            <w:tcW w:w="1269" w:type="pct"/>
            <w:shd w:val="clear" w:color="auto" w:fill="D9D9D9" w:themeFill="background1" w:themeFillShade="D9"/>
            <w:vAlign w:val="center"/>
          </w:tcPr>
          <w:p w14:paraId="5AD3B476" w14:textId="77777777" w:rsidR="009C64BD" w:rsidRDefault="009C64BD" w:rsidP="00B27039">
            <w:pPr>
              <w:keepNext/>
              <w:keepLines/>
              <w:spacing w:after="0"/>
              <w:jc w:val="right"/>
              <w:rPr>
                <w:rFonts w:cs="Arial"/>
                <w:b/>
                <w:szCs w:val="20"/>
              </w:rPr>
            </w:pPr>
            <w:r>
              <w:rPr>
                <w:rFonts w:cs="Arial"/>
                <w:b/>
                <w:szCs w:val="20"/>
              </w:rPr>
              <w:t>Swiss Francs</w:t>
            </w:r>
          </w:p>
        </w:tc>
        <w:tc>
          <w:tcPr>
            <w:tcW w:w="1428" w:type="pct"/>
            <w:shd w:val="clear" w:color="auto" w:fill="D9D9D9" w:themeFill="background1" w:themeFillShade="D9"/>
            <w:vAlign w:val="center"/>
          </w:tcPr>
          <w:p w14:paraId="06BF0416" w14:textId="77777777" w:rsidR="009C64BD" w:rsidRDefault="009C64BD" w:rsidP="00B27039">
            <w:pPr>
              <w:keepNext/>
              <w:keepLines/>
              <w:spacing w:after="0"/>
              <w:ind w:right="34"/>
              <w:jc w:val="right"/>
              <w:rPr>
                <w:rFonts w:cs="Arial"/>
                <w:b/>
                <w:szCs w:val="20"/>
              </w:rPr>
            </w:pPr>
            <w:r>
              <w:rPr>
                <w:rFonts w:cs="Arial"/>
                <w:b/>
                <w:szCs w:val="20"/>
              </w:rPr>
              <w:t>Swiss Francs</w:t>
            </w:r>
          </w:p>
        </w:tc>
        <w:tc>
          <w:tcPr>
            <w:tcW w:w="1120" w:type="pct"/>
            <w:shd w:val="clear" w:color="auto" w:fill="D9D9D9" w:themeFill="background1" w:themeFillShade="D9"/>
            <w:vAlign w:val="center"/>
          </w:tcPr>
          <w:p w14:paraId="690C8513" w14:textId="77777777" w:rsidR="009C64BD" w:rsidRDefault="009C64BD" w:rsidP="00B27039">
            <w:pPr>
              <w:keepNext/>
              <w:keepLines/>
              <w:spacing w:after="0"/>
              <w:jc w:val="right"/>
              <w:rPr>
                <w:rFonts w:cs="Arial"/>
                <w:b/>
                <w:szCs w:val="20"/>
              </w:rPr>
            </w:pPr>
            <w:r>
              <w:rPr>
                <w:rFonts w:cs="Arial"/>
                <w:b/>
                <w:szCs w:val="20"/>
              </w:rPr>
              <w:t>Swiss Francs</w:t>
            </w:r>
          </w:p>
        </w:tc>
      </w:tr>
      <w:tr w:rsidR="009C64BD" w:rsidRPr="00E11BCD" w14:paraId="2545F301" w14:textId="77777777" w:rsidTr="000269F7">
        <w:trPr>
          <w:trHeight w:hRule="exact" w:val="386"/>
        </w:trPr>
        <w:tc>
          <w:tcPr>
            <w:tcW w:w="1183" w:type="pct"/>
            <w:tcBorders>
              <w:top w:val="single" w:sz="6" w:space="0" w:color="auto"/>
              <w:bottom w:val="single" w:sz="6" w:space="0" w:color="auto"/>
              <w:right w:val="single" w:sz="6" w:space="0" w:color="auto"/>
            </w:tcBorders>
            <w:vAlign w:val="center"/>
          </w:tcPr>
          <w:p w14:paraId="3B060266" w14:textId="77777777" w:rsidR="009C64BD" w:rsidRPr="00E11BCD" w:rsidRDefault="009C64BD" w:rsidP="007A371B">
            <w:pPr>
              <w:keepNext/>
              <w:keepLines/>
              <w:spacing w:after="0"/>
              <w:ind w:right="-142"/>
              <w:rPr>
                <w:rFonts w:cs="Arial"/>
                <w:bCs/>
                <w:szCs w:val="20"/>
              </w:rPr>
            </w:pPr>
            <w:r>
              <w:rPr>
                <w:rFonts w:cs="Arial"/>
                <w:bCs/>
                <w:szCs w:val="20"/>
              </w:rPr>
              <w:t>2017</w:t>
            </w:r>
          </w:p>
        </w:tc>
        <w:tc>
          <w:tcPr>
            <w:tcW w:w="1269" w:type="pct"/>
            <w:tcBorders>
              <w:top w:val="single" w:sz="6" w:space="0" w:color="auto"/>
              <w:left w:val="single" w:sz="6" w:space="0" w:color="auto"/>
              <w:bottom w:val="single" w:sz="6" w:space="0" w:color="auto"/>
              <w:right w:val="single" w:sz="6" w:space="0" w:color="auto"/>
            </w:tcBorders>
            <w:shd w:val="clear" w:color="auto" w:fill="auto"/>
            <w:vAlign w:val="center"/>
          </w:tcPr>
          <w:p w14:paraId="7096DC97" w14:textId="77777777" w:rsidR="009C64BD" w:rsidRDefault="009C64BD" w:rsidP="007A371B">
            <w:pPr>
              <w:keepNext/>
              <w:keepLines/>
              <w:spacing w:after="0"/>
              <w:jc w:val="right"/>
              <w:rPr>
                <w:rFonts w:cs="Arial"/>
                <w:bCs/>
                <w:szCs w:val="20"/>
              </w:rPr>
            </w:pPr>
            <w:r w:rsidRPr="00430DC2">
              <w:rPr>
                <w:rFonts w:cs="Arial"/>
                <w:bCs/>
                <w:color w:val="000000"/>
                <w:szCs w:val="20"/>
              </w:rPr>
              <w:t xml:space="preserve">1,469,475 </w:t>
            </w:r>
          </w:p>
        </w:tc>
        <w:tc>
          <w:tcPr>
            <w:tcW w:w="1428" w:type="pct"/>
            <w:tcBorders>
              <w:top w:val="single" w:sz="6" w:space="0" w:color="auto"/>
              <w:left w:val="single" w:sz="6" w:space="0" w:color="auto"/>
              <w:bottom w:val="single" w:sz="6" w:space="0" w:color="auto"/>
              <w:right w:val="single" w:sz="6" w:space="0" w:color="auto"/>
            </w:tcBorders>
            <w:shd w:val="clear" w:color="auto" w:fill="auto"/>
            <w:vAlign w:val="center"/>
          </w:tcPr>
          <w:p w14:paraId="66998F61" w14:textId="77777777" w:rsidR="009C64BD" w:rsidRDefault="009C64BD" w:rsidP="007A371B">
            <w:pPr>
              <w:keepNext/>
              <w:keepLines/>
              <w:spacing w:after="0"/>
              <w:ind w:right="34"/>
              <w:jc w:val="right"/>
              <w:rPr>
                <w:rFonts w:cs="Arial"/>
                <w:bCs/>
                <w:szCs w:val="20"/>
              </w:rPr>
            </w:pPr>
            <w:r w:rsidRPr="00430DC2">
              <w:rPr>
                <w:rFonts w:cs="Arial"/>
                <w:bCs/>
                <w:color w:val="000000"/>
                <w:szCs w:val="20"/>
              </w:rPr>
              <w:t xml:space="preserve">3,255,525  </w:t>
            </w:r>
          </w:p>
        </w:tc>
        <w:tc>
          <w:tcPr>
            <w:tcW w:w="1120" w:type="pct"/>
            <w:tcBorders>
              <w:top w:val="single" w:sz="6" w:space="0" w:color="auto"/>
              <w:left w:val="single" w:sz="6" w:space="0" w:color="auto"/>
              <w:bottom w:val="single" w:sz="6" w:space="0" w:color="auto"/>
              <w:right w:val="single" w:sz="6" w:space="0" w:color="auto"/>
            </w:tcBorders>
            <w:shd w:val="clear" w:color="auto" w:fill="auto"/>
            <w:vAlign w:val="center"/>
          </w:tcPr>
          <w:p w14:paraId="2C1E6643" w14:textId="77777777" w:rsidR="009C64BD" w:rsidRDefault="009C64BD" w:rsidP="007A371B">
            <w:pPr>
              <w:keepNext/>
              <w:keepLines/>
              <w:spacing w:after="0"/>
              <w:jc w:val="right"/>
              <w:rPr>
                <w:rFonts w:cs="Arial"/>
                <w:bCs/>
                <w:szCs w:val="20"/>
              </w:rPr>
            </w:pPr>
            <w:r w:rsidRPr="00430DC2">
              <w:rPr>
                <w:rFonts w:cs="Arial"/>
                <w:bCs/>
                <w:color w:val="000000"/>
                <w:szCs w:val="20"/>
              </w:rPr>
              <w:t xml:space="preserve">4,725,000 </w:t>
            </w:r>
          </w:p>
        </w:tc>
      </w:tr>
      <w:tr w:rsidR="009C64BD" w:rsidRPr="00E11BCD" w14:paraId="229FD190" w14:textId="77777777" w:rsidTr="000269F7">
        <w:trPr>
          <w:trHeight w:hRule="exact" w:val="386"/>
        </w:trPr>
        <w:tc>
          <w:tcPr>
            <w:tcW w:w="1183" w:type="pct"/>
            <w:tcBorders>
              <w:top w:val="single" w:sz="6" w:space="0" w:color="auto"/>
              <w:bottom w:val="single" w:sz="6" w:space="0" w:color="auto"/>
              <w:right w:val="single" w:sz="6" w:space="0" w:color="auto"/>
            </w:tcBorders>
            <w:vAlign w:val="center"/>
          </w:tcPr>
          <w:p w14:paraId="07883EF7" w14:textId="77777777" w:rsidR="009C64BD" w:rsidRPr="00E11BCD" w:rsidRDefault="009C64BD" w:rsidP="007A371B">
            <w:pPr>
              <w:keepNext/>
              <w:keepLines/>
              <w:spacing w:after="0"/>
              <w:ind w:right="-142"/>
              <w:rPr>
                <w:rFonts w:cs="Arial"/>
                <w:bCs/>
                <w:szCs w:val="20"/>
              </w:rPr>
            </w:pPr>
            <w:r>
              <w:rPr>
                <w:rFonts w:cs="Arial"/>
                <w:bCs/>
                <w:szCs w:val="20"/>
              </w:rPr>
              <w:t>2016</w:t>
            </w:r>
          </w:p>
        </w:tc>
        <w:tc>
          <w:tcPr>
            <w:tcW w:w="1269" w:type="pct"/>
            <w:tcBorders>
              <w:top w:val="single" w:sz="6" w:space="0" w:color="auto"/>
              <w:left w:val="single" w:sz="6" w:space="0" w:color="auto"/>
              <w:bottom w:val="single" w:sz="6" w:space="0" w:color="auto"/>
              <w:right w:val="single" w:sz="6" w:space="0" w:color="auto"/>
            </w:tcBorders>
            <w:shd w:val="clear" w:color="auto" w:fill="auto"/>
            <w:vAlign w:val="center"/>
          </w:tcPr>
          <w:p w14:paraId="10E435CB" w14:textId="77777777" w:rsidR="009C64BD" w:rsidRDefault="009C64BD" w:rsidP="007A371B">
            <w:pPr>
              <w:keepNext/>
              <w:keepLines/>
              <w:spacing w:after="0"/>
              <w:jc w:val="right"/>
              <w:rPr>
                <w:rFonts w:cs="Arial"/>
                <w:bCs/>
                <w:szCs w:val="20"/>
              </w:rPr>
            </w:pPr>
            <w:r w:rsidRPr="00430DC2">
              <w:rPr>
                <w:rFonts w:cs="Arial"/>
                <w:bCs/>
                <w:color w:val="000000"/>
                <w:szCs w:val="20"/>
              </w:rPr>
              <w:t xml:space="preserve">1,538,666  </w:t>
            </w:r>
          </w:p>
        </w:tc>
        <w:tc>
          <w:tcPr>
            <w:tcW w:w="1428" w:type="pct"/>
            <w:tcBorders>
              <w:top w:val="single" w:sz="6" w:space="0" w:color="auto"/>
              <w:left w:val="single" w:sz="6" w:space="0" w:color="auto"/>
              <w:bottom w:val="single" w:sz="6" w:space="0" w:color="auto"/>
              <w:right w:val="single" w:sz="6" w:space="0" w:color="auto"/>
            </w:tcBorders>
            <w:shd w:val="clear" w:color="auto" w:fill="auto"/>
            <w:vAlign w:val="center"/>
          </w:tcPr>
          <w:p w14:paraId="1DF058BB" w14:textId="77777777" w:rsidR="009C64BD" w:rsidRDefault="009C64BD" w:rsidP="007A371B">
            <w:pPr>
              <w:keepNext/>
              <w:keepLines/>
              <w:spacing w:after="0"/>
              <w:ind w:right="34"/>
              <w:jc w:val="right"/>
              <w:rPr>
                <w:rFonts w:cs="Arial"/>
                <w:bCs/>
                <w:szCs w:val="20"/>
              </w:rPr>
            </w:pPr>
            <w:r w:rsidRPr="00430DC2">
              <w:rPr>
                <w:rFonts w:cs="Arial"/>
                <w:bCs/>
                <w:color w:val="000000"/>
                <w:szCs w:val="20"/>
              </w:rPr>
              <w:t xml:space="preserve">3,076,408  </w:t>
            </w:r>
          </w:p>
        </w:tc>
        <w:tc>
          <w:tcPr>
            <w:tcW w:w="1120" w:type="pct"/>
            <w:tcBorders>
              <w:top w:val="single" w:sz="6" w:space="0" w:color="auto"/>
              <w:left w:val="single" w:sz="6" w:space="0" w:color="auto"/>
              <w:bottom w:val="single" w:sz="6" w:space="0" w:color="auto"/>
              <w:right w:val="single" w:sz="6" w:space="0" w:color="auto"/>
            </w:tcBorders>
            <w:shd w:val="clear" w:color="auto" w:fill="auto"/>
            <w:vAlign w:val="center"/>
          </w:tcPr>
          <w:p w14:paraId="2888C950" w14:textId="77777777" w:rsidR="009C64BD" w:rsidRDefault="009C64BD" w:rsidP="007A371B">
            <w:pPr>
              <w:keepNext/>
              <w:keepLines/>
              <w:spacing w:after="0"/>
              <w:jc w:val="right"/>
              <w:rPr>
                <w:rFonts w:cs="Arial"/>
                <w:bCs/>
                <w:szCs w:val="20"/>
              </w:rPr>
            </w:pPr>
            <w:r w:rsidRPr="00430DC2">
              <w:rPr>
                <w:rFonts w:cs="Arial"/>
                <w:bCs/>
                <w:color w:val="000000"/>
                <w:szCs w:val="20"/>
              </w:rPr>
              <w:t xml:space="preserve">4,615,074  </w:t>
            </w:r>
          </w:p>
        </w:tc>
      </w:tr>
      <w:tr w:rsidR="009C64BD" w:rsidRPr="00E11BCD" w14:paraId="67BA1CC5" w14:textId="77777777" w:rsidTr="000269F7">
        <w:trPr>
          <w:trHeight w:hRule="exact" w:val="386"/>
        </w:trPr>
        <w:tc>
          <w:tcPr>
            <w:tcW w:w="1183" w:type="pct"/>
            <w:tcBorders>
              <w:top w:val="single" w:sz="6" w:space="0" w:color="auto"/>
              <w:bottom w:val="single" w:sz="6" w:space="0" w:color="auto"/>
              <w:right w:val="single" w:sz="6" w:space="0" w:color="auto"/>
            </w:tcBorders>
            <w:vAlign w:val="center"/>
          </w:tcPr>
          <w:p w14:paraId="6837506F" w14:textId="77777777" w:rsidR="009C64BD" w:rsidRPr="00E11BCD" w:rsidRDefault="009C64BD" w:rsidP="007A371B">
            <w:pPr>
              <w:keepNext/>
              <w:keepLines/>
              <w:spacing w:after="0"/>
              <w:ind w:right="-142"/>
              <w:rPr>
                <w:rFonts w:cs="Arial"/>
                <w:bCs/>
                <w:szCs w:val="20"/>
              </w:rPr>
            </w:pPr>
            <w:r w:rsidRPr="00E11BCD">
              <w:rPr>
                <w:rFonts w:cs="Arial"/>
                <w:bCs/>
                <w:szCs w:val="20"/>
              </w:rPr>
              <w:t>Increase/(</w:t>
            </w:r>
            <w:r>
              <w:rPr>
                <w:rFonts w:cs="Arial"/>
                <w:bCs/>
                <w:szCs w:val="20"/>
              </w:rPr>
              <w:t>d</w:t>
            </w:r>
            <w:r w:rsidRPr="00E11BCD">
              <w:rPr>
                <w:rFonts w:cs="Arial"/>
                <w:bCs/>
                <w:szCs w:val="20"/>
              </w:rPr>
              <w:t>ecrease)</w:t>
            </w:r>
          </w:p>
        </w:tc>
        <w:tc>
          <w:tcPr>
            <w:tcW w:w="1269" w:type="pct"/>
            <w:tcBorders>
              <w:top w:val="single" w:sz="6" w:space="0" w:color="auto"/>
              <w:left w:val="single" w:sz="6" w:space="0" w:color="auto"/>
              <w:bottom w:val="single" w:sz="6" w:space="0" w:color="auto"/>
              <w:right w:val="single" w:sz="6" w:space="0" w:color="auto"/>
            </w:tcBorders>
            <w:shd w:val="clear" w:color="auto" w:fill="auto"/>
            <w:vAlign w:val="center"/>
          </w:tcPr>
          <w:p w14:paraId="2D15AB56" w14:textId="77777777" w:rsidR="009C64BD" w:rsidRDefault="009C64BD" w:rsidP="007A371B">
            <w:pPr>
              <w:keepNext/>
              <w:keepLines/>
              <w:spacing w:after="0"/>
              <w:jc w:val="right"/>
              <w:rPr>
                <w:rFonts w:cs="Arial"/>
                <w:bCs/>
                <w:szCs w:val="20"/>
              </w:rPr>
            </w:pPr>
            <w:r w:rsidRPr="00430DC2">
              <w:rPr>
                <w:rFonts w:cs="Arial"/>
                <w:bCs/>
                <w:color w:val="000000"/>
                <w:szCs w:val="20"/>
              </w:rPr>
              <w:t xml:space="preserve">(4.50%)  </w:t>
            </w:r>
          </w:p>
        </w:tc>
        <w:tc>
          <w:tcPr>
            <w:tcW w:w="1428" w:type="pct"/>
            <w:tcBorders>
              <w:top w:val="single" w:sz="6" w:space="0" w:color="auto"/>
              <w:left w:val="single" w:sz="6" w:space="0" w:color="auto"/>
              <w:bottom w:val="single" w:sz="6" w:space="0" w:color="auto"/>
              <w:right w:val="single" w:sz="6" w:space="0" w:color="auto"/>
            </w:tcBorders>
            <w:shd w:val="clear" w:color="auto" w:fill="auto"/>
            <w:vAlign w:val="center"/>
          </w:tcPr>
          <w:p w14:paraId="335AC322" w14:textId="77777777" w:rsidR="009C64BD" w:rsidRDefault="009C64BD" w:rsidP="007A371B">
            <w:pPr>
              <w:keepNext/>
              <w:keepLines/>
              <w:spacing w:after="0"/>
              <w:ind w:right="34"/>
              <w:jc w:val="right"/>
              <w:rPr>
                <w:rFonts w:cs="Arial"/>
                <w:bCs/>
                <w:szCs w:val="20"/>
              </w:rPr>
            </w:pPr>
            <w:r w:rsidRPr="00430DC2">
              <w:rPr>
                <w:rFonts w:cs="Arial"/>
                <w:bCs/>
                <w:color w:val="000000"/>
                <w:szCs w:val="20"/>
              </w:rPr>
              <w:t>5.50%</w:t>
            </w:r>
            <w:r>
              <w:rPr>
                <w:rFonts w:cs="Arial"/>
                <w:bCs/>
                <w:color w:val="000000"/>
                <w:szCs w:val="20"/>
              </w:rPr>
              <w:t xml:space="preserve">  </w:t>
            </w:r>
          </w:p>
        </w:tc>
        <w:tc>
          <w:tcPr>
            <w:tcW w:w="1120" w:type="pct"/>
            <w:tcBorders>
              <w:top w:val="single" w:sz="6" w:space="0" w:color="auto"/>
              <w:left w:val="single" w:sz="6" w:space="0" w:color="auto"/>
              <w:bottom w:val="single" w:sz="6" w:space="0" w:color="auto"/>
              <w:right w:val="single" w:sz="6" w:space="0" w:color="auto"/>
            </w:tcBorders>
            <w:shd w:val="clear" w:color="auto" w:fill="auto"/>
            <w:vAlign w:val="center"/>
          </w:tcPr>
          <w:p w14:paraId="3BFCAE5E" w14:textId="77777777" w:rsidR="009C64BD" w:rsidRPr="00E11BCD" w:rsidRDefault="009C64BD" w:rsidP="007A371B">
            <w:pPr>
              <w:keepNext/>
              <w:keepLines/>
              <w:spacing w:after="0"/>
              <w:jc w:val="right"/>
              <w:rPr>
                <w:rFonts w:cs="Arial"/>
                <w:bCs/>
                <w:szCs w:val="20"/>
              </w:rPr>
            </w:pPr>
            <w:r>
              <w:rPr>
                <w:rFonts w:cs="Arial"/>
                <w:bCs/>
                <w:color w:val="000000"/>
                <w:szCs w:val="20"/>
              </w:rPr>
              <w:t> </w:t>
            </w:r>
          </w:p>
        </w:tc>
      </w:tr>
      <w:tr w:rsidR="009C64BD" w:rsidRPr="00E11BCD" w14:paraId="5E6ADDBD" w14:textId="77777777" w:rsidTr="000269F7">
        <w:trPr>
          <w:trHeight w:hRule="exact" w:val="386"/>
        </w:trPr>
        <w:tc>
          <w:tcPr>
            <w:tcW w:w="1183" w:type="pct"/>
            <w:tcBorders>
              <w:top w:val="single" w:sz="6" w:space="0" w:color="auto"/>
              <w:bottom w:val="single" w:sz="6" w:space="0" w:color="auto"/>
              <w:right w:val="single" w:sz="6" w:space="0" w:color="auto"/>
            </w:tcBorders>
            <w:vAlign w:val="center"/>
          </w:tcPr>
          <w:p w14:paraId="69EE9C7D" w14:textId="77777777" w:rsidR="009C64BD" w:rsidRPr="00E11BCD" w:rsidRDefault="009C64BD" w:rsidP="007A371B">
            <w:pPr>
              <w:keepNext/>
              <w:keepLines/>
              <w:spacing w:after="0"/>
              <w:ind w:right="-142"/>
              <w:rPr>
                <w:rFonts w:cs="Arial"/>
                <w:bCs/>
                <w:szCs w:val="20"/>
              </w:rPr>
            </w:pPr>
            <w:r w:rsidRPr="00E11BCD">
              <w:rPr>
                <w:rFonts w:cs="Arial"/>
                <w:bCs/>
                <w:szCs w:val="20"/>
              </w:rPr>
              <w:t>Ratio 201</w:t>
            </w:r>
            <w:r>
              <w:rPr>
                <w:rFonts w:cs="Arial"/>
                <w:bCs/>
                <w:szCs w:val="20"/>
              </w:rPr>
              <w:t>7</w:t>
            </w:r>
          </w:p>
        </w:tc>
        <w:tc>
          <w:tcPr>
            <w:tcW w:w="1269" w:type="pct"/>
            <w:tcBorders>
              <w:top w:val="single" w:sz="6" w:space="0" w:color="auto"/>
              <w:left w:val="single" w:sz="6" w:space="0" w:color="auto"/>
              <w:bottom w:val="single" w:sz="6" w:space="0" w:color="auto"/>
              <w:right w:val="single" w:sz="6" w:space="0" w:color="auto"/>
            </w:tcBorders>
            <w:shd w:val="clear" w:color="auto" w:fill="auto"/>
            <w:vAlign w:val="center"/>
          </w:tcPr>
          <w:p w14:paraId="01F648F9" w14:textId="77777777" w:rsidR="009C64BD" w:rsidRDefault="009C64BD" w:rsidP="007A371B">
            <w:pPr>
              <w:keepNext/>
              <w:keepLines/>
              <w:spacing w:after="0"/>
              <w:jc w:val="right"/>
              <w:rPr>
                <w:rFonts w:cs="Arial"/>
                <w:bCs/>
                <w:szCs w:val="20"/>
              </w:rPr>
            </w:pPr>
            <w:r w:rsidRPr="00430DC2">
              <w:rPr>
                <w:rFonts w:cs="Arial"/>
                <w:bCs/>
                <w:color w:val="000000"/>
                <w:szCs w:val="20"/>
              </w:rPr>
              <w:t xml:space="preserve">31.10%  </w:t>
            </w:r>
          </w:p>
        </w:tc>
        <w:tc>
          <w:tcPr>
            <w:tcW w:w="1428" w:type="pct"/>
            <w:tcBorders>
              <w:top w:val="single" w:sz="6" w:space="0" w:color="auto"/>
              <w:left w:val="single" w:sz="6" w:space="0" w:color="auto"/>
              <w:bottom w:val="single" w:sz="6" w:space="0" w:color="auto"/>
              <w:right w:val="single" w:sz="6" w:space="0" w:color="auto"/>
            </w:tcBorders>
            <w:shd w:val="clear" w:color="auto" w:fill="auto"/>
            <w:vAlign w:val="center"/>
          </w:tcPr>
          <w:p w14:paraId="605A189A" w14:textId="77777777" w:rsidR="009C64BD" w:rsidRDefault="009C64BD" w:rsidP="007A371B">
            <w:pPr>
              <w:keepNext/>
              <w:keepLines/>
              <w:spacing w:after="0"/>
              <w:ind w:right="34"/>
              <w:jc w:val="right"/>
              <w:rPr>
                <w:rFonts w:cs="Arial"/>
                <w:bCs/>
                <w:szCs w:val="20"/>
              </w:rPr>
            </w:pPr>
            <w:r w:rsidRPr="00430DC2">
              <w:rPr>
                <w:rFonts w:cs="Arial"/>
                <w:bCs/>
                <w:color w:val="000000"/>
                <w:szCs w:val="20"/>
              </w:rPr>
              <w:t>68.90%</w:t>
            </w:r>
            <w:r>
              <w:rPr>
                <w:rFonts w:cs="Arial"/>
                <w:bCs/>
                <w:color w:val="000000"/>
                <w:szCs w:val="20"/>
              </w:rPr>
              <w:t xml:space="preserve">  </w:t>
            </w:r>
          </w:p>
        </w:tc>
        <w:tc>
          <w:tcPr>
            <w:tcW w:w="1120" w:type="pct"/>
            <w:tcBorders>
              <w:top w:val="single" w:sz="6" w:space="0" w:color="auto"/>
              <w:left w:val="single" w:sz="6" w:space="0" w:color="auto"/>
              <w:bottom w:val="single" w:sz="6" w:space="0" w:color="auto"/>
              <w:right w:val="single" w:sz="6" w:space="0" w:color="auto"/>
            </w:tcBorders>
            <w:shd w:val="clear" w:color="auto" w:fill="auto"/>
            <w:vAlign w:val="center"/>
          </w:tcPr>
          <w:p w14:paraId="7B6EA2DC" w14:textId="77777777" w:rsidR="009C64BD" w:rsidRPr="00E11BCD" w:rsidRDefault="009C64BD" w:rsidP="007A371B">
            <w:pPr>
              <w:keepNext/>
              <w:keepLines/>
              <w:spacing w:after="0"/>
              <w:jc w:val="right"/>
              <w:rPr>
                <w:rFonts w:cs="Arial"/>
                <w:bCs/>
                <w:szCs w:val="20"/>
              </w:rPr>
            </w:pPr>
            <w:r>
              <w:rPr>
                <w:rFonts w:cs="Arial"/>
                <w:bCs/>
                <w:color w:val="000000"/>
                <w:szCs w:val="20"/>
              </w:rPr>
              <w:t> </w:t>
            </w:r>
          </w:p>
        </w:tc>
      </w:tr>
      <w:tr w:rsidR="009C64BD" w:rsidRPr="00E11BCD" w14:paraId="0D7F0DBD" w14:textId="77777777" w:rsidTr="000269F7">
        <w:trPr>
          <w:trHeight w:hRule="exact" w:val="386"/>
        </w:trPr>
        <w:tc>
          <w:tcPr>
            <w:tcW w:w="1183" w:type="pct"/>
            <w:tcBorders>
              <w:top w:val="single" w:sz="6" w:space="0" w:color="auto"/>
              <w:bottom w:val="single" w:sz="6" w:space="0" w:color="auto"/>
              <w:right w:val="single" w:sz="6" w:space="0" w:color="auto"/>
            </w:tcBorders>
            <w:vAlign w:val="center"/>
          </w:tcPr>
          <w:p w14:paraId="44C97367" w14:textId="77777777" w:rsidR="009C64BD" w:rsidRPr="00E11BCD" w:rsidRDefault="009C64BD" w:rsidP="007A371B">
            <w:pPr>
              <w:keepNext/>
              <w:keepLines/>
              <w:spacing w:after="0"/>
              <w:ind w:right="-142"/>
              <w:rPr>
                <w:rFonts w:cs="Arial"/>
                <w:bCs/>
                <w:szCs w:val="20"/>
              </w:rPr>
            </w:pPr>
            <w:r>
              <w:rPr>
                <w:rFonts w:cs="Arial"/>
                <w:bCs/>
                <w:szCs w:val="20"/>
              </w:rPr>
              <w:t>Ratio 2016</w:t>
            </w:r>
          </w:p>
        </w:tc>
        <w:tc>
          <w:tcPr>
            <w:tcW w:w="1269" w:type="pct"/>
            <w:tcBorders>
              <w:top w:val="single" w:sz="6" w:space="0" w:color="auto"/>
              <w:left w:val="single" w:sz="6" w:space="0" w:color="auto"/>
              <w:bottom w:val="single" w:sz="6" w:space="0" w:color="auto"/>
              <w:right w:val="single" w:sz="6" w:space="0" w:color="auto"/>
            </w:tcBorders>
            <w:shd w:val="clear" w:color="auto" w:fill="auto"/>
            <w:vAlign w:val="center"/>
          </w:tcPr>
          <w:p w14:paraId="7F5D04CA" w14:textId="77777777" w:rsidR="009C64BD" w:rsidRDefault="009C64BD" w:rsidP="007A371B">
            <w:pPr>
              <w:keepNext/>
              <w:keepLines/>
              <w:spacing w:after="0"/>
              <w:jc w:val="right"/>
              <w:rPr>
                <w:rFonts w:cs="Arial"/>
                <w:bCs/>
                <w:szCs w:val="20"/>
              </w:rPr>
            </w:pPr>
            <w:r w:rsidRPr="00430DC2">
              <w:rPr>
                <w:rFonts w:cs="Arial"/>
                <w:bCs/>
                <w:color w:val="000000"/>
                <w:szCs w:val="20"/>
              </w:rPr>
              <w:t>33.34%</w:t>
            </w:r>
            <w:r>
              <w:rPr>
                <w:rFonts w:cs="Arial"/>
                <w:bCs/>
                <w:color w:val="000000"/>
                <w:szCs w:val="20"/>
              </w:rPr>
              <w:t xml:space="preserve">  </w:t>
            </w:r>
          </w:p>
        </w:tc>
        <w:tc>
          <w:tcPr>
            <w:tcW w:w="1428" w:type="pct"/>
            <w:tcBorders>
              <w:top w:val="single" w:sz="6" w:space="0" w:color="auto"/>
              <w:left w:val="single" w:sz="6" w:space="0" w:color="auto"/>
              <w:bottom w:val="single" w:sz="6" w:space="0" w:color="auto"/>
              <w:right w:val="single" w:sz="6" w:space="0" w:color="auto"/>
            </w:tcBorders>
            <w:shd w:val="clear" w:color="auto" w:fill="auto"/>
            <w:vAlign w:val="center"/>
          </w:tcPr>
          <w:p w14:paraId="2E8DB970" w14:textId="77777777" w:rsidR="009C64BD" w:rsidRDefault="009C64BD" w:rsidP="007A371B">
            <w:pPr>
              <w:keepNext/>
              <w:keepLines/>
              <w:spacing w:after="0"/>
              <w:ind w:right="34"/>
              <w:jc w:val="right"/>
              <w:rPr>
                <w:rFonts w:cs="Arial"/>
                <w:bCs/>
                <w:szCs w:val="20"/>
              </w:rPr>
            </w:pPr>
            <w:r w:rsidRPr="00430DC2">
              <w:rPr>
                <w:rFonts w:cs="Arial"/>
                <w:bCs/>
                <w:color w:val="000000"/>
                <w:szCs w:val="20"/>
              </w:rPr>
              <w:t>66.66%</w:t>
            </w:r>
            <w:r>
              <w:rPr>
                <w:rFonts w:cs="Arial"/>
                <w:bCs/>
                <w:color w:val="000000"/>
                <w:szCs w:val="20"/>
              </w:rPr>
              <w:t xml:space="preserve">  </w:t>
            </w:r>
          </w:p>
        </w:tc>
        <w:tc>
          <w:tcPr>
            <w:tcW w:w="1120" w:type="pct"/>
            <w:tcBorders>
              <w:top w:val="single" w:sz="6" w:space="0" w:color="auto"/>
              <w:left w:val="single" w:sz="6" w:space="0" w:color="auto"/>
              <w:bottom w:val="single" w:sz="6" w:space="0" w:color="auto"/>
              <w:right w:val="single" w:sz="6" w:space="0" w:color="auto"/>
            </w:tcBorders>
            <w:shd w:val="clear" w:color="auto" w:fill="auto"/>
            <w:vAlign w:val="center"/>
          </w:tcPr>
          <w:p w14:paraId="0E0FC180" w14:textId="77777777" w:rsidR="009C64BD" w:rsidRPr="00E11BCD" w:rsidRDefault="009C64BD" w:rsidP="007A371B">
            <w:pPr>
              <w:keepNext/>
              <w:keepLines/>
              <w:spacing w:after="0"/>
              <w:jc w:val="right"/>
              <w:rPr>
                <w:rFonts w:cs="Arial"/>
                <w:bCs/>
                <w:szCs w:val="20"/>
              </w:rPr>
            </w:pPr>
            <w:r>
              <w:rPr>
                <w:rFonts w:cs="Arial"/>
                <w:bCs/>
                <w:color w:val="000000"/>
                <w:szCs w:val="20"/>
              </w:rPr>
              <w:t> </w:t>
            </w:r>
          </w:p>
        </w:tc>
      </w:tr>
    </w:tbl>
    <w:p w14:paraId="5E3ED503" w14:textId="77777777" w:rsidR="009C64BD" w:rsidRDefault="009C64BD" w:rsidP="009E783D"/>
    <w:p w14:paraId="2B7ECDA0" w14:textId="4E8C383B" w:rsidR="009E783D" w:rsidRPr="0039521A" w:rsidRDefault="009E783D" w:rsidP="003F7E3A">
      <w:pPr>
        <w:pStyle w:val="Heading2"/>
        <w:spacing w:after="240"/>
      </w:pPr>
      <w:bookmarkStart w:id="70" w:name="_Toc417990955"/>
      <w:bookmarkStart w:id="71" w:name="_Toc511634397"/>
      <w:bookmarkStart w:id="72" w:name="_Toc532543404"/>
      <w:r w:rsidRPr="003F7E3A">
        <w:t>3.4</w:t>
      </w:r>
      <w:r w:rsidRPr="003F7E3A">
        <w:tab/>
        <w:t xml:space="preserve">Determination of cost component </w:t>
      </w:r>
      <w:r w:rsidR="00627665">
        <w:t>for the d</w:t>
      </w:r>
      <w:r w:rsidRPr="003F7E3A">
        <w:t xml:space="preserve">evelopment </w:t>
      </w:r>
      <w:r w:rsidR="008779EF">
        <w:t xml:space="preserve">or variation </w:t>
      </w:r>
      <w:r w:rsidRPr="003F7E3A">
        <w:t>of consumer protection codes</w:t>
      </w:r>
      <w:bookmarkEnd w:id="70"/>
      <w:bookmarkEnd w:id="71"/>
      <w:bookmarkEnd w:id="72"/>
    </w:p>
    <w:p w14:paraId="3AA33E6E" w14:textId="77777777" w:rsidR="009E783D" w:rsidRPr="005D0BC8" w:rsidRDefault="009E783D" w:rsidP="003F7E3A">
      <w:pPr>
        <w:pStyle w:val="Heading3"/>
      </w:pPr>
      <w:bookmarkStart w:id="73" w:name="_Toc417990956"/>
      <w:bookmarkStart w:id="74" w:name="_Toc511634398"/>
      <w:bookmarkStart w:id="75" w:name="_Toc532543405"/>
      <w:r w:rsidRPr="003F7E3A">
        <w:t>3.4.1</w:t>
      </w:r>
      <w:r w:rsidRPr="003F7E3A">
        <w:tab/>
        <w:t>Outputs and business processes of the activity</w:t>
      </w:r>
      <w:bookmarkEnd w:id="73"/>
      <w:bookmarkEnd w:id="74"/>
      <w:bookmarkEnd w:id="75"/>
    </w:p>
    <w:p w14:paraId="7BDBB443" w14:textId="09E16C32" w:rsidR="00B27039" w:rsidRDefault="009E783D" w:rsidP="009E783D">
      <w:r w:rsidRPr="00A84CBD">
        <w:t xml:space="preserve">This component </w:t>
      </w:r>
      <w:r w:rsidR="00627665">
        <w:t>(</w:t>
      </w:r>
      <w:r w:rsidR="00627665" w:rsidRPr="00627665">
        <w:t>under paragraph 15(1)(ca) of the Act</w:t>
      </w:r>
      <w:r w:rsidR="00627665">
        <w:t>)</w:t>
      </w:r>
      <w:r w:rsidR="00627665" w:rsidRPr="00627665">
        <w:t xml:space="preserve"> </w:t>
      </w:r>
      <w:r w:rsidRPr="00A84CBD">
        <w:t xml:space="preserve">represents the sum of the amounts paid under section 136C of the </w:t>
      </w:r>
      <w:r w:rsidR="009B7744" w:rsidRPr="00391111">
        <w:t>Telco Act</w:t>
      </w:r>
      <w:r w:rsidRPr="000F3887">
        <w:rPr>
          <w:i/>
        </w:rPr>
        <w:t xml:space="preserve"> </w:t>
      </w:r>
      <w:r w:rsidRPr="00A84CBD">
        <w:t>for the immediately preceding financial year (</w:t>
      </w:r>
      <w:r w:rsidR="00D172BB">
        <w:t>the 201</w:t>
      </w:r>
      <w:r w:rsidR="000153DA">
        <w:t>6</w:t>
      </w:r>
      <w:r w:rsidR="00D172BB">
        <w:t>–1</w:t>
      </w:r>
      <w:r w:rsidR="000153DA">
        <w:t>7</w:t>
      </w:r>
      <w:r w:rsidRPr="00A84CBD">
        <w:t xml:space="preserve"> financial year). Section 136C of the </w:t>
      </w:r>
      <w:r w:rsidR="009B7744" w:rsidRPr="00391111">
        <w:t>Telco</w:t>
      </w:r>
      <w:r w:rsidR="009B7744" w:rsidRPr="004923E7">
        <w:t xml:space="preserve"> </w:t>
      </w:r>
      <w:r w:rsidR="009B7744" w:rsidRPr="00391111">
        <w:t>Act</w:t>
      </w:r>
      <w:r w:rsidRPr="00A84CBD">
        <w:t xml:space="preserve"> </w:t>
      </w:r>
      <w:r w:rsidR="00F25B6A">
        <w:t>requires</w:t>
      </w:r>
      <w:r w:rsidRPr="00A84CBD">
        <w:t xml:space="preserve"> the ACMA</w:t>
      </w:r>
      <w:r w:rsidR="00B27039">
        <w:t xml:space="preserve"> (</w:t>
      </w:r>
      <w:r w:rsidR="00F25B6A">
        <w:t>providing certain statutory preconditions are met</w:t>
      </w:r>
      <w:r w:rsidR="00B27039">
        <w:t>)</w:t>
      </w:r>
      <w:r w:rsidR="00B27039" w:rsidRPr="00A84CBD">
        <w:t xml:space="preserve"> </w:t>
      </w:r>
      <w:r w:rsidRPr="00A84CBD">
        <w:t xml:space="preserve">to make </w:t>
      </w:r>
      <w:r w:rsidR="00F25B6A">
        <w:t xml:space="preserve">a </w:t>
      </w:r>
      <w:r w:rsidRPr="00A84CBD">
        <w:t xml:space="preserve">payment on behalf of the Commonwealth </w:t>
      </w:r>
      <w:r w:rsidR="00F25B6A">
        <w:t xml:space="preserve">to reimburse the costs incurred by a telecommunications industry body or association </w:t>
      </w:r>
      <w:r w:rsidRPr="00A84CBD">
        <w:t xml:space="preserve">for the development </w:t>
      </w:r>
      <w:r w:rsidR="00F25B6A">
        <w:t xml:space="preserve">or variation </w:t>
      </w:r>
      <w:r w:rsidRPr="00A84CBD">
        <w:t xml:space="preserve">of </w:t>
      </w:r>
      <w:r w:rsidR="00F25B6A">
        <w:t xml:space="preserve">an </w:t>
      </w:r>
      <w:r w:rsidRPr="00A84CBD">
        <w:t xml:space="preserve">industry code </w:t>
      </w:r>
      <w:r>
        <w:t>(the output of this activity)</w:t>
      </w:r>
      <w:r w:rsidR="00F25B6A">
        <w:t>.</w:t>
      </w:r>
      <w:r w:rsidR="00462477">
        <w:t xml:space="preserve"> </w:t>
      </w:r>
    </w:p>
    <w:p w14:paraId="239ECA7E" w14:textId="0AA27578" w:rsidR="009E783D" w:rsidRDefault="00F25B6A" w:rsidP="009E783D">
      <w:r>
        <w:t xml:space="preserve">The industry body or association must first have obtained </w:t>
      </w:r>
      <w:r w:rsidR="00F02932">
        <w:t xml:space="preserve">a </w:t>
      </w:r>
      <w:r>
        <w:t xml:space="preserve">declaration from </w:t>
      </w:r>
      <w:r w:rsidR="009E783D" w:rsidRPr="00A84CBD">
        <w:t xml:space="preserve">the ACMA </w:t>
      </w:r>
      <w:r>
        <w:t xml:space="preserve">under section 136B of </w:t>
      </w:r>
      <w:r w:rsidRPr="00A84CBD">
        <w:t xml:space="preserve">the </w:t>
      </w:r>
      <w:r w:rsidR="009B7744" w:rsidRPr="00391111">
        <w:t>Telco Act</w:t>
      </w:r>
      <w:r w:rsidRPr="00A84CBD">
        <w:t xml:space="preserve"> </w:t>
      </w:r>
      <w:r w:rsidR="009E783D">
        <w:t xml:space="preserve">to </w:t>
      </w:r>
      <w:r>
        <w:t xml:space="preserve">be eligible </w:t>
      </w:r>
      <w:r w:rsidR="009E783D">
        <w:t xml:space="preserve">for a cost claim and, within two years, provide a detailed claim in relation </w:t>
      </w:r>
      <w:r w:rsidR="00D866D4">
        <w:t xml:space="preserve">to </w:t>
      </w:r>
      <w:r w:rsidR="009E783D">
        <w:t xml:space="preserve">the code development </w:t>
      </w:r>
      <w:r>
        <w:t xml:space="preserve">or variation </w:t>
      </w:r>
      <w:r w:rsidR="009E783D">
        <w:t>costs</w:t>
      </w:r>
      <w:r w:rsidR="009E783D" w:rsidRPr="00A84CBD">
        <w:t xml:space="preserve">. </w:t>
      </w:r>
      <w:r w:rsidR="009E783D">
        <w:t xml:space="preserve">The </w:t>
      </w:r>
      <w:r w:rsidR="003E5D16">
        <w:t xml:space="preserve">cost of </w:t>
      </w:r>
      <w:r w:rsidR="009E783D">
        <w:t xml:space="preserve">the development </w:t>
      </w:r>
      <w:r w:rsidR="003E5D16">
        <w:t xml:space="preserve">or variation </w:t>
      </w:r>
      <w:r w:rsidR="009E783D">
        <w:t xml:space="preserve">of </w:t>
      </w:r>
      <w:r w:rsidR="003E5D16">
        <w:t xml:space="preserve">an industry </w:t>
      </w:r>
      <w:r w:rsidR="009E783D">
        <w:t xml:space="preserve">code </w:t>
      </w:r>
      <w:r w:rsidR="003E5D16">
        <w:t>is</w:t>
      </w:r>
      <w:r w:rsidR="009E783D">
        <w:t xml:space="preserve"> </w:t>
      </w:r>
      <w:r w:rsidR="003E5D16">
        <w:t xml:space="preserve">required to be </w:t>
      </w:r>
      <w:r w:rsidR="009E783D">
        <w:t xml:space="preserve">verified by an independent </w:t>
      </w:r>
      <w:r w:rsidR="00462477">
        <w:t>a</w:t>
      </w:r>
      <w:r w:rsidR="009E783D">
        <w:t xml:space="preserve">uditor </w:t>
      </w:r>
      <w:r w:rsidR="003E5D16">
        <w:t>at the time the code or variation is submitted to the ACMA</w:t>
      </w:r>
      <w:r w:rsidR="009E783D">
        <w:t xml:space="preserve"> and </w:t>
      </w:r>
      <w:r w:rsidR="003E5D16">
        <w:t xml:space="preserve">must be </w:t>
      </w:r>
      <w:r w:rsidR="009E783D">
        <w:t xml:space="preserve">assessed by the ACMA </w:t>
      </w:r>
      <w:r w:rsidR="003E5D16">
        <w:t xml:space="preserve">as a refundable cost </w:t>
      </w:r>
      <w:r w:rsidR="009E783D">
        <w:t>pr</w:t>
      </w:r>
      <w:r w:rsidR="003F7E3A">
        <w:t>ior to any payment being made.</w:t>
      </w:r>
    </w:p>
    <w:p w14:paraId="1DCB1705" w14:textId="0067CA62" w:rsidR="009E783D" w:rsidRDefault="009E783D" w:rsidP="009E783D">
      <w:r>
        <w:t xml:space="preserve">Communications Alliance </w:t>
      </w:r>
      <w:r w:rsidR="008A2FC3">
        <w:t xml:space="preserve">Ltd </w:t>
      </w:r>
      <w:r w:rsidR="00451B25">
        <w:t xml:space="preserve">(CA) </w:t>
      </w:r>
      <w:r>
        <w:t xml:space="preserve">is an industry body </w:t>
      </w:r>
      <w:r w:rsidR="00462477">
        <w:t xml:space="preserve">that </w:t>
      </w:r>
      <w:r>
        <w:t xml:space="preserve">represents the telecommunications industry and develops codes as required. The codes </w:t>
      </w:r>
      <w:r w:rsidR="00451B25">
        <w:t>CA</w:t>
      </w:r>
      <w:r>
        <w:t xml:space="preserve"> develops for the purpose of reimbursement must deal with matters relating to the relationship between carriage service providers and their retail customers. The industry codes are a key component of the </w:t>
      </w:r>
      <w:r w:rsidR="00F02932">
        <w:t>co</w:t>
      </w:r>
      <w:r>
        <w:t>-regulatory approach to regulation in the telecommunications sector and provide consumer protection in an efficient manner with a low regulatory burden on industry.</w:t>
      </w:r>
      <w:r w:rsidR="001B038E">
        <w:t xml:space="preserve"> Industry codes, as </w:t>
      </w:r>
      <w:r w:rsidR="0006216F">
        <w:t xml:space="preserve">a form of </w:t>
      </w:r>
      <w:r w:rsidR="00F02932">
        <w:t>co</w:t>
      </w:r>
      <w:r w:rsidR="0006216F">
        <w:t>-</w:t>
      </w:r>
      <w:r w:rsidR="001B038E">
        <w:t>regulation, form part of the telecommunications regulatory framework and it is appropriate to attribute these costs to the licensed carriers through the ACLC.</w:t>
      </w:r>
    </w:p>
    <w:p w14:paraId="133EED17" w14:textId="77777777" w:rsidR="009E783D" w:rsidRPr="005D0BC8" w:rsidRDefault="009E783D" w:rsidP="003F7E3A">
      <w:pPr>
        <w:pStyle w:val="Heading3"/>
      </w:pPr>
      <w:bookmarkStart w:id="76" w:name="_Toc417990957"/>
      <w:bookmarkStart w:id="77" w:name="_Toc511634399"/>
      <w:bookmarkStart w:id="78" w:name="_Toc532543406"/>
      <w:r w:rsidRPr="003F7E3A">
        <w:t>3.4.2</w:t>
      </w:r>
      <w:r w:rsidRPr="003F7E3A">
        <w:tab/>
        <w:t>Costs of the activity</w:t>
      </w:r>
      <w:bookmarkEnd w:id="76"/>
      <w:bookmarkEnd w:id="77"/>
      <w:bookmarkEnd w:id="78"/>
    </w:p>
    <w:p w14:paraId="701A4FC3" w14:textId="48020E5F" w:rsidR="008B038C" w:rsidRDefault="000153DA" w:rsidP="003F7E3A">
      <w:r>
        <w:t>F</w:t>
      </w:r>
      <w:r w:rsidRPr="000153DA">
        <w:t xml:space="preserve">or the </w:t>
      </w:r>
      <w:r w:rsidR="00936B69" w:rsidRPr="000153DA">
        <w:t>2015–16</w:t>
      </w:r>
      <w:r w:rsidR="00936B69">
        <w:t xml:space="preserve"> </w:t>
      </w:r>
      <w:r w:rsidRPr="000153DA">
        <w:t xml:space="preserve">financial year, the ACMA paid $86,258 to CA for the development of </w:t>
      </w:r>
      <w:r w:rsidRPr="008E0DB6">
        <w:t>chapters 1 to 8 and variation of Chapter 9 of the Telecommunications Consumer Protection Code: C628. However, n</w:t>
      </w:r>
      <w:r w:rsidR="009E783D" w:rsidRPr="008E0DB6">
        <w:t>o payment was</w:t>
      </w:r>
      <w:r w:rsidR="00D172BB" w:rsidRPr="008E0DB6">
        <w:t xml:space="preserve"> made </w:t>
      </w:r>
      <w:r w:rsidR="00D866D4" w:rsidRPr="008E0DB6">
        <w:t xml:space="preserve">by the ACMA </w:t>
      </w:r>
      <w:r w:rsidRPr="008E0DB6">
        <w:t>for the 2016</w:t>
      </w:r>
      <w:r w:rsidR="00462477" w:rsidRPr="008E0DB6">
        <w:t>–</w:t>
      </w:r>
      <w:r w:rsidRPr="008E0DB6">
        <w:t>17</w:t>
      </w:r>
      <w:r w:rsidR="009E783D" w:rsidRPr="008E0DB6">
        <w:t xml:space="preserve"> financial year as no </w:t>
      </w:r>
      <w:r w:rsidR="00D866D4" w:rsidRPr="008E0DB6">
        <w:t>claim for reimbursement was received from C</w:t>
      </w:r>
      <w:r w:rsidR="00451B25" w:rsidRPr="008E0DB6">
        <w:t>A</w:t>
      </w:r>
      <w:r w:rsidRPr="008E0DB6">
        <w:t>.</w:t>
      </w:r>
    </w:p>
    <w:p w14:paraId="3C72E5D3" w14:textId="77777777" w:rsidR="009E783D" w:rsidRPr="003F7E3A" w:rsidRDefault="009E783D" w:rsidP="003F7E3A">
      <w:r w:rsidRPr="00D35E14">
        <w:t>The funding for this</w:t>
      </w:r>
      <w:r w:rsidRPr="00D866D4">
        <w:t xml:space="preserve"> activity is provided through a special budget appropriation, which does </w:t>
      </w:r>
      <w:r w:rsidR="003F7E3A" w:rsidRPr="00D866D4">
        <w:t>not exceed $300,000 per annum.</w:t>
      </w:r>
      <w:r w:rsidR="003F7E3A">
        <w:t xml:space="preserve"> </w:t>
      </w:r>
    </w:p>
    <w:p w14:paraId="1EE79E68" w14:textId="5FD83E39" w:rsidR="009E783D" w:rsidRPr="0039521A" w:rsidRDefault="009E783D" w:rsidP="003F7E3A">
      <w:pPr>
        <w:pStyle w:val="Heading2"/>
        <w:spacing w:after="240"/>
      </w:pPr>
      <w:bookmarkStart w:id="79" w:name="_Toc417990958"/>
      <w:bookmarkStart w:id="80" w:name="_Toc511634400"/>
      <w:bookmarkStart w:id="81" w:name="_Toc532543407"/>
      <w:r w:rsidRPr="003F7E3A">
        <w:t>3.5</w:t>
      </w:r>
      <w:r w:rsidRPr="003F7E3A">
        <w:tab/>
        <w:t xml:space="preserve">Determination of cost component </w:t>
      </w:r>
      <w:r w:rsidR="00B27039">
        <w:t xml:space="preserve">for </w:t>
      </w:r>
      <w:r w:rsidR="00347085">
        <w:t>g</w:t>
      </w:r>
      <w:r w:rsidRPr="003F7E3A">
        <w:t>overnment grant for consumer representation program</w:t>
      </w:r>
      <w:bookmarkEnd w:id="79"/>
      <w:bookmarkEnd w:id="80"/>
      <w:bookmarkEnd w:id="81"/>
    </w:p>
    <w:p w14:paraId="36B4AB96" w14:textId="77777777" w:rsidR="009E783D" w:rsidRPr="003F7E3A" w:rsidRDefault="009E783D" w:rsidP="003F7E3A">
      <w:pPr>
        <w:pStyle w:val="Heading3"/>
      </w:pPr>
      <w:bookmarkStart w:id="82" w:name="_Toc417990959"/>
      <w:bookmarkStart w:id="83" w:name="_Toc511634401"/>
      <w:bookmarkStart w:id="84" w:name="_Toc532543408"/>
      <w:r w:rsidRPr="003F7E3A">
        <w:t>3.5.1</w:t>
      </w:r>
      <w:r w:rsidRPr="003F7E3A">
        <w:tab/>
        <w:t>Outputs and business processes of the activity</w:t>
      </w:r>
      <w:bookmarkEnd w:id="82"/>
      <w:bookmarkEnd w:id="83"/>
      <w:bookmarkEnd w:id="84"/>
    </w:p>
    <w:p w14:paraId="4C276EFC" w14:textId="2E652B62" w:rsidR="009E783D" w:rsidRPr="003F7E3A" w:rsidRDefault="00B27039" w:rsidP="009E783D">
      <w:pPr>
        <w:rPr>
          <w:rFonts w:ascii="Calibri" w:hAnsi="Calibri"/>
          <w:szCs w:val="22"/>
        </w:rPr>
      </w:pPr>
      <w:r>
        <w:t>Under s</w:t>
      </w:r>
      <w:r w:rsidR="009E783D" w:rsidRPr="00596F9C">
        <w:t xml:space="preserve">ection 593 of the </w:t>
      </w:r>
      <w:r w:rsidR="009B7744" w:rsidRPr="00391111">
        <w:rPr>
          <w:iCs/>
        </w:rPr>
        <w:t>Telco Act</w:t>
      </w:r>
      <w:r>
        <w:rPr>
          <w:iCs/>
        </w:rPr>
        <w:t>,</w:t>
      </w:r>
      <w:r w:rsidR="009E783D" w:rsidRPr="00596F9C">
        <w:t xml:space="preserve"> the </w:t>
      </w:r>
      <w:r w:rsidR="00773864">
        <w:t>M</w:t>
      </w:r>
      <w:r w:rsidR="009E783D" w:rsidRPr="00596F9C">
        <w:t>inister</w:t>
      </w:r>
      <w:r w:rsidR="00773864">
        <w:t xml:space="preserve"> of Communications and the Arts</w:t>
      </w:r>
      <w:r w:rsidR="009E783D" w:rsidRPr="00596F9C">
        <w:t xml:space="preserve">, on behalf of the Commonwealth, </w:t>
      </w:r>
      <w:r w:rsidR="004C3BA8">
        <w:t xml:space="preserve">has </w:t>
      </w:r>
      <w:r w:rsidR="009E783D" w:rsidRPr="00596F9C">
        <w:t>the power to ‘make a grant of financial assistance to a consumer body for purposes in connection with the representation of the interests of consumers in relation to telecommunications issues’. Th</w:t>
      </w:r>
      <w:r w:rsidR="00F37E39">
        <w:t xml:space="preserve">e total </w:t>
      </w:r>
      <w:r w:rsidR="009E783D" w:rsidRPr="00596F9C">
        <w:t xml:space="preserve">grant </w:t>
      </w:r>
      <w:r w:rsidR="00F37E39">
        <w:t xml:space="preserve">likely to be made for </w:t>
      </w:r>
      <w:r w:rsidR="009E783D" w:rsidRPr="00596F9C">
        <w:t>the 201</w:t>
      </w:r>
      <w:r w:rsidR="00EC2F26">
        <w:t>7</w:t>
      </w:r>
      <w:r w:rsidR="00462477">
        <w:t>–</w:t>
      </w:r>
      <w:r w:rsidR="00D172BB">
        <w:t>1</w:t>
      </w:r>
      <w:r w:rsidR="00EC2F26">
        <w:t>8</w:t>
      </w:r>
      <w:r w:rsidR="009E783D" w:rsidRPr="00596F9C">
        <w:t xml:space="preserve"> financial year</w:t>
      </w:r>
      <w:r w:rsidR="00F37E39">
        <w:t xml:space="preserve"> was determined by </w:t>
      </w:r>
      <w:proofErr w:type="spellStart"/>
      <w:r w:rsidR="00F37E39">
        <w:t>DoCA</w:t>
      </w:r>
      <w:proofErr w:type="spellEnd"/>
      <w:r w:rsidR="00F37E39">
        <w:t>.</w:t>
      </w:r>
    </w:p>
    <w:p w14:paraId="1FD99D0E" w14:textId="2467BA4E" w:rsidR="009E783D" w:rsidRPr="00596F9C" w:rsidRDefault="009E783D" w:rsidP="009E783D">
      <w:r w:rsidRPr="00596F9C">
        <w:t>Since 2009</w:t>
      </w:r>
      <w:r w:rsidR="00347085">
        <w:t>–</w:t>
      </w:r>
      <w:r w:rsidRPr="00596F9C">
        <w:t xml:space="preserve">10, this grant has been provided </w:t>
      </w:r>
      <w:r w:rsidR="0067534E">
        <w:t xml:space="preserve">only </w:t>
      </w:r>
      <w:r w:rsidRPr="00596F9C">
        <w:t xml:space="preserve">to </w:t>
      </w:r>
      <w:r w:rsidR="0067534E">
        <w:t xml:space="preserve">the </w:t>
      </w:r>
      <w:r w:rsidR="004E2F7E" w:rsidRPr="00C320F6">
        <w:rPr>
          <w:rFonts w:cs="Arial"/>
          <w:szCs w:val="20"/>
        </w:rPr>
        <w:t xml:space="preserve">Australian Communications Consumer Action </w:t>
      </w:r>
      <w:r w:rsidR="004E2F7E" w:rsidRPr="004E2F7E">
        <w:rPr>
          <w:rFonts w:cs="Arial"/>
          <w:szCs w:val="20"/>
        </w:rPr>
        <w:t>Network</w:t>
      </w:r>
      <w:r w:rsidR="004E2F7E" w:rsidRPr="004E2F7E">
        <w:t xml:space="preserve"> (</w:t>
      </w:r>
      <w:r w:rsidRPr="0014060A">
        <w:t>ACCAN</w:t>
      </w:r>
      <w:r w:rsidR="004E2F7E">
        <w:t>)</w:t>
      </w:r>
      <w:r w:rsidRPr="00596F9C">
        <w:t xml:space="preserve">. ACCAN is provided </w:t>
      </w:r>
      <w:r>
        <w:t xml:space="preserve">with </w:t>
      </w:r>
      <w:r w:rsidRPr="00596F9C">
        <w:t xml:space="preserve">around </w:t>
      </w:r>
      <w:r w:rsidR="001071EB">
        <w:t>$2</w:t>
      </w:r>
      <w:r w:rsidR="001071EB" w:rsidRPr="001071EB">
        <w:t xml:space="preserve"> </w:t>
      </w:r>
      <w:r w:rsidRPr="001071EB">
        <w:t xml:space="preserve">million </w:t>
      </w:r>
      <w:r w:rsidRPr="00596F9C">
        <w:t xml:space="preserve">per annum as part of a </w:t>
      </w:r>
      <w:r w:rsidR="00EC2F26">
        <w:t>third</w:t>
      </w:r>
      <w:r w:rsidRPr="00596F9C">
        <w:t xml:space="preserve"> multi-year </w:t>
      </w:r>
      <w:r w:rsidR="004C3BA8">
        <w:t>f</w:t>
      </w:r>
      <w:r w:rsidRPr="00596F9C">
        <w:t xml:space="preserve">unding </w:t>
      </w:r>
      <w:r w:rsidR="004C3BA8">
        <w:t>a</w:t>
      </w:r>
      <w:r w:rsidRPr="00596F9C">
        <w:t xml:space="preserve">greement until </w:t>
      </w:r>
      <w:r w:rsidR="00EC2F26">
        <w:t>31</w:t>
      </w:r>
      <w:r w:rsidR="0067534E">
        <w:t xml:space="preserve"> May </w:t>
      </w:r>
      <w:r w:rsidR="00EC2F26">
        <w:t>2022</w:t>
      </w:r>
      <w:r w:rsidRPr="00596F9C">
        <w:t xml:space="preserve">. Milestone payments </w:t>
      </w:r>
      <w:r w:rsidR="0067534E">
        <w:t>for completing each stage of the activity</w:t>
      </w:r>
      <w:r w:rsidR="00E264B6">
        <w:t>,</w:t>
      </w:r>
      <w:r w:rsidR="0067534E">
        <w:t xml:space="preserve"> as set out in the </w:t>
      </w:r>
      <w:r w:rsidR="004C3BA8">
        <w:t>f</w:t>
      </w:r>
      <w:r w:rsidR="0067534E">
        <w:t xml:space="preserve">unding </w:t>
      </w:r>
      <w:r w:rsidR="004C3BA8">
        <w:t>a</w:t>
      </w:r>
      <w:r w:rsidRPr="00596F9C">
        <w:t>greement</w:t>
      </w:r>
      <w:r w:rsidR="00E264B6">
        <w:t>,</w:t>
      </w:r>
      <w:r w:rsidRPr="00596F9C">
        <w:t xml:space="preserve"> are made directly by </w:t>
      </w:r>
      <w:proofErr w:type="spellStart"/>
      <w:r w:rsidRPr="001071EB">
        <w:t>DoC</w:t>
      </w:r>
      <w:r w:rsidR="00D172BB" w:rsidRPr="001071EB">
        <w:t>A</w:t>
      </w:r>
      <w:proofErr w:type="spellEnd"/>
      <w:r w:rsidR="003F7E3A">
        <w:t xml:space="preserve"> as the Commonwealth delegate. </w:t>
      </w:r>
    </w:p>
    <w:p w14:paraId="7A6ADDF3" w14:textId="11EE398B" w:rsidR="009E783D" w:rsidRPr="003F7E3A" w:rsidRDefault="009E783D" w:rsidP="003F7E3A">
      <w:pPr>
        <w:rPr>
          <w:rFonts w:ascii="Calibri" w:hAnsi="Calibri"/>
          <w:szCs w:val="22"/>
        </w:rPr>
      </w:pPr>
      <w:r w:rsidRPr="00596F9C">
        <w:t xml:space="preserve">ACCAN represents consumer interests in telecommunications, </w:t>
      </w:r>
      <w:r w:rsidR="00D172BB">
        <w:t>conducts research on current and emerging issues</w:t>
      </w:r>
      <w:r w:rsidR="00E264B6">
        <w:t>,</w:t>
      </w:r>
      <w:r w:rsidR="00D172BB">
        <w:t xml:space="preserve"> and </w:t>
      </w:r>
      <w:r w:rsidRPr="00596F9C">
        <w:t xml:space="preserve">disseminates </w:t>
      </w:r>
      <w:r w:rsidR="00D172BB">
        <w:t>educational material t</w:t>
      </w:r>
      <w:r w:rsidRPr="00596F9C">
        <w:t>o consumers</w:t>
      </w:r>
      <w:r w:rsidR="00D172BB">
        <w:t xml:space="preserve">. ACCAN </w:t>
      </w:r>
      <w:r w:rsidRPr="00596F9C">
        <w:t>coordinates responses to government</w:t>
      </w:r>
      <w:r w:rsidR="00347085">
        <w:t>-</w:t>
      </w:r>
      <w:r w:rsidRPr="00596F9C">
        <w:t xml:space="preserve">initiated processes and conducts conferences and workshops. </w:t>
      </w:r>
      <w:r w:rsidR="008B1F63">
        <w:t>Consumer education and advocacy form part of the telecommunications regulatory framework and it is appropriate to attribute these costs to the licensed carriers through the ACLC.</w:t>
      </w:r>
    </w:p>
    <w:p w14:paraId="70D1B87F" w14:textId="77777777" w:rsidR="009E783D" w:rsidRPr="00596F9C" w:rsidRDefault="009E783D" w:rsidP="009E783D">
      <w:r w:rsidRPr="00596F9C">
        <w:t xml:space="preserve">ACCAN operates a competitive Independent Grants Scheme, which allows individuals and organisations to undertake research or representation projects in the interest of the telecommunications consumer. Further information can be obtained from ACCAN’s website at </w:t>
      </w:r>
      <w:hyperlink r:id="rId25" w:history="1">
        <w:r w:rsidRPr="00462477">
          <w:rPr>
            <w:rStyle w:val="Hyperlink"/>
          </w:rPr>
          <w:t>www.accan.org.au</w:t>
        </w:r>
      </w:hyperlink>
      <w:r w:rsidRPr="00596F9C">
        <w:t>.</w:t>
      </w:r>
    </w:p>
    <w:p w14:paraId="389FDED7" w14:textId="77777777" w:rsidR="009E783D" w:rsidRDefault="009E783D" w:rsidP="003F7E3A">
      <w:pPr>
        <w:pStyle w:val="Heading3"/>
      </w:pPr>
      <w:bookmarkStart w:id="85" w:name="_Toc417990960"/>
      <w:bookmarkStart w:id="86" w:name="_Toc511634402"/>
      <w:bookmarkStart w:id="87" w:name="_Toc532543409"/>
      <w:r w:rsidRPr="003F7E3A">
        <w:t>3.5.2</w:t>
      </w:r>
      <w:r w:rsidRPr="003F7E3A">
        <w:tab/>
        <w:t>Costs of the activity</w:t>
      </w:r>
      <w:bookmarkEnd w:id="85"/>
      <w:bookmarkEnd w:id="86"/>
      <w:bookmarkEnd w:id="87"/>
    </w:p>
    <w:p w14:paraId="6834BDF0" w14:textId="67C82BED" w:rsidR="000109E0" w:rsidRDefault="009E783D" w:rsidP="009E783D">
      <w:proofErr w:type="spellStart"/>
      <w:r>
        <w:t>DoC</w:t>
      </w:r>
      <w:r w:rsidR="00D172BB">
        <w:t>A</w:t>
      </w:r>
      <w:proofErr w:type="spellEnd"/>
      <w:r w:rsidR="00D172BB">
        <w:t xml:space="preserve"> estimates that for the 201</w:t>
      </w:r>
      <w:r w:rsidR="00EC2F26">
        <w:t>7</w:t>
      </w:r>
      <w:r w:rsidR="00462477">
        <w:t>–</w:t>
      </w:r>
      <w:r w:rsidR="00D172BB">
        <w:t>1</w:t>
      </w:r>
      <w:r w:rsidR="00EC2F26">
        <w:t>8</w:t>
      </w:r>
      <w:r>
        <w:t xml:space="preserve"> financial year, the total amount of grants likely to be made under section 593 of the </w:t>
      </w:r>
      <w:r w:rsidR="009B7744" w:rsidRPr="00391111">
        <w:t>Telco Act</w:t>
      </w:r>
      <w:r>
        <w:t xml:space="preserve"> will be $2.</w:t>
      </w:r>
      <w:r w:rsidR="0067534E">
        <w:t>2</w:t>
      </w:r>
      <w:r w:rsidR="00EC2F26">
        <w:t>61</w:t>
      </w:r>
      <w:r w:rsidR="00462477">
        <w:t> </w:t>
      </w:r>
      <w:r>
        <w:t>million</w:t>
      </w:r>
      <w:r w:rsidR="00E264B6">
        <w:t>,</w:t>
      </w:r>
      <w:r>
        <w:t xml:space="preserve"> as set out in </w:t>
      </w:r>
      <w:r w:rsidR="000109E0">
        <w:t>T</w:t>
      </w:r>
      <w:r w:rsidR="003F7E3A">
        <w:t>able</w:t>
      </w:r>
      <w:r w:rsidR="002A7CFA">
        <w:t> </w:t>
      </w:r>
      <w:r w:rsidR="00FA02BF">
        <w:t>10</w:t>
      </w:r>
      <w:r w:rsidR="000109E0">
        <w:t>.</w:t>
      </w:r>
    </w:p>
    <w:p w14:paraId="4A67863D" w14:textId="796521B6" w:rsidR="000109E0" w:rsidRPr="006A56FD" w:rsidRDefault="00FA02BF" w:rsidP="00C32914">
      <w:pPr>
        <w:pStyle w:val="ACMATableHeader"/>
        <w:keepNext/>
        <w:numPr>
          <w:ilvl w:val="0"/>
          <w:numId w:val="0"/>
        </w:numPr>
      </w:pPr>
      <w:r>
        <w:t>Table 10:</w:t>
      </w:r>
      <w:r>
        <w:tab/>
      </w:r>
      <w:r w:rsidR="000109E0" w:rsidRPr="006A56FD">
        <w:t>Consumer representation grant</w:t>
      </w:r>
      <w:r w:rsidR="00D60493">
        <w:t xml:space="preserve"> </w:t>
      </w:r>
      <w:r w:rsidR="000109E0" w:rsidRPr="006A56FD">
        <w:t>program</w:t>
      </w:r>
    </w:p>
    <w:tbl>
      <w:tblPr>
        <w:tblStyle w:val="TableGrid"/>
        <w:tblW w:w="0" w:type="auto"/>
        <w:tblCellMar>
          <w:top w:w="57" w:type="dxa"/>
          <w:bottom w:w="57" w:type="dxa"/>
        </w:tblCellMar>
        <w:tblLook w:val="04A0" w:firstRow="1" w:lastRow="0" w:firstColumn="1" w:lastColumn="0" w:noHBand="0" w:noVBand="1"/>
        <w:tblCaption w:val="Consumer representation grant program"/>
        <w:tblDescription w:val="Includes expenses and costs."/>
      </w:tblPr>
      <w:tblGrid>
        <w:gridCol w:w="5949"/>
        <w:gridCol w:w="1712"/>
      </w:tblGrid>
      <w:tr w:rsidR="000109E0" w14:paraId="22E426CB" w14:textId="77777777" w:rsidTr="00CE6BED">
        <w:trPr>
          <w:tblHeader/>
        </w:trPr>
        <w:tc>
          <w:tcPr>
            <w:tcW w:w="5949" w:type="dxa"/>
            <w:shd w:val="clear" w:color="auto" w:fill="404040" w:themeFill="text1" w:themeFillTint="BF"/>
          </w:tcPr>
          <w:p w14:paraId="0095BB24" w14:textId="77777777" w:rsidR="000109E0" w:rsidRPr="00CE6BED" w:rsidRDefault="00EA782A" w:rsidP="00CE6BED">
            <w:pPr>
              <w:pStyle w:val="TableHeading"/>
              <w:keepNext/>
              <w:rPr>
                <w:b w:val="0"/>
                <w:color w:val="FFFFFF" w:themeColor="background1"/>
              </w:rPr>
            </w:pPr>
            <w:r w:rsidRPr="00CE6BED">
              <w:rPr>
                <w:color w:val="FFFFFF" w:themeColor="background1"/>
              </w:rPr>
              <w:t>Expense</w:t>
            </w:r>
          </w:p>
        </w:tc>
        <w:tc>
          <w:tcPr>
            <w:tcW w:w="1712" w:type="dxa"/>
            <w:shd w:val="clear" w:color="auto" w:fill="404040" w:themeFill="text1" w:themeFillTint="BF"/>
          </w:tcPr>
          <w:p w14:paraId="0B38F38D" w14:textId="77777777" w:rsidR="000109E0" w:rsidRPr="00CE6BED" w:rsidRDefault="000109E0" w:rsidP="00CE6BED">
            <w:pPr>
              <w:pStyle w:val="TableHeading"/>
              <w:keepNext/>
              <w:jc w:val="right"/>
              <w:rPr>
                <w:b w:val="0"/>
                <w:color w:val="FFFFFF" w:themeColor="background1"/>
              </w:rPr>
            </w:pPr>
            <w:r w:rsidRPr="00CE6BED">
              <w:rPr>
                <w:color w:val="FFFFFF" w:themeColor="background1"/>
              </w:rPr>
              <w:t>Cost ($m</w:t>
            </w:r>
            <w:r w:rsidR="00EA782A" w:rsidRPr="00CE6BED">
              <w:rPr>
                <w:color w:val="FFFFFF" w:themeColor="background1"/>
              </w:rPr>
              <w:t>illion</w:t>
            </w:r>
            <w:r w:rsidRPr="00CE6BED">
              <w:rPr>
                <w:color w:val="FFFFFF" w:themeColor="background1"/>
              </w:rPr>
              <w:t>)</w:t>
            </w:r>
          </w:p>
        </w:tc>
      </w:tr>
      <w:tr w:rsidR="0067534E" w14:paraId="7A257A52" w14:textId="77777777" w:rsidTr="00CE6BED">
        <w:tc>
          <w:tcPr>
            <w:tcW w:w="5949" w:type="dxa"/>
            <w:vAlign w:val="center"/>
          </w:tcPr>
          <w:p w14:paraId="25B0EC10" w14:textId="77777777" w:rsidR="0067534E" w:rsidRDefault="0067534E" w:rsidP="0067534E">
            <w:pPr>
              <w:keepNext/>
              <w:spacing w:after="0"/>
            </w:pPr>
            <w:r>
              <w:t>Employee</w:t>
            </w:r>
            <w:r w:rsidR="00834FF6">
              <w:t xml:space="preserve"> expenses</w:t>
            </w:r>
          </w:p>
        </w:tc>
        <w:tc>
          <w:tcPr>
            <w:tcW w:w="1712" w:type="dxa"/>
            <w:vAlign w:val="center"/>
          </w:tcPr>
          <w:p w14:paraId="0F5CE763" w14:textId="77777777" w:rsidR="0067534E" w:rsidRDefault="00EC2F26" w:rsidP="0067534E">
            <w:pPr>
              <w:keepNext/>
              <w:spacing w:after="0"/>
              <w:jc w:val="right"/>
            </w:pPr>
            <w:r>
              <w:t>1.39</w:t>
            </w:r>
            <w:r w:rsidR="0067534E">
              <w:t>3</w:t>
            </w:r>
          </w:p>
        </w:tc>
      </w:tr>
      <w:tr w:rsidR="0067534E" w14:paraId="03EEB189" w14:textId="77777777" w:rsidTr="00CE6BED">
        <w:tc>
          <w:tcPr>
            <w:tcW w:w="5949" w:type="dxa"/>
            <w:vAlign w:val="center"/>
          </w:tcPr>
          <w:p w14:paraId="0AD28A93" w14:textId="77777777" w:rsidR="0067534E" w:rsidRDefault="0067534E" w:rsidP="0067534E">
            <w:pPr>
              <w:keepNext/>
              <w:spacing w:after="0"/>
            </w:pPr>
            <w:r>
              <w:t>Administration expenses</w:t>
            </w:r>
          </w:p>
        </w:tc>
        <w:tc>
          <w:tcPr>
            <w:tcW w:w="1712" w:type="dxa"/>
            <w:vAlign w:val="center"/>
          </w:tcPr>
          <w:p w14:paraId="4A1ADF20" w14:textId="77777777" w:rsidR="0067534E" w:rsidRDefault="00EC2F26" w:rsidP="0067534E">
            <w:pPr>
              <w:keepNext/>
              <w:spacing w:after="0"/>
              <w:jc w:val="right"/>
            </w:pPr>
            <w:r>
              <w:t>0.457</w:t>
            </w:r>
          </w:p>
        </w:tc>
      </w:tr>
      <w:tr w:rsidR="0067534E" w14:paraId="5A9A669C" w14:textId="77777777" w:rsidTr="00CE6BED">
        <w:tc>
          <w:tcPr>
            <w:tcW w:w="5949" w:type="dxa"/>
            <w:vAlign w:val="center"/>
          </w:tcPr>
          <w:p w14:paraId="771D7F40" w14:textId="77777777" w:rsidR="0067534E" w:rsidRDefault="0067534E" w:rsidP="00A83698">
            <w:pPr>
              <w:keepNext/>
              <w:spacing w:after="0"/>
            </w:pPr>
            <w:r>
              <w:t xml:space="preserve">Independent </w:t>
            </w:r>
            <w:r w:rsidR="00A83698">
              <w:t>g</w:t>
            </w:r>
            <w:r>
              <w:t xml:space="preserve">rants </w:t>
            </w:r>
            <w:r w:rsidR="00A83698">
              <w:t>p</w:t>
            </w:r>
            <w:r>
              <w:t xml:space="preserve">rogram </w:t>
            </w:r>
            <w:r w:rsidR="00A83698">
              <w:t>r</w:t>
            </w:r>
            <w:r>
              <w:t xml:space="preserve">esearch </w:t>
            </w:r>
            <w:r w:rsidR="00A83698">
              <w:t>p</w:t>
            </w:r>
            <w:r>
              <w:t>rojects</w:t>
            </w:r>
          </w:p>
        </w:tc>
        <w:tc>
          <w:tcPr>
            <w:tcW w:w="1712" w:type="dxa"/>
            <w:vAlign w:val="center"/>
          </w:tcPr>
          <w:p w14:paraId="41A7BA14" w14:textId="77777777" w:rsidR="0067534E" w:rsidRDefault="00EC2F26" w:rsidP="0067534E">
            <w:pPr>
              <w:keepNext/>
              <w:spacing w:after="0"/>
              <w:jc w:val="right"/>
            </w:pPr>
            <w:r>
              <w:t>0.352</w:t>
            </w:r>
          </w:p>
        </w:tc>
      </w:tr>
      <w:tr w:rsidR="0067534E" w14:paraId="043C9F0A" w14:textId="77777777" w:rsidTr="00CE6BED">
        <w:tc>
          <w:tcPr>
            <w:tcW w:w="5949" w:type="dxa"/>
            <w:vAlign w:val="center"/>
          </w:tcPr>
          <w:p w14:paraId="705F443D" w14:textId="77777777" w:rsidR="0067534E" w:rsidRDefault="0067534E" w:rsidP="0067534E">
            <w:pPr>
              <w:keepNext/>
              <w:spacing w:after="0"/>
            </w:pPr>
            <w:r>
              <w:t>Committee expenses, travel, accommodation</w:t>
            </w:r>
          </w:p>
        </w:tc>
        <w:tc>
          <w:tcPr>
            <w:tcW w:w="1712" w:type="dxa"/>
            <w:vAlign w:val="center"/>
          </w:tcPr>
          <w:p w14:paraId="11C9C2A3" w14:textId="77777777" w:rsidR="0067534E" w:rsidRDefault="00EC2F26" w:rsidP="0067534E">
            <w:pPr>
              <w:keepNext/>
              <w:spacing w:after="0"/>
              <w:jc w:val="right"/>
            </w:pPr>
            <w:r>
              <w:t>0.059</w:t>
            </w:r>
          </w:p>
        </w:tc>
      </w:tr>
      <w:tr w:rsidR="0067534E" w14:paraId="4F63B4D1" w14:textId="77777777" w:rsidTr="00EF0497">
        <w:tc>
          <w:tcPr>
            <w:tcW w:w="5949" w:type="dxa"/>
            <w:shd w:val="clear" w:color="auto" w:fill="D9D9D9" w:themeFill="background1" w:themeFillShade="D9"/>
            <w:vAlign w:val="center"/>
          </w:tcPr>
          <w:p w14:paraId="24AE0279" w14:textId="77777777" w:rsidR="0067534E" w:rsidRDefault="0067534E" w:rsidP="0067534E">
            <w:pPr>
              <w:keepNext/>
              <w:spacing w:after="0"/>
            </w:pPr>
            <w:r>
              <w:rPr>
                <w:b/>
                <w:bCs/>
              </w:rPr>
              <w:t>Total</w:t>
            </w:r>
          </w:p>
        </w:tc>
        <w:tc>
          <w:tcPr>
            <w:tcW w:w="1712" w:type="dxa"/>
            <w:shd w:val="clear" w:color="auto" w:fill="D9D9D9" w:themeFill="background1" w:themeFillShade="D9"/>
            <w:vAlign w:val="center"/>
          </w:tcPr>
          <w:p w14:paraId="42A1AC81" w14:textId="77777777" w:rsidR="0067534E" w:rsidRDefault="00EC2F26" w:rsidP="0067534E">
            <w:pPr>
              <w:keepNext/>
              <w:spacing w:after="0"/>
              <w:jc w:val="right"/>
            </w:pPr>
            <w:r>
              <w:rPr>
                <w:b/>
                <w:bCs/>
              </w:rPr>
              <w:t>2.261</w:t>
            </w:r>
          </w:p>
        </w:tc>
      </w:tr>
    </w:tbl>
    <w:p w14:paraId="3F1C9B9B" w14:textId="77777777" w:rsidR="009E783D" w:rsidRPr="000D6F80" w:rsidRDefault="009E783D" w:rsidP="003F7E3A">
      <w:pPr>
        <w:spacing w:before="240"/>
      </w:pPr>
      <w:r w:rsidRPr="00345D25">
        <w:t xml:space="preserve">These cost estimates were provided by ACCAN as part of the </w:t>
      </w:r>
      <w:r w:rsidR="00347085" w:rsidRPr="00345D25">
        <w:t>f</w:t>
      </w:r>
      <w:r w:rsidRPr="00345D25">
        <w:t xml:space="preserve">unding </w:t>
      </w:r>
      <w:r w:rsidR="00347085" w:rsidRPr="00345D25">
        <w:t>a</w:t>
      </w:r>
      <w:r w:rsidRPr="00345D25">
        <w:t>greement.</w:t>
      </w:r>
      <w:bookmarkStart w:id="88" w:name="calculationofcosts"/>
      <w:bookmarkEnd w:id="40"/>
    </w:p>
    <w:p w14:paraId="478A4F71" w14:textId="77777777" w:rsidR="009E783D" w:rsidRDefault="009E783D" w:rsidP="003F7E3A">
      <w:pPr>
        <w:pStyle w:val="Heading2"/>
      </w:pPr>
      <w:bookmarkStart w:id="89" w:name="_Toc355953991"/>
      <w:bookmarkStart w:id="90" w:name="_Toc385256320"/>
      <w:bookmarkStart w:id="91" w:name="_Toc417990961"/>
      <w:bookmarkStart w:id="92" w:name="_Toc511634403"/>
      <w:bookmarkStart w:id="93" w:name="_Toc532543410"/>
      <w:r w:rsidRPr="003F7E3A">
        <w:t>3.6</w:t>
      </w:r>
      <w:r w:rsidRPr="003F7E3A">
        <w:tab/>
      </w:r>
      <w:bookmarkEnd w:id="89"/>
      <w:bookmarkEnd w:id="90"/>
      <w:r w:rsidRPr="003F7E3A">
        <w:t>Design of cost recovery charges</w:t>
      </w:r>
      <w:bookmarkEnd w:id="91"/>
      <w:bookmarkEnd w:id="92"/>
      <w:bookmarkEnd w:id="93"/>
    </w:p>
    <w:p w14:paraId="20167C7E" w14:textId="06F1FF63" w:rsidR="009E783D" w:rsidRPr="005D0BC8" w:rsidRDefault="009E783D" w:rsidP="009E783D">
      <w:r w:rsidRPr="00A84CBD">
        <w:t>The ACLC is imposed as a levy</w:t>
      </w:r>
      <w:r>
        <w:t xml:space="preserve">, which </w:t>
      </w:r>
      <w:r w:rsidRPr="00A84CBD">
        <w:t>is considered appropriate as it encompasses a number of regulatory and other activities that may not be easily or cost effectively</w:t>
      </w:r>
      <w:r w:rsidR="00FE0E5A">
        <w:t xml:space="preserve"> be</w:t>
      </w:r>
      <w:r w:rsidRPr="00A84CBD">
        <w:t xml:space="preserve"> attributed to individual licensed carriers and </w:t>
      </w:r>
      <w:r w:rsidR="00FE0E5A">
        <w:t>therefore</w:t>
      </w:r>
      <w:r w:rsidR="00FE0E5A" w:rsidRPr="00A84CBD">
        <w:t xml:space="preserve"> </w:t>
      </w:r>
      <w:r w:rsidRPr="00A84CBD">
        <w:t>translated into direct fees, but can be attributed to the telecommunications industry as a group</w:t>
      </w:r>
      <w:r w:rsidR="00B46902">
        <w:t xml:space="preserve">. </w:t>
      </w:r>
      <w:r w:rsidR="00EF4F4D">
        <w:t>The use of a carrier’s e</w:t>
      </w:r>
      <w:r w:rsidR="00B46902">
        <w:t xml:space="preserve">ligible revenue </w:t>
      </w:r>
      <w:r w:rsidR="00EF4F4D">
        <w:t xml:space="preserve">to calculate the carrier’s ACLC </w:t>
      </w:r>
      <w:r w:rsidR="00B46902">
        <w:t xml:space="preserve">provides a reasonable reflection of effort and costs, and industry understands and accepts this methodology. Furthermore, </w:t>
      </w:r>
      <w:r w:rsidR="00EF4F4D">
        <w:t xml:space="preserve">the </w:t>
      </w:r>
      <w:r w:rsidR="00B46902">
        <w:t>eligible revenue of licensed carriers is utilised for the calculation of the Telecommunications Industry Levy</w:t>
      </w:r>
      <w:r w:rsidR="0091656A">
        <w:t xml:space="preserve"> imposed under the </w:t>
      </w:r>
      <w:r w:rsidR="0091656A">
        <w:rPr>
          <w:i/>
        </w:rPr>
        <w:t>Telecommunications (Consumer Protection and Service Standards) Act 1999</w:t>
      </w:r>
      <w:r w:rsidR="0091656A">
        <w:t xml:space="preserve"> (TCPSS Act)</w:t>
      </w:r>
      <w:r w:rsidRPr="00A84CBD">
        <w:t>.</w:t>
      </w:r>
    </w:p>
    <w:p w14:paraId="19B2AA78" w14:textId="77777777" w:rsidR="009E783D" w:rsidRPr="005D0BC8" w:rsidRDefault="009E783D" w:rsidP="003F7E3A">
      <w:pPr>
        <w:pStyle w:val="Bodysubheader0"/>
      </w:pPr>
      <w:bookmarkStart w:id="94" w:name="OLE_LINK13"/>
      <w:bookmarkStart w:id="95" w:name="OLE_LINK14"/>
      <w:r w:rsidRPr="00A84CBD">
        <w:rPr>
          <w:lang w:eastAsia="en-US"/>
        </w:rPr>
        <w:t>Establishment of individual levy amounts</w:t>
      </w:r>
    </w:p>
    <w:p w14:paraId="76427603" w14:textId="77777777" w:rsidR="009E783D" w:rsidRPr="003F7E3A" w:rsidRDefault="009E783D" w:rsidP="009E783D">
      <w:r w:rsidRPr="00A84CBD">
        <w:t xml:space="preserve">For the purpose of ascertaining the levy for liable individual licensed carriers, their ‘eligible revenue’, as assessed by the ACMA, </w:t>
      </w:r>
      <w:r w:rsidR="002E7A0B">
        <w:t xml:space="preserve">will </w:t>
      </w:r>
      <w:r w:rsidR="003A36E2">
        <w:t>be</w:t>
      </w:r>
      <w:r w:rsidRPr="00A84CBD">
        <w:t xml:space="preserve"> used as a basis for allocating the total ACLC. There </w:t>
      </w:r>
      <w:r w:rsidR="00C91139">
        <w:t xml:space="preserve">will be </w:t>
      </w:r>
      <w:r w:rsidRPr="00A84CBD">
        <w:t xml:space="preserve">no change in the method for the </w:t>
      </w:r>
      <w:r>
        <w:t>calculation</w:t>
      </w:r>
      <w:r w:rsidRPr="00A84CBD">
        <w:t xml:space="preserve"> of individual charges</w:t>
      </w:r>
      <w:r>
        <w:t xml:space="preserve"> from </w:t>
      </w:r>
      <w:r w:rsidR="002E7A0B">
        <w:t>d</w:t>
      </w:r>
      <w:r>
        <w:t>etermination of the ACLC made by the ACMA in the previous year</w:t>
      </w:r>
      <w:r w:rsidRPr="00A84CBD">
        <w:t>.</w:t>
      </w:r>
    </w:p>
    <w:p w14:paraId="6EB648AC" w14:textId="79FF5282" w:rsidR="009E783D" w:rsidRDefault="009E783D" w:rsidP="009E783D">
      <w:r w:rsidRPr="00C855AD">
        <w:t xml:space="preserve">In accordance with the </w:t>
      </w:r>
      <w:r w:rsidR="00F02932">
        <w:t xml:space="preserve">2017 </w:t>
      </w:r>
      <w:r w:rsidR="00C855AD" w:rsidRPr="00C855AD">
        <w:t>Direction</w:t>
      </w:r>
      <w:r w:rsidR="00FE0E5A">
        <w:t>,</w:t>
      </w:r>
      <w:r w:rsidRPr="00C855AD">
        <w:t xml:space="preserve"> non-participating persons (that is, the smaller</w:t>
      </w:r>
      <w:r w:rsidRPr="00A84CBD">
        <w:t xml:space="preserve"> carriers) are exempted from</w:t>
      </w:r>
      <w:r>
        <w:t xml:space="preserve"> the liability to pay the ACLC. </w:t>
      </w:r>
      <w:r w:rsidRPr="00A84CBD">
        <w:t>While the total ACLC include</w:t>
      </w:r>
      <w:r>
        <w:t>s</w:t>
      </w:r>
      <w:r w:rsidRPr="00A84CBD">
        <w:t xml:space="preserve"> costs that may be incurred by the ACMA in regulating non-participating persons, the ACMA estimates that the </w:t>
      </w:r>
      <w:r>
        <w:t xml:space="preserve">financial </w:t>
      </w:r>
      <w:r w:rsidRPr="00A84CBD">
        <w:t xml:space="preserve">impact of exempting non-participating persons from the liability to pay the ACLC is insignificant. </w:t>
      </w:r>
    </w:p>
    <w:p w14:paraId="620EEACA" w14:textId="65ABD02B" w:rsidR="00F053CB" w:rsidRDefault="00F053CB" w:rsidP="00F053CB">
      <w:r w:rsidRPr="0012599F">
        <w:t xml:space="preserve">An exposure draft of the </w:t>
      </w:r>
      <w:r w:rsidRPr="000114F8">
        <w:t>Telecommunications (Participa</w:t>
      </w:r>
      <w:r w:rsidR="00C855AD" w:rsidRPr="000114F8">
        <w:t>ting Persons) Determination 2015</w:t>
      </w:r>
      <w:r w:rsidRPr="0012599F">
        <w:t>, which provides exemption for non-participating persons from the requirement of lodging an eligible revenue return to the ACMA, and consequently</w:t>
      </w:r>
      <w:r w:rsidR="00FE0E5A">
        <w:t>,</w:t>
      </w:r>
      <w:r w:rsidRPr="0012599F">
        <w:t xml:space="preserve"> </w:t>
      </w:r>
      <w:r w:rsidR="00C37EAD">
        <w:t xml:space="preserve">an </w:t>
      </w:r>
      <w:r w:rsidRPr="0012599F">
        <w:t>exempti</w:t>
      </w:r>
      <w:r w:rsidR="00C37EAD">
        <w:t>o</w:t>
      </w:r>
      <w:r w:rsidRPr="0012599F">
        <w:t>n from paying the ACLC</w:t>
      </w:r>
      <w:r w:rsidR="0012599F" w:rsidRPr="0012599F">
        <w:t xml:space="preserve">, was provided </w:t>
      </w:r>
      <w:r w:rsidRPr="0012599F">
        <w:t xml:space="preserve">to carriers </w:t>
      </w:r>
      <w:r w:rsidR="000A64FA">
        <w:t>(</w:t>
      </w:r>
      <w:r w:rsidRPr="0012599F">
        <w:t>who were participating persons in prior eligible revenue periods for consultation</w:t>
      </w:r>
      <w:r w:rsidR="000A64FA">
        <w:t>)</w:t>
      </w:r>
      <w:r w:rsidR="0012599F" w:rsidRPr="0012599F">
        <w:t xml:space="preserve"> in June 2015</w:t>
      </w:r>
      <w:r w:rsidRPr="0012599F">
        <w:t xml:space="preserve">. </w:t>
      </w:r>
      <w:r w:rsidR="00C37EAD">
        <w:t>N</w:t>
      </w:r>
      <w:r w:rsidRPr="0012599F">
        <w:t>o issues were raised during this consultation</w:t>
      </w:r>
      <w:r w:rsidR="00C37EAD">
        <w:t>.</w:t>
      </w:r>
      <w:r w:rsidR="0012599F" w:rsidRPr="0012599F">
        <w:t xml:space="preserve"> </w:t>
      </w:r>
      <w:r w:rsidR="00C37EAD">
        <w:t>T</w:t>
      </w:r>
      <w:r w:rsidR="0012599F" w:rsidRPr="0012599F">
        <w:t xml:space="preserve">he methodology adopted </w:t>
      </w:r>
      <w:r w:rsidRPr="0012599F">
        <w:t xml:space="preserve">for the calculation of individual </w:t>
      </w:r>
      <w:r w:rsidR="000A64FA" w:rsidRPr="0012599F">
        <w:t>lev</w:t>
      </w:r>
      <w:r w:rsidR="000A64FA">
        <w:t>ies</w:t>
      </w:r>
      <w:r w:rsidR="000A64FA" w:rsidRPr="0012599F">
        <w:t xml:space="preserve"> </w:t>
      </w:r>
      <w:r w:rsidR="0012599F" w:rsidRPr="0012599F">
        <w:t>will continue to be applied</w:t>
      </w:r>
      <w:r w:rsidRPr="0012599F">
        <w:t>. This is one of the telecommunications regulatory reforms undertaken by the Australian Government to reduce unnecessary red tape and to establish a more cost</w:t>
      </w:r>
      <w:r w:rsidR="000A64FA">
        <w:t>-</w:t>
      </w:r>
      <w:r w:rsidRPr="0012599F">
        <w:t xml:space="preserve">effective approach to cost recovery arrangements. The </w:t>
      </w:r>
      <w:r w:rsidR="00C37EAD">
        <w:t xml:space="preserve">2017 </w:t>
      </w:r>
      <w:r w:rsidRPr="0012599F">
        <w:t>Direction</w:t>
      </w:r>
      <w:r w:rsidR="00BC60F4">
        <w:t xml:space="preserve"> </w:t>
      </w:r>
      <w:r w:rsidRPr="0012599F">
        <w:t xml:space="preserve">is a legislative instrument, </w:t>
      </w:r>
      <w:r w:rsidR="000A64FA">
        <w:t xml:space="preserve">which </w:t>
      </w:r>
      <w:r w:rsidR="00BC60F4">
        <w:t>the ACMA is required to comply with.</w:t>
      </w:r>
    </w:p>
    <w:p w14:paraId="71522E68" w14:textId="09D35ED8" w:rsidR="00D27069" w:rsidRDefault="009E783D" w:rsidP="00D27069">
      <w:r w:rsidRPr="00D972FA">
        <w:t xml:space="preserve">The ACMA </w:t>
      </w:r>
      <w:r w:rsidR="000A64FA">
        <w:t xml:space="preserve">annually </w:t>
      </w:r>
      <w:r w:rsidRPr="00D972FA">
        <w:t xml:space="preserve">collects </w:t>
      </w:r>
      <w:r w:rsidR="000A64FA" w:rsidRPr="00D972FA">
        <w:t>written eligible revenue return</w:t>
      </w:r>
      <w:r w:rsidR="000A64FA">
        <w:t>s</w:t>
      </w:r>
      <w:r w:rsidR="000A64FA" w:rsidRPr="00D972FA">
        <w:t xml:space="preserve"> </w:t>
      </w:r>
      <w:r w:rsidRPr="00D972FA">
        <w:t>from the telecommunications industry to assess the eligible revenue of each participating person</w:t>
      </w:r>
      <w:r w:rsidR="00821566" w:rsidRPr="00D972FA">
        <w:t xml:space="preserve"> (as defined in the </w:t>
      </w:r>
      <w:r w:rsidR="00821566" w:rsidRPr="00391111">
        <w:t>T</w:t>
      </w:r>
      <w:r w:rsidR="0091656A">
        <w:t xml:space="preserve">CPSS </w:t>
      </w:r>
      <w:r w:rsidR="00821566" w:rsidRPr="00391111">
        <w:t>Act</w:t>
      </w:r>
      <w:r w:rsidR="004C3BA8" w:rsidRPr="00391111">
        <w:t>).</w:t>
      </w:r>
      <w:r w:rsidRPr="00D972FA">
        <w:t xml:space="preserve"> The</w:t>
      </w:r>
      <w:r w:rsidR="000A64FA">
        <w:t xml:space="preserve">se </w:t>
      </w:r>
      <w:r w:rsidRPr="00D972FA">
        <w:t xml:space="preserve">amounts </w:t>
      </w:r>
      <w:r w:rsidR="000A64FA" w:rsidRPr="00D972FA">
        <w:t>relate to the preceding financial year (201</w:t>
      </w:r>
      <w:r w:rsidR="000A64FA">
        <w:t>6</w:t>
      </w:r>
      <w:r w:rsidR="000A64FA" w:rsidRPr="00D972FA">
        <w:t>–1</w:t>
      </w:r>
      <w:r w:rsidR="000A64FA">
        <w:t>7</w:t>
      </w:r>
      <w:r w:rsidR="000A64FA" w:rsidRPr="00D972FA">
        <w:t>)</w:t>
      </w:r>
      <w:r w:rsidR="000A64FA">
        <w:t xml:space="preserve"> </w:t>
      </w:r>
      <w:r w:rsidRPr="00D972FA">
        <w:t xml:space="preserve">for the purposes of calculating the </w:t>
      </w:r>
      <w:r w:rsidR="00C91139">
        <w:t xml:space="preserve">individual </w:t>
      </w:r>
      <w:r w:rsidRPr="00D972FA">
        <w:t>ACLC for 201</w:t>
      </w:r>
      <w:r w:rsidR="00F053CB">
        <w:t>7</w:t>
      </w:r>
      <w:r w:rsidR="000D4779" w:rsidRPr="00D972FA">
        <w:t>–1</w:t>
      </w:r>
      <w:r w:rsidR="00F053CB">
        <w:t>8</w:t>
      </w:r>
      <w:r w:rsidRPr="00D972FA">
        <w:t>.</w:t>
      </w:r>
      <w:r w:rsidRPr="00A84CBD">
        <w:t xml:space="preserve"> </w:t>
      </w:r>
      <w:bookmarkStart w:id="96" w:name="_Toc260128315"/>
      <w:bookmarkStart w:id="97" w:name="_Toc261431684"/>
      <w:bookmarkStart w:id="98" w:name="_Toc261431816"/>
      <w:bookmarkStart w:id="99" w:name="_Toc316465934"/>
    </w:p>
    <w:p w14:paraId="78CB429D" w14:textId="21B53EED" w:rsidR="009E783D" w:rsidRPr="003F7E3A" w:rsidRDefault="009E783D" w:rsidP="00C32914">
      <w:pPr>
        <w:keepNext/>
      </w:pPr>
      <w:r w:rsidRPr="00A84CBD">
        <w:t>The following formula is used for allocating the total charge to liable individual carriers</w:t>
      </w:r>
      <w:r w:rsidR="003A36E2">
        <w:t xml:space="preserve">, when the applicable </w:t>
      </w:r>
      <w:r w:rsidR="002E7A0B">
        <w:t xml:space="preserve">eligible </w:t>
      </w:r>
      <w:r w:rsidR="003A36E2">
        <w:t>revenue amounts become available</w:t>
      </w:r>
      <w:bookmarkEnd w:id="96"/>
      <w:bookmarkEnd w:id="97"/>
      <w:bookmarkEnd w:id="98"/>
      <w:bookmarkEnd w:id="99"/>
      <w:r w:rsidR="000A64FA">
        <w:t>:</w:t>
      </w:r>
    </w:p>
    <w:p w14:paraId="28C78489" w14:textId="77777777" w:rsidR="009E783D" w:rsidRPr="005D0BC8" w:rsidRDefault="007B7726" w:rsidP="006D3409">
      <w:pPr>
        <w:pStyle w:val="BodyText"/>
        <w:keepNext/>
        <w:keepLines/>
        <w:spacing w:line="240" w:lineRule="atLeast"/>
        <w:ind w:right="-142"/>
        <w:rPr>
          <w:rFonts w:cs="Arial"/>
          <w:i w:val="0"/>
          <w:color w:val="auto"/>
          <w:szCs w:val="20"/>
        </w:rPr>
      </w:pPr>
      <m:oMathPara>
        <m:oMathParaPr>
          <m:jc m:val="left"/>
        </m:oMathParaPr>
        <m:oMath>
          <m:d>
            <m:dPr>
              <m:ctrlPr>
                <w:rPr>
                  <w:rFonts w:ascii="Cambria Math" w:hAnsi="Cambria Math" w:cs="Arial"/>
                  <w:color w:val="auto"/>
                  <w:szCs w:val="20"/>
                </w:rPr>
              </m:ctrlPr>
            </m:dPr>
            <m:e>
              <m:r>
                <w:rPr>
                  <w:rFonts w:ascii="Cambria Math" w:hAnsi="Cambria Math" w:cs="Arial"/>
                  <w:color w:val="auto"/>
                  <w:szCs w:val="20"/>
                </w:rPr>
                <m:t>MCA-OTC</m:t>
              </m:r>
            </m:e>
          </m:d>
          <m:r>
            <w:rPr>
              <w:rFonts w:ascii="Cambria Math" w:hAnsi="Cambria Math" w:cs="Arial"/>
              <w:color w:val="auto"/>
              <w:szCs w:val="20"/>
            </w:rPr>
            <m:t>×</m:t>
          </m:r>
          <m:f>
            <m:fPr>
              <m:ctrlPr>
                <w:rPr>
                  <w:rFonts w:ascii="Cambria Math" w:hAnsi="Cambria Math" w:cs="Arial"/>
                  <w:color w:val="auto"/>
                  <w:szCs w:val="20"/>
                </w:rPr>
              </m:ctrlPr>
            </m:fPr>
            <m:num>
              <m:r>
                <w:rPr>
                  <w:rFonts w:ascii="Cambria Math" w:hAnsi="Cambria Math" w:cs="Arial"/>
                  <w:color w:val="auto"/>
                  <w:szCs w:val="20"/>
                </w:rPr>
                <m:t>ER</m:t>
              </m:r>
            </m:num>
            <m:den>
              <m:r>
                <w:rPr>
                  <w:rFonts w:ascii="Cambria Math" w:hAnsi="Cambria Math" w:cs="Arial"/>
                  <w:color w:val="auto"/>
                  <w:szCs w:val="20"/>
                </w:rPr>
                <m:t>TER</m:t>
              </m:r>
            </m:den>
          </m:f>
        </m:oMath>
      </m:oMathPara>
    </w:p>
    <w:p w14:paraId="09344D38" w14:textId="77777777" w:rsidR="009E783D" w:rsidRPr="005D0BC8" w:rsidRDefault="009E783D" w:rsidP="006D3409">
      <w:pPr>
        <w:keepNext/>
        <w:keepLines/>
        <w:spacing w:before="240" w:after="80"/>
      </w:pPr>
      <w:r w:rsidRPr="00A84CBD">
        <w:t>Where:</w:t>
      </w:r>
    </w:p>
    <w:p w14:paraId="368321D4" w14:textId="77777777" w:rsidR="009E783D" w:rsidRPr="003F7E3A" w:rsidRDefault="009E783D" w:rsidP="006D3409">
      <w:pPr>
        <w:pStyle w:val="ListBullet"/>
        <w:keepNext/>
        <w:keepLines/>
      </w:pPr>
      <w:r w:rsidRPr="003F7E3A">
        <w:t>MCA is the maximum charge amount</w:t>
      </w:r>
    </w:p>
    <w:p w14:paraId="5FB59C9A" w14:textId="77777777" w:rsidR="009E783D" w:rsidRPr="003F7E3A" w:rsidRDefault="009E783D" w:rsidP="006D3409">
      <w:pPr>
        <w:pStyle w:val="ListBullet"/>
        <w:keepNext/>
        <w:keepLines/>
      </w:pPr>
      <w:r w:rsidRPr="003F7E3A">
        <w:t>OTC is the other telecommunications charges</w:t>
      </w:r>
      <w:r w:rsidRPr="000E0EFD">
        <w:rPr>
          <w:vertAlign w:val="superscript"/>
        </w:rPr>
        <w:footnoteReference w:id="13"/>
      </w:r>
    </w:p>
    <w:p w14:paraId="5545B0F0" w14:textId="77777777" w:rsidR="009E783D" w:rsidRDefault="009E783D" w:rsidP="006D3409">
      <w:pPr>
        <w:pStyle w:val="ListBullet"/>
        <w:keepNext/>
        <w:keepLines/>
      </w:pPr>
      <w:r w:rsidRPr="003F7E3A">
        <w:t>ER is the individual carrier’s eligible revenue</w:t>
      </w:r>
    </w:p>
    <w:p w14:paraId="6DA1BDBA" w14:textId="77777777" w:rsidR="009E783D" w:rsidRDefault="009E783D" w:rsidP="006D3409">
      <w:pPr>
        <w:pStyle w:val="ListBulletLast"/>
        <w:keepNext/>
        <w:keepLines/>
      </w:pPr>
      <w:r w:rsidRPr="00A84CBD">
        <w:t>TER is the total eligible revenue.</w:t>
      </w:r>
    </w:p>
    <w:p w14:paraId="70F880E7" w14:textId="0CEA2BA9" w:rsidR="00D27069" w:rsidRDefault="009E783D" w:rsidP="009E783D">
      <w:r w:rsidRPr="00A84CBD">
        <w:t xml:space="preserve">The ‘ER/TER’ determines the individual proportion of the carrier’s assessed eligible revenue relative to the total assessed eligible revenue for those carriers </w:t>
      </w:r>
      <w:r w:rsidR="000A64FA">
        <w:t>that</w:t>
      </w:r>
      <w:r w:rsidR="000A64FA" w:rsidRPr="00A84CBD">
        <w:t xml:space="preserve"> </w:t>
      </w:r>
      <w:r w:rsidRPr="00A84CBD">
        <w:t xml:space="preserve">are liable to pay the ACLC. </w:t>
      </w:r>
      <w:r w:rsidRPr="00120B54">
        <w:t xml:space="preserve">In summary, the formula allocates the total ACLC to the individual carriers, in the same proportion as their assessed eligible revenue </w:t>
      </w:r>
      <w:r w:rsidR="00C37EAD" w:rsidRPr="00120B54">
        <w:t>bears</w:t>
      </w:r>
      <w:r w:rsidRPr="00120B54">
        <w:t xml:space="preserve"> to the total assessed eligible revenue</w:t>
      </w:r>
      <w:r w:rsidR="00586D91" w:rsidRPr="00120B54">
        <w:t xml:space="preserve"> of all participating persons</w:t>
      </w:r>
      <w:r w:rsidRPr="00120B54">
        <w:t>.</w:t>
      </w:r>
      <w:r w:rsidRPr="00A84CBD">
        <w:t xml:space="preserve"> </w:t>
      </w:r>
      <w:bookmarkEnd w:id="94"/>
      <w:bookmarkEnd w:id="95"/>
    </w:p>
    <w:p w14:paraId="47AFB22D" w14:textId="63CB9C24" w:rsidR="007B5ADB" w:rsidRDefault="009E783D" w:rsidP="00C32914">
      <w:r w:rsidRPr="00A84CBD">
        <w:t xml:space="preserve">The summary of all components identified </w:t>
      </w:r>
      <w:r>
        <w:t xml:space="preserve">in </w:t>
      </w:r>
      <w:r w:rsidRPr="00A84CBD">
        <w:t xml:space="preserve">paragraphs 15(1)(a) to 15(1)(d) of the Act </w:t>
      </w:r>
      <w:r w:rsidRPr="0039435F">
        <w:t>(that is, sections 3.1, 3.2, 3.3, 3.4 and 3.5 in this CRIS) is provided in</w:t>
      </w:r>
      <w:r w:rsidRPr="00A84CBD">
        <w:t xml:space="preserve"> T</w:t>
      </w:r>
      <w:r w:rsidR="003F7E3A">
        <w:t>able</w:t>
      </w:r>
      <w:r w:rsidR="006D3409">
        <w:t> </w:t>
      </w:r>
      <w:r w:rsidR="000D4779">
        <w:t>1</w:t>
      </w:r>
      <w:r w:rsidR="00FA02BF">
        <w:t>1</w:t>
      </w:r>
      <w:r w:rsidR="005A5B87">
        <w:t>.</w:t>
      </w:r>
    </w:p>
    <w:p w14:paraId="3A5347F5" w14:textId="77777777" w:rsidR="00D27069" w:rsidRDefault="00FA02BF" w:rsidP="00FA02BF">
      <w:pPr>
        <w:pStyle w:val="ACMATableHeader"/>
        <w:numPr>
          <w:ilvl w:val="0"/>
          <w:numId w:val="0"/>
        </w:numPr>
      </w:pPr>
      <w:r w:rsidRPr="009D54C2">
        <w:t>Table 11:</w:t>
      </w:r>
      <w:r w:rsidRPr="009D54C2">
        <w:tab/>
      </w:r>
      <w:r w:rsidR="00D27069" w:rsidRPr="009D54C2">
        <w:t>ACLC summary by cost component</w:t>
      </w:r>
    </w:p>
    <w:tbl>
      <w:tblPr>
        <w:tblW w:w="4789"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57" w:type="dxa"/>
          <w:bottom w:w="57" w:type="dxa"/>
        </w:tblCellMar>
        <w:tblLook w:val="04A0" w:firstRow="1" w:lastRow="0" w:firstColumn="1" w:lastColumn="0" w:noHBand="0" w:noVBand="1"/>
      </w:tblPr>
      <w:tblGrid>
        <w:gridCol w:w="1440"/>
        <w:gridCol w:w="4124"/>
        <w:gridCol w:w="1768"/>
      </w:tblGrid>
      <w:tr w:rsidR="00E0161E" w:rsidRPr="000D6F80" w14:paraId="2CF2E87D" w14:textId="77777777" w:rsidTr="00DC78B0">
        <w:trPr>
          <w:cantSplit/>
          <w:trHeight w:val="325"/>
          <w:tblHeader/>
        </w:trPr>
        <w:tc>
          <w:tcPr>
            <w:tcW w:w="982" w:type="pct"/>
            <w:shd w:val="clear" w:color="auto" w:fill="404040" w:themeFill="text1" w:themeFillTint="BF"/>
            <w:vAlign w:val="center"/>
          </w:tcPr>
          <w:p w14:paraId="2CF31066" w14:textId="735B5F40" w:rsidR="00E0161E" w:rsidRPr="00CE6BED" w:rsidRDefault="00E0161E" w:rsidP="00DC78B0">
            <w:pPr>
              <w:pStyle w:val="TableHeading"/>
              <w:rPr>
                <w:b w:val="0"/>
                <w:color w:val="FFFFFF" w:themeColor="background1"/>
              </w:rPr>
            </w:pPr>
            <w:r w:rsidRPr="00CE6BED">
              <w:rPr>
                <w:color w:val="FFFFFF" w:themeColor="background1"/>
              </w:rPr>
              <w:t>Reference in the Act</w:t>
            </w:r>
          </w:p>
        </w:tc>
        <w:tc>
          <w:tcPr>
            <w:tcW w:w="2812" w:type="pct"/>
            <w:shd w:val="clear" w:color="auto" w:fill="404040" w:themeFill="text1" w:themeFillTint="BF"/>
            <w:vAlign w:val="center"/>
          </w:tcPr>
          <w:p w14:paraId="03C8DD9E" w14:textId="77777777" w:rsidR="00E0161E" w:rsidRPr="00CE6BED" w:rsidRDefault="00E0161E" w:rsidP="00DC78B0">
            <w:pPr>
              <w:pStyle w:val="TableHeading"/>
              <w:rPr>
                <w:b w:val="0"/>
                <w:color w:val="FFFFFF" w:themeColor="background1"/>
                <w:highlight w:val="yellow"/>
              </w:rPr>
            </w:pPr>
            <w:r w:rsidRPr="00CE6BED">
              <w:rPr>
                <w:color w:val="FFFFFF" w:themeColor="background1"/>
              </w:rPr>
              <w:t>Cost component</w:t>
            </w:r>
          </w:p>
        </w:tc>
        <w:tc>
          <w:tcPr>
            <w:tcW w:w="1206" w:type="pct"/>
            <w:tcBorders>
              <w:top w:val="single" w:sz="6" w:space="0" w:color="auto"/>
            </w:tcBorders>
            <w:shd w:val="clear" w:color="auto" w:fill="404040" w:themeFill="text1" w:themeFillTint="BF"/>
            <w:vAlign w:val="center"/>
          </w:tcPr>
          <w:p w14:paraId="4BEAB197" w14:textId="77777777" w:rsidR="00E0161E" w:rsidRPr="00CE6BED" w:rsidRDefault="00E0161E" w:rsidP="00DC78B0">
            <w:pPr>
              <w:pStyle w:val="TableHeading"/>
              <w:spacing w:after="80"/>
              <w:rPr>
                <w:b w:val="0"/>
                <w:color w:val="FFFFFF" w:themeColor="background1"/>
              </w:rPr>
            </w:pPr>
            <w:r w:rsidRPr="00CE6BED">
              <w:rPr>
                <w:color w:val="FFFFFF" w:themeColor="background1"/>
              </w:rPr>
              <w:t>201</w:t>
            </w:r>
            <w:r>
              <w:rPr>
                <w:color w:val="FFFFFF" w:themeColor="background1"/>
              </w:rPr>
              <w:t>7</w:t>
            </w:r>
            <w:r w:rsidRPr="00CE6BED">
              <w:rPr>
                <w:color w:val="FFFFFF" w:themeColor="background1"/>
              </w:rPr>
              <w:t>–1</w:t>
            </w:r>
            <w:r>
              <w:rPr>
                <w:color w:val="FFFFFF" w:themeColor="background1"/>
              </w:rPr>
              <w:t>8</w:t>
            </w:r>
            <w:r w:rsidRPr="00CE6BED">
              <w:rPr>
                <w:color w:val="FFFFFF" w:themeColor="background1"/>
              </w:rPr>
              <w:t xml:space="preserve"> ACLC</w:t>
            </w:r>
          </w:p>
          <w:p w14:paraId="05ABDABB" w14:textId="77777777" w:rsidR="00E0161E" w:rsidRPr="00CE6BED" w:rsidRDefault="00E0161E" w:rsidP="00DC78B0">
            <w:pPr>
              <w:pStyle w:val="TableHeading"/>
              <w:rPr>
                <w:b w:val="0"/>
                <w:color w:val="FFFFFF" w:themeColor="background1"/>
                <w:highlight w:val="yellow"/>
              </w:rPr>
            </w:pPr>
            <w:r w:rsidRPr="00CE6BED">
              <w:rPr>
                <w:color w:val="FFFFFF" w:themeColor="background1"/>
              </w:rPr>
              <w:t>Actual</w:t>
            </w:r>
            <w:r w:rsidRPr="001F572C">
              <w:rPr>
                <w:rStyle w:val="FootnoteReference"/>
                <w:rFonts w:cs="Arial"/>
                <w:b w:val="0"/>
                <w:iCs/>
                <w:color w:val="FFFFFF" w:themeColor="background1"/>
                <w:szCs w:val="20"/>
              </w:rPr>
              <w:footnoteReference w:id="14"/>
            </w:r>
          </w:p>
        </w:tc>
      </w:tr>
      <w:tr w:rsidR="00E0161E" w:rsidRPr="000D6F80" w14:paraId="0682AEC6" w14:textId="77777777" w:rsidTr="00DC78B0">
        <w:trPr>
          <w:cantSplit/>
          <w:trHeight w:val="245"/>
          <w:tblHeader/>
        </w:trPr>
        <w:tc>
          <w:tcPr>
            <w:tcW w:w="982" w:type="pct"/>
            <w:vAlign w:val="center"/>
          </w:tcPr>
          <w:p w14:paraId="7DCDD1DB" w14:textId="77777777" w:rsidR="00E0161E" w:rsidRPr="000D6F80" w:rsidRDefault="00E0161E" w:rsidP="00DC78B0">
            <w:pPr>
              <w:spacing w:after="0"/>
              <w:rPr>
                <w:rFonts w:cs="Arial"/>
                <w:szCs w:val="20"/>
              </w:rPr>
            </w:pPr>
            <w:r w:rsidRPr="000D6F80">
              <w:rPr>
                <w:rFonts w:cs="Arial"/>
                <w:szCs w:val="20"/>
              </w:rPr>
              <w:t>15(1)(a)</w:t>
            </w:r>
          </w:p>
        </w:tc>
        <w:tc>
          <w:tcPr>
            <w:tcW w:w="2812" w:type="pct"/>
            <w:vAlign w:val="center"/>
          </w:tcPr>
          <w:p w14:paraId="5BF8C594" w14:textId="77777777" w:rsidR="00E0161E" w:rsidRPr="000D6F80" w:rsidRDefault="00E0161E" w:rsidP="00DC78B0">
            <w:pPr>
              <w:spacing w:after="0"/>
              <w:ind w:right="-142"/>
              <w:rPr>
                <w:rFonts w:cs="Arial"/>
                <w:szCs w:val="20"/>
              </w:rPr>
            </w:pPr>
            <w:r w:rsidRPr="000D6F80">
              <w:rPr>
                <w:rFonts w:cs="Arial"/>
                <w:szCs w:val="20"/>
              </w:rPr>
              <w:t>ACMA’s cost component</w:t>
            </w:r>
          </w:p>
        </w:tc>
        <w:tc>
          <w:tcPr>
            <w:tcW w:w="1206" w:type="pct"/>
            <w:vAlign w:val="center"/>
          </w:tcPr>
          <w:p w14:paraId="71C0A4E4" w14:textId="77777777" w:rsidR="00E0161E" w:rsidRDefault="00E0161E" w:rsidP="00DC78B0">
            <w:pPr>
              <w:spacing w:after="0"/>
              <w:ind w:right="35"/>
              <w:jc w:val="right"/>
              <w:rPr>
                <w:rFonts w:cs="Arial"/>
                <w:szCs w:val="20"/>
              </w:rPr>
            </w:pPr>
            <w:r>
              <w:rPr>
                <w:rFonts w:cs="Arial"/>
                <w:szCs w:val="20"/>
              </w:rPr>
              <w:t>$14,304,019</w:t>
            </w:r>
          </w:p>
        </w:tc>
      </w:tr>
      <w:tr w:rsidR="00E0161E" w:rsidRPr="000D6F80" w14:paraId="19308D91" w14:textId="77777777" w:rsidTr="00DC78B0">
        <w:trPr>
          <w:cantSplit/>
          <w:trHeight w:val="293"/>
          <w:tblHeader/>
        </w:trPr>
        <w:tc>
          <w:tcPr>
            <w:tcW w:w="982" w:type="pct"/>
            <w:vAlign w:val="center"/>
          </w:tcPr>
          <w:p w14:paraId="5E77A3CA" w14:textId="77777777" w:rsidR="00E0161E" w:rsidRPr="000D6F80" w:rsidRDefault="00E0161E" w:rsidP="00DC78B0">
            <w:pPr>
              <w:spacing w:after="0"/>
              <w:rPr>
                <w:rFonts w:cs="Arial"/>
                <w:szCs w:val="20"/>
              </w:rPr>
            </w:pPr>
            <w:r w:rsidRPr="000D6F80">
              <w:rPr>
                <w:rFonts w:cs="Arial"/>
                <w:szCs w:val="20"/>
              </w:rPr>
              <w:t>15(1)(b)</w:t>
            </w:r>
          </w:p>
        </w:tc>
        <w:tc>
          <w:tcPr>
            <w:tcW w:w="2812" w:type="pct"/>
            <w:vAlign w:val="center"/>
          </w:tcPr>
          <w:p w14:paraId="2ED36FA0" w14:textId="77777777" w:rsidR="00E0161E" w:rsidRPr="000D6F80" w:rsidRDefault="00E0161E" w:rsidP="00DC78B0">
            <w:pPr>
              <w:spacing w:after="0"/>
              <w:ind w:right="-142"/>
              <w:rPr>
                <w:rFonts w:cs="Arial"/>
                <w:szCs w:val="20"/>
              </w:rPr>
            </w:pPr>
            <w:r w:rsidRPr="000D6F80">
              <w:rPr>
                <w:rFonts w:cs="Arial"/>
                <w:szCs w:val="20"/>
              </w:rPr>
              <w:t>ACCC’s cost component</w:t>
            </w:r>
          </w:p>
        </w:tc>
        <w:tc>
          <w:tcPr>
            <w:tcW w:w="1206" w:type="pct"/>
            <w:vAlign w:val="center"/>
          </w:tcPr>
          <w:p w14:paraId="006E0E8B" w14:textId="77777777" w:rsidR="00E0161E" w:rsidRDefault="00E0161E" w:rsidP="00DC78B0">
            <w:pPr>
              <w:spacing w:after="0"/>
              <w:ind w:right="35"/>
              <w:jc w:val="right"/>
              <w:rPr>
                <w:rFonts w:cs="Arial"/>
                <w:szCs w:val="20"/>
              </w:rPr>
            </w:pPr>
            <w:r>
              <w:rPr>
                <w:rFonts w:cs="Arial"/>
                <w:szCs w:val="20"/>
              </w:rPr>
              <w:t>$13,109,173</w:t>
            </w:r>
          </w:p>
        </w:tc>
      </w:tr>
      <w:tr w:rsidR="00E0161E" w:rsidRPr="000D6F80" w14:paraId="47D62653" w14:textId="77777777" w:rsidTr="00DC78B0">
        <w:trPr>
          <w:cantSplit/>
          <w:trHeight w:val="157"/>
          <w:tblHeader/>
        </w:trPr>
        <w:tc>
          <w:tcPr>
            <w:tcW w:w="982" w:type="pct"/>
            <w:vAlign w:val="center"/>
          </w:tcPr>
          <w:p w14:paraId="76B3A773" w14:textId="77777777" w:rsidR="00E0161E" w:rsidRPr="000D6F80" w:rsidRDefault="00E0161E" w:rsidP="00DC78B0">
            <w:pPr>
              <w:spacing w:after="0"/>
              <w:rPr>
                <w:rFonts w:cs="Arial"/>
                <w:szCs w:val="20"/>
              </w:rPr>
            </w:pPr>
            <w:r w:rsidRPr="000D6F80">
              <w:rPr>
                <w:rFonts w:cs="Arial"/>
                <w:szCs w:val="20"/>
              </w:rPr>
              <w:t>15(1)(c)</w:t>
            </w:r>
          </w:p>
        </w:tc>
        <w:tc>
          <w:tcPr>
            <w:tcW w:w="2812" w:type="pct"/>
            <w:vAlign w:val="center"/>
          </w:tcPr>
          <w:p w14:paraId="652BDFD2" w14:textId="77777777" w:rsidR="00E0161E" w:rsidRPr="000D6F80" w:rsidRDefault="00E0161E" w:rsidP="00DC78B0">
            <w:pPr>
              <w:spacing w:after="0"/>
              <w:ind w:right="-142"/>
              <w:rPr>
                <w:rFonts w:cs="Arial"/>
                <w:szCs w:val="20"/>
              </w:rPr>
            </w:pPr>
            <w:r w:rsidRPr="000D6F80">
              <w:rPr>
                <w:rFonts w:cs="Arial"/>
                <w:szCs w:val="20"/>
              </w:rPr>
              <w:t>ITU contribution</w:t>
            </w:r>
          </w:p>
        </w:tc>
        <w:tc>
          <w:tcPr>
            <w:tcW w:w="1206" w:type="pct"/>
            <w:vAlign w:val="center"/>
          </w:tcPr>
          <w:p w14:paraId="5F36793E" w14:textId="77777777" w:rsidR="00E0161E" w:rsidRDefault="00E0161E" w:rsidP="00DC78B0">
            <w:pPr>
              <w:spacing w:after="0"/>
              <w:ind w:right="35"/>
              <w:jc w:val="right"/>
              <w:rPr>
                <w:rFonts w:cs="Arial"/>
                <w:szCs w:val="20"/>
              </w:rPr>
            </w:pPr>
            <w:r>
              <w:rPr>
                <w:rFonts w:cs="Arial"/>
                <w:szCs w:val="20"/>
              </w:rPr>
              <w:t>$2,003,511</w:t>
            </w:r>
          </w:p>
        </w:tc>
      </w:tr>
      <w:tr w:rsidR="00E0161E" w:rsidRPr="000D6F80" w14:paraId="772AB933" w14:textId="77777777" w:rsidTr="00DC78B0">
        <w:trPr>
          <w:cantSplit/>
          <w:trHeight w:val="63"/>
          <w:tblHeader/>
        </w:trPr>
        <w:tc>
          <w:tcPr>
            <w:tcW w:w="982" w:type="pct"/>
            <w:vAlign w:val="center"/>
          </w:tcPr>
          <w:p w14:paraId="7D892015" w14:textId="77777777" w:rsidR="00E0161E" w:rsidRPr="000D6F80" w:rsidRDefault="00E0161E" w:rsidP="00DC78B0">
            <w:pPr>
              <w:spacing w:after="0"/>
              <w:rPr>
                <w:rFonts w:cs="Arial"/>
                <w:szCs w:val="20"/>
              </w:rPr>
            </w:pPr>
            <w:r w:rsidRPr="000D6F80">
              <w:rPr>
                <w:rFonts w:cs="Arial"/>
                <w:szCs w:val="20"/>
              </w:rPr>
              <w:t>15(1)(ca)</w:t>
            </w:r>
          </w:p>
        </w:tc>
        <w:tc>
          <w:tcPr>
            <w:tcW w:w="2812" w:type="pct"/>
            <w:vAlign w:val="center"/>
          </w:tcPr>
          <w:p w14:paraId="10A0AEFB" w14:textId="77777777" w:rsidR="00E0161E" w:rsidRPr="000D6F80" w:rsidRDefault="00E0161E" w:rsidP="00DC78B0">
            <w:pPr>
              <w:spacing w:after="0"/>
              <w:ind w:right="-142"/>
              <w:rPr>
                <w:rFonts w:cs="Arial"/>
                <w:szCs w:val="20"/>
              </w:rPr>
            </w:pPr>
            <w:r w:rsidRPr="000D6F80">
              <w:rPr>
                <w:rFonts w:cs="Arial"/>
                <w:szCs w:val="20"/>
              </w:rPr>
              <w:t xml:space="preserve">Development </w:t>
            </w:r>
            <w:r>
              <w:rPr>
                <w:rFonts w:cs="Arial"/>
                <w:szCs w:val="20"/>
              </w:rPr>
              <w:t xml:space="preserve">or variation </w:t>
            </w:r>
            <w:r w:rsidRPr="000D6F80">
              <w:rPr>
                <w:rFonts w:cs="Arial"/>
                <w:szCs w:val="20"/>
              </w:rPr>
              <w:t xml:space="preserve">of consumer protection related industry codes </w:t>
            </w:r>
          </w:p>
        </w:tc>
        <w:tc>
          <w:tcPr>
            <w:tcW w:w="1206" w:type="pct"/>
            <w:vAlign w:val="center"/>
          </w:tcPr>
          <w:p w14:paraId="7F6595A4" w14:textId="77777777" w:rsidR="00E0161E" w:rsidRDefault="00E0161E" w:rsidP="00DC78B0">
            <w:pPr>
              <w:spacing w:after="0"/>
              <w:ind w:right="35"/>
              <w:jc w:val="right"/>
              <w:rPr>
                <w:rFonts w:cs="Arial"/>
                <w:szCs w:val="20"/>
              </w:rPr>
            </w:pPr>
            <w:r>
              <w:rPr>
                <w:rFonts w:cs="Arial"/>
                <w:szCs w:val="20"/>
              </w:rPr>
              <w:t>0</w:t>
            </w:r>
          </w:p>
        </w:tc>
      </w:tr>
      <w:tr w:rsidR="00E0161E" w:rsidRPr="000D6F80" w14:paraId="51DF0B0C" w14:textId="77777777" w:rsidTr="00DC78B0">
        <w:trPr>
          <w:cantSplit/>
          <w:trHeight w:val="25"/>
          <w:tblHeader/>
        </w:trPr>
        <w:tc>
          <w:tcPr>
            <w:tcW w:w="982" w:type="pct"/>
            <w:vAlign w:val="center"/>
          </w:tcPr>
          <w:p w14:paraId="3D0FC6D9" w14:textId="77777777" w:rsidR="00E0161E" w:rsidRPr="000D6F80" w:rsidRDefault="00E0161E" w:rsidP="00DC78B0">
            <w:pPr>
              <w:spacing w:after="0"/>
              <w:rPr>
                <w:rFonts w:cs="Arial"/>
                <w:szCs w:val="20"/>
              </w:rPr>
            </w:pPr>
            <w:r w:rsidRPr="000D6F80">
              <w:rPr>
                <w:rFonts w:cs="Arial"/>
                <w:szCs w:val="20"/>
              </w:rPr>
              <w:t>15(1)(d)</w:t>
            </w:r>
          </w:p>
        </w:tc>
        <w:tc>
          <w:tcPr>
            <w:tcW w:w="2812" w:type="pct"/>
            <w:vAlign w:val="center"/>
          </w:tcPr>
          <w:p w14:paraId="214C4D46" w14:textId="77777777" w:rsidR="00E0161E" w:rsidRPr="000D6F80" w:rsidRDefault="00E0161E" w:rsidP="00DC78B0">
            <w:pPr>
              <w:spacing w:after="0"/>
              <w:ind w:right="-142"/>
              <w:rPr>
                <w:rFonts w:cs="Arial"/>
                <w:szCs w:val="20"/>
              </w:rPr>
            </w:pPr>
            <w:r w:rsidRPr="000D6F80">
              <w:rPr>
                <w:rFonts w:cs="Arial"/>
                <w:szCs w:val="20"/>
              </w:rPr>
              <w:t xml:space="preserve">Government </w:t>
            </w:r>
            <w:r>
              <w:rPr>
                <w:rFonts w:cs="Arial"/>
                <w:szCs w:val="20"/>
              </w:rPr>
              <w:t>g</w:t>
            </w:r>
            <w:r w:rsidRPr="000D6F80">
              <w:rPr>
                <w:rFonts w:cs="Arial"/>
                <w:szCs w:val="20"/>
              </w:rPr>
              <w:t>rants</w:t>
            </w:r>
            <w:r w:rsidRPr="00120B54">
              <w:rPr>
                <w:rFonts w:cs="Arial"/>
                <w:szCs w:val="20"/>
              </w:rPr>
              <w:t>—consumer representation and research</w:t>
            </w:r>
          </w:p>
        </w:tc>
        <w:tc>
          <w:tcPr>
            <w:tcW w:w="1206" w:type="pct"/>
            <w:vAlign w:val="center"/>
          </w:tcPr>
          <w:p w14:paraId="073D3320" w14:textId="77777777" w:rsidR="00E0161E" w:rsidRDefault="00E0161E" w:rsidP="00DC78B0">
            <w:pPr>
              <w:spacing w:after="0"/>
              <w:ind w:right="35"/>
              <w:jc w:val="right"/>
              <w:rPr>
                <w:rFonts w:cs="Arial"/>
                <w:szCs w:val="20"/>
              </w:rPr>
            </w:pPr>
            <w:r>
              <w:rPr>
                <w:rFonts w:cs="Arial"/>
                <w:szCs w:val="20"/>
              </w:rPr>
              <w:t>$2,261,000</w:t>
            </w:r>
          </w:p>
        </w:tc>
      </w:tr>
      <w:tr w:rsidR="00E0161E" w:rsidRPr="000D6F80" w14:paraId="45675791" w14:textId="77777777" w:rsidTr="00DC78B0">
        <w:trPr>
          <w:cantSplit/>
          <w:trHeight w:val="25"/>
          <w:tblHeader/>
        </w:trPr>
        <w:tc>
          <w:tcPr>
            <w:tcW w:w="3794" w:type="pct"/>
            <w:gridSpan w:val="2"/>
            <w:shd w:val="clear" w:color="auto" w:fill="D9D9D9" w:themeFill="background1" w:themeFillShade="D9"/>
            <w:vAlign w:val="center"/>
          </w:tcPr>
          <w:p w14:paraId="74B79C94" w14:textId="77777777" w:rsidR="00E0161E" w:rsidRPr="000D6F80" w:rsidRDefault="00E0161E" w:rsidP="00DC78B0">
            <w:pPr>
              <w:spacing w:after="0"/>
              <w:ind w:right="-142"/>
              <w:rPr>
                <w:rFonts w:cs="Arial"/>
                <w:b/>
                <w:szCs w:val="20"/>
              </w:rPr>
            </w:pPr>
            <w:r w:rsidRPr="000D6F80">
              <w:rPr>
                <w:rFonts w:cs="Arial"/>
                <w:b/>
                <w:szCs w:val="20"/>
              </w:rPr>
              <w:t>Total</w:t>
            </w:r>
          </w:p>
        </w:tc>
        <w:tc>
          <w:tcPr>
            <w:tcW w:w="1206" w:type="pct"/>
            <w:shd w:val="clear" w:color="auto" w:fill="D9D9D9" w:themeFill="background1" w:themeFillShade="D9"/>
            <w:vAlign w:val="center"/>
          </w:tcPr>
          <w:p w14:paraId="42FED612" w14:textId="77777777" w:rsidR="00E0161E" w:rsidRDefault="00E0161E" w:rsidP="00DC78B0">
            <w:pPr>
              <w:spacing w:after="0"/>
              <w:ind w:right="35"/>
              <w:jc w:val="right"/>
              <w:rPr>
                <w:rFonts w:cs="Arial"/>
                <w:b/>
                <w:szCs w:val="20"/>
              </w:rPr>
            </w:pPr>
            <w:r>
              <w:rPr>
                <w:rFonts w:cs="Arial"/>
                <w:b/>
                <w:szCs w:val="20"/>
              </w:rPr>
              <w:t>$31,677,703</w:t>
            </w:r>
          </w:p>
        </w:tc>
      </w:tr>
    </w:tbl>
    <w:p w14:paraId="12F70F7E" w14:textId="77777777" w:rsidR="00E0161E" w:rsidRDefault="00E0161E" w:rsidP="00FA02BF">
      <w:pPr>
        <w:pStyle w:val="ACMATableHeader"/>
        <w:numPr>
          <w:ilvl w:val="0"/>
          <w:numId w:val="0"/>
        </w:numPr>
      </w:pPr>
    </w:p>
    <w:p w14:paraId="2B1A087A" w14:textId="5BC6720A" w:rsidR="00E0161E" w:rsidRPr="00EC32FD" w:rsidRDefault="00E0161E" w:rsidP="00FA02BF">
      <w:pPr>
        <w:pStyle w:val="ACMATableHeader"/>
        <w:numPr>
          <w:ilvl w:val="0"/>
          <w:numId w:val="0"/>
        </w:numPr>
        <w:rPr>
          <w:b w:val="0"/>
        </w:rPr>
      </w:pPr>
      <w:r w:rsidRPr="00EC32FD">
        <w:rPr>
          <w:b w:val="0"/>
        </w:rPr>
        <w:t xml:space="preserve">The ACLC amounts payable by carrier licensees for the period 1 July 2017 to 30 June 2018 are set out in Attachment </w:t>
      </w:r>
      <w:r w:rsidR="00673DB9" w:rsidRPr="00EC32FD">
        <w:rPr>
          <w:b w:val="0"/>
        </w:rPr>
        <w:t xml:space="preserve">C </w:t>
      </w:r>
      <w:r w:rsidRPr="00EC32FD">
        <w:rPr>
          <w:b w:val="0"/>
        </w:rPr>
        <w:t>with relevant calculations.</w:t>
      </w:r>
    </w:p>
    <w:p w14:paraId="5AC65575" w14:textId="77777777" w:rsidR="00E0161E" w:rsidRPr="006A56FD" w:rsidRDefault="00E0161E" w:rsidP="00FA02BF">
      <w:pPr>
        <w:pStyle w:val="ACMATableHeader"/>
        <w:numPr>
          <w:ilvl w:val="0"/>
          <w:numId w:val="0"/>
        </w:numPr>
      </w:pPr>
    </w:p>
    <w:p w14:paraId="0B38ED5B" w14:textId="4BA6807C" w:rsidR="009E783D" w:rsidRDefault="009E783D" w:rsidP="009E783D">
      <w:pPr>
        <w:pStyle w:val="Heading1"/>
      </w:pPr>
      <w:bookmarkStart w:id="100" w:name="_Toc355953993"/>
      <w:bookmarkStart w:id="101" w:name="_Toc385256321"/>
      <w:bookmarkStart w:id="102" w:name="_Toc417990962"/>
      <w:bookmarkStart w:id="103" w:name="_Toc511634404"/>
      <w:bookmarkStart w:id="104" w:name="_Toc532543411"/>
      <w:r w:rsidRPr="00CC3F4B">
        <w:t xml:space="preserve">4. </w:t>
      </w:r>
      <w:r w:rsidRPr="00CC3F4B">
        <w:tab/>
      </w:r>
      <w:bookmarkEnd w:id="100"/>
      <w:bookmarkEnd w:id="101"/>
      <w:r>
        <w:t>Risk assessment</w:t>
      </w:r>
      <w:bookmarkEnd w:id="102"/>
      <w:bookmarkEnd w:id="103"/>
      <w:bookmarkEnd w:id="104"/>
    </w:p>
    <w:p w14:paraId="21F67A53" w14:textId="3806FB8C" w:rsidR="005A5B87" w:rsidRDefault="009E783D" w:rsidP="009E783D">
      <w:pPr>
        <w:autoSpaceDE w:val="0"/>
        <w:autoSpaceDN w:val="0"/>
        <w:adjustRightInd w:val="0"/>
        <w:rPr>
          <w:rFonts w:eastAsia="Calibri" w:cs="Arial"/>
          <w:color w:val="000000"/>
          <w:szCs w:val="20"/>
          <w:lang w:eastAsia="en-US"/>
        </w:rPr>
      </w:pPr>
      <w:r>
        <w:rPr>
          <w:rFonts w:eastAsia="Calibri" w:cs="Arial"/>
          <w:color w:val="000000"/>
          <w:szCs w:val="20"/>
          <w:lang w:eastAsia="en-US"/>
        </w:rPr>
        <w:t>The ACMA has carried out a</w:t>
      </w:r>
      <w:r w:rsidRPr="00AA3240">
        <w:rPr>
          <w:rFonts w:eastAsia="Calibri" w:cs="Arial"/>
          <w:color w:val="000000"/>
          <w:szCs w:val="20"/>
          <w:lang w:eastAsia="en-US"/>
        </w:rPr>
        <w:t xml:space="preserve"> risk assessment for</w:t>
      </w:r>
      <w:r w:rsidR="000D4779">
        <w:rPr>
          <w:rFonts w:eastAsia="Calibri" w:cs="Arial"/>
          <w:color w:val="000000"/>
          <w:szCs w:val="20"/>
          <w:lang w:eastAsia="en-US"/>
        </w:rPr>
        <w:t xml:space="preserve"> each component of the 201</w:t>
      </w:r>
      <w:r w:rsidR="00563560">
        <w:rPr>
          <w:rFonts w:eastAsia="Calibri" w:cs="Arial"/>
          <w:color w:val="000000"/>
          <w:szCs w:val="20"/>
          <w:lang w:eastAsia="en-US"/>
        </w:rPr>
        <w:t>7</w:t>
      </w:r>
      <w:r w:rsidR="004E3361">
        <w:rPr>
          <w:rFonts w:eastAsia="Calibri" w:cs="Arial"/>
          <w:color w:val="000000"/>
          <w:szCs w:val="20"/>
          <w:lang w:eastAsia="en-US"/>
        </w:rPr>
        <w:t>–</w:t>
      </w:r>
      <w:r w:rsidR="000D4779">
        <w:rPr>
          <w:rFonts w:eastAsia="Calibri" w:cs="Arial"/>
          <w:color w:val="000000"/>
          <w:szCs w:val="20"/>
          <w:lang w:eastAsia="en-US"/>
        </w:rPr>
        <w:t>1</w:t>
      </w:r>
      <w:r w:rsidR="00563560">
        <w:rPr>
          <w:rFonts w:eastAsia="Calibri" w:cs="Arial"/>
          <w:color w:val="000000"/>
          <w:szCs w:val="20"/>
          <w:lang w:eastAsia="en-US"/>
        </w:rPr>
        <w:t>8</w:t>
      </w:r>
      <w:r>
        <w:rPr>
          <w:rFonts w:eastAsia="Calibri" w:cs="Arial"/>
          <w:color w:val="000000"/>
          <w:szCs w:val="20"/>
          <w:lang w:eastAsia="en-US"/>
        </w:rPr>
        <w:t xml:space="preserve"> ACLC</w:t>
      </w:r>
      <w:r w:rsidR="004E3361">
        <w:rPr>
          <w:rFonts w:eastAsia="Calibri" w:cs="Arial"/>
          <w:color w:val="000000"/>
          <w:szCs w:val="20"/>
          <w:lang w:eastAsia="en-US"/>
        </w:rPr>
        <w:t>,</w:t>
      </w:r>
      <w:r>
        <w:rPr>
          <w:rFonts w:eastAsia="Calibri" w:cs="Arial"/>
          <w:color w:val="000000"/>
          <w:szCs w:val="20"/>
          <w:lang w:eastAsia="en-US"/>
        </w:rPr>
        <w:t xml:space="preserve"> resulting in an overall rating of medium</w:t>
      </w:r>
      <w:r w:rsidR="000A64FA">
        <w:rPr>
          <w:rFonts w:eastAsia="Calibri" w:cs="Arial"/>
          <w:color w:val="000000"/>
          <w:szCs w:val="20"/>
          <w:lang w:eastAsia="en-US"/>
        </w:rPr>
        <w:t>. T</w:t>
      </w:r>
      <w:r>
        <w:rPr>
          <w:rFonts w:eastAsia="Calibri" w:cs="Arial"/>
          <w:color w:val="000000"/>
          <w:szCs w:val="20"/>
          <w:lang w:eastAsia="en-US"/>
        </w:rPr>
        <w:t xml:space="preserve">he individual </w:t>
      </w:r>
      <w:r w:rsidR="003F7E3A">
        <w:rPr>
          <w:rFonts w:eastAsia="Calibri" w:cs="Arial"/>
          <w:color w:val="000000"/>
          <w:szCs w:val="20"/>
          <w:lang w:eastAsia="en-US"/>
        </w:rPr>
        <w:t>rating</w:t>
      </w:r>
      <w:r w:rsidR="004C3BA8">
        <w:rPr>
          <w:rFonts w:eastAsia="Calibri" w:cs="Arial"/>
          <w:color w:val="000000"/>
          <w:szCs w:val="20"/>
          <w:lang w:eastAsia="en-US"/>
        </w:rPr>
        <w:t>s</w:t>
      </w:r>
      <w:r w:rsidR="003F7E3A">
        <w:rPr>
          <w:rFonts w:eastAsia="Calibri" w:cs="Arial"/>
          <w:color w:val="000000"/>
          <w:szCs w:val="20"/>
          <w:lang w:eastAsia="en-US"/>
        </w:rPr>
        <w:t xml:space="preserve"> for each cost component</w:t>
      </w:r>
      <w:r w:rsidR="000A64FA">
        <w:rPr>
          <w:rFonts w:eastAsia="Calibri" w:cs="Arial"/>
          <w:color w:val="000000"/>
          <w:szCs w:val="20"/>
          <w:lang w:eastAsia="en-US"/>
        </w:rPr>
        <w:t xml:space="preserve"> are shown in Table 12 and are b</w:t>
      </w:r>
      <w:r w:rsidR="000A64FA">
        <w:rPr>
          <w:szCs w:val="20"/>
        </w:rPr>
        <w:t>ased on assessment of the criteria in the Charging Risk Assessment.</w:t>
      </w:r>
      <w:r w:rsidR="000A64FA">
        <w:rPr>
          <w:rStyle w:val="FootnoteReference"/>
          <w:szCs w:val="20"/>
        </w:rPr>
        <w:footnoteReference w:id="15"/>
      </w:r>
      <w:r w:rsidR="005A5B87">
        <w:rPr>
          <w:rFonts w:eastAsia="Calibri" w:cs="Arial"/>
          <w:color w:val="000000"/>
          <w:szCs w:val="20"/>
          <w:lang w:eastAsia="en-US"/>
        </w:rPr>
        <w:t>.</w:t>
      </w:r>
    </w:p>
    <w:p w14:paraId="07BF99D2" w14:textId="77777777" w:rsidR="005A5B87" w:rsidRPr="006A56FD" w:rsidRDefault="00FA02BF" w:rsidP="00FA02BF">
      <w:pPr>
        <w:pStyle w:val="ACMATableHeader"/>
        <w:numPr>
          <w:ilvl w:val="0"/>
          <w:numId w:val="0"/>
        </w:numPr>
        <w:rPr>
          <w:rFonts w:eastAsia="Calibri"/>
        </w:rPr>
      </w:pPr>
      <w:r>
        <w:t>Table 12:</w:t>
      </w:r>
      <w:r>
        <w:tab/>
      </w:r>
      <w:r w:rsidR="005A5B87" w:rsidRPr="006A56FD">
        <w:t>Risk rating</w:t>
      </w:r>
      <w:r w:rsidR="004C3BA8" w:rsidRPr="006A56FD">
        <w:t>s</w:t>
      </w:r>
      <w:r w:rsidR="005A5B87" w:rsidRPr="006A56FD">
        <w:t xml:space="preserve"> for ACLC components</w:t>
      </w:r>
      <w:r w:rsidR="006D46E2">
        <w:t xml:space="preserve"> </w:t>
      </w:r>
    </w:p>
    <w:tbl>
      <w:tblPr>
        <w:tblStyle w:val="TableGrid"/>
        <w:tblW w:w="0" w:type="auto"/>
        <w:tblCellMar>
          <w:top w:w="57" w:type="dxa"/>
          <w:bottom w:w="57" w:type="dxa"/>
        </w:tblCellMar>
        <w:tblLook w:val="04A0" w:firstRow="1" w:lastRow="0" w:firstColumn="1" w:lastColumn="0" w:noHBand="0" w:noVBand="1"/>
        <w:tblCaption w:val="Risk rating for ACLC components"/>
        <w:tblDescription w:val="Includes the reference in the Act, cost component and risk rating."/>
      </w:tblPr>
      <w:tblGrid>
        <w:gridCol w:w="2553"/>
        <w:gridCol w:w="3679"/>
        <w:gridCol w:w="1429"/>
      </w:tblGrid>
      <w:tr w:rsidR="005A5B87" w14:paraId="1A0D755E" w14:textId="77777777" w:rsidTr="00C32914">
        <w:trPr>
          <w:cantSplit/>
          <w:tblHeader/>
        </w:trPr>
        <w:tc>
          <w:tcPr>
            <w:tcW w:w="2553" w:type="dxa"/>
            <w:shd w:val="clear" w:color="auto" w:fill="404040" w:themeFill="text1" w:themeFillTint="BF"/>
          </w:tcPr>
          <w:p w14:paraId="5C7CD4B2" w14:textId="77777777" w:rsidR="005A5B87" w:rsidRPr="00CE6BED" w:rsidRDefault="005A5B87" w:rsidP="00CE6BED">
            <w:pPr>
              <w:pStyle w:val="TableHeading"/>
              <w:rPr>
                <w:rFonts w:eastAsia="Calibri"/>
                <w:color w:val="FFFFFF" w:themeColor="background1"/>
                <w:lang w:eastAsia="en-US"/>
              </w:rPr>
            </w:pPr>
            <w:r w:rsidRPr="00CE6BED">
              <w:rPr>
                <w:color w:val="FFFFFF" w:themeColor="background1"/>
              </w:rPr>
              <w:t>Reference in the Act</w:t>
            </w:r>
          </w:p>
        </w:tc>
        <w:tc>
          <w:tcPr>
            <w:tcW w:w="3679" w:type="dxa"/>
            <w:shd w:val="clear" w:color="auto" w:fill="404040" w:themeFill="text1" w:themeFillTint="BF"/>
          </w:tcPr>
          <w:p w14:paraId="3BF88E7A" w14:textId="77777777" w:rsidR="005A5B87" w:rsidRPr="00CE6BED" w:rsidRDefault="005A5B87" w:rsidP="00CE6BED">
            <w:pPr>
              <w:pStyle w:val="TableHeading"/>
              <w:rPr>
                <w:rFonts w:eastAsia="Calibri"/>
                <w:color w:val="FFFFFF" w:themeColor="background1"/>
                <w:lang w:eastAsia="en-US"/>
              </w:rPr>
            </w:pPr>
            <w:r w:rsidRPr="00CE6BED">
              <w:rPr>
                <w:color w:val="FFFFFF" w:themeColor="background1"/>
              </w:rPr>
              <w:t>Cost component</w:t>
            </w:r>
          </w:p>
        </w:tc>
        <w:tc>
          <w:tcPr>
            <w:tcW w:w="1429" w:type="dxa"/>
            <w:shd w:val="clear" w:color="auto" w:fill="404040" w:themeFill="text1" w:themeFillTint="BF"/>
          </w:tcPr>
          <w:p w14:paraId="497EA1AE" w14:textId="77777777" w:rsidR="005A5B87" w:rsidRPr="00CE6BED" w:rsidRDefault="005A5B87" w:rsidP="00CE6BED">
            <w:pPr>
              <w:pStyle w:val="TableHeading"/>
              <w:rPr>
                <w:rFonts w:eastAsia="Calibri"/>
                <w:color w:val="FFFFFF" w:themeColor="background1"/>
                <w:lang w:eastAsia="en-US"/>
              </w:rPr>
            </w:pPr>
            <w:r w:rsidRPr="00CE6BED">
              <w:rPr>
                <w:color w:val="FFFFFF" w:themeColor="background1"/>
              </w:rPr>
              <w:t>Risk rating</w:t>
            </w:r>
          </w:p>
        </w:tc>
      </w:tr>
      <w:tr w:rsidR="005A5B87" w14:paraId="33F22708" w14:textId="77777777" w:rsidTr="00C32914">
        <w:trPr>
          <w:cantSplit/>
          <w:tblHeader/>
        </w:trPr>
        <w:tc>
          <w:tcPr>
            <w:tcW w:w="2553" w:type="dxa"/>
          </w:tcPr>
          <w:p w14:paraId="115C52DF" w14:textId="77777777" w:rsidR="005A5B87" w:rsidRDefault="005A5B87" w:rsidP="00593B36">
            <w:pPr>
              <w:autoSpaceDE w:val="0"/>
              <w:autoSpaceDN w:val="0"/>
              <w:adjustRightInd w:val="0"/>
              <w:spacing w:after="0"/>
              <w:rPr>
                <w:rFonts w:eastAsia="Calibri" w:cs="Arial"/>
                <w:color w:val="000000"/>
                <w:szCs w:val="20"/>
                <w:lang w:eastAsia="en-US"/>
              </w:rPr>
            </w:pPr>
            <w:r w:rsidRPr="000D6F80">
              <w:rPr>
                <w:rFonts w:cs="Arial"/>
                <w:szCs w:val="20"/>
              </w:rPr>
              <w:t>15(1)(a)</w:t>
            </w:r>
          </w:p>
        </w:tc>
        <w:tc>
          <w:tcPr>
            <w:tcW w:w="3679" w:type="dxa"/>
          </w:tcPr>
          <w:p w14:paraId="1DE3DF93" w14:textId="77777777" w:rsidR="005A5B87" w:rsidRDefault="005A5B87" w:rsidP="00593B36">
            <w:pPr>
              <w:autoSpaceDE w:val="0"/>
              <w:autoSpaceDN w:val="0"/>
              <w:adjustRightInd w:val="0"/>
              <w:spacing w:after="0"/>
              <w:rPr>
                <w:rFonts w:eastAsia="Calibri" w:cs="Arial"/>
                <w:color w:val="000000"/>
                <w:szCs w:val="20"/>
                <w:lang w:eastAsia="en-US"/>
              </w:rPr>
            </w:pPr>
            <w:r w:rsidRPr="000D6F80">
              <w:rPr>
                <w:rFonts w:cs="Arial"/>
                <w:szCs w:val="20"/>
              </w:rPr>
              <w:t>ACMA’s cost component</w:t>
            </w:r>
          </w:p>
        </w:tc>
        <w:tc>
          <w:tcPr>
            <w:tcW w:w="1429" w:type="dxa"/>
          </w:tcPr>
          <w:p w14:paraId="4A04C479" w14:textId="77777777" w:rsidR="005A5B87" w:rsidRDefault="005A5B87" w:rsidP="00593B36">
            <w:pPr>
              <w:autoSpaceDE w:val="0"/>
              <w:autoSpaceDN w:val="0"/>
              <w:adjustRightInd w:val="0"/>
              <w:spacing w:after="0"/>
              <w:rPr>
                <w:rFonts w:eastAsia="Calibri" w:cs="Arial"/>
                <w:color w:val="000000"/>
                <w:szCs w:val="20"/>
                <w:lang w:eastAsia="en-US"/>
              </w:rPr>
            </w:pPr>
            <w:r>
              <w:rPr>
                <w:rFonts w:cs="Arial"/>
                <w:szCs w:val="20"/>
              </w:rPr>
              <w:t>Medium</w:t>
            </w:r>
          </w:p>
        </w:tc>
      </w:tr>
      <w:tr w:rsidR="005A5B87" w14:paraId="7245FA12" w14:textId="77777777" w:rsidTr="00C32914">
        <w:trPr>
          <w:cantSplit/>
          <w:tblHeader/>
        </w:trPr>
        <w:tc>
          <w:tcPr>
            <w:tcW w:w="2553" w:type="dxa"/>
          </w:tcPr>
          <w:p w14:paraId="6BD025E9" w14:textId="77777777" w:rsidR="005A5B87" w:rsidRDefault="005A5B87" w:rsidP="00593B36">
            <w:pPr>
              <w:autoSpaceDE w:val="0"/>
              <w:autoSpaceDN w:val="0"/>
              <w:adjustRightInd w:val="0"/>
              <w:spacing w:after="0"/>
              <w:rPr>
                <w:rFonts w:eastAsia="Calibri" w:cs="Arial"/>
                <w:color w:val="000000"/>
                <w:szCs w:val="20"/>
                <w:lang w:eastAsia="en-US"/>
              </w:rPr>
            </w:pPr>
            <w:r w:rsidRPr="000D6F80">
              <w:rPr>
                <w:rFonts w:cs="Arial"/>
                <w:szCs w:val="20"/>
              </w:rPr>
              <w:t>15(1)(b)</w:t>
            </w:r>
          </w:p>
        </w:tc>
        <w:tc>
          <w:tcPr>
            <w:tcW w:w="3679" w:type="dxa"/>
          </w:tcPr>
          <w:p w14:paraId="2B4B4AD7" w14:textId="77777777" w:rsidR="005A5B87" w:rsidRDefault="005A5B87" w:rsidP="00593B36">
            <w:pPr>
              <w:autoSpaceDE w:val="0"/>
              <w:autoSpaceDN w:val="0"/>
              <w:adjustRightInd w:val="0"/>
              <w:spacing w:after="0"/>
              <w:rPr>
                <w:rFonts w:eastAsia="Calibri" w:cs="Arial"/>
                <w:color w:val="000000"/>
                <w:szCs w:val="20"/>
                <w:lang w:eastAsia="en-US"/>
              </w:rPr>
            </w:pPr>
            <w:r w:rsidRPr="000D6F80">
              <w:rPr>
                <w:rFonts w:cs="Arial"/>
                <w:szCs w:val="20"/>
              </w:rPr>
              <w:t>ACCC’s cost component</w:t>
            </w:r>
          </w:p>
        </w:tc>
        <w:tc>
          <w:tcPr>
            <w:tcW w:w="1429" w:type="dxa"/>
          </w:tcPr>
          <w:p w14:paraId="0282E2DD" w14:textId="77777777" w:rsidR="005A5B87" w:rsidRDefault="005A5B87" w:rsidP="00593B36">
            <w:pPr>
              <w:autoSpaceDE w:val="0"/>
              <w:autoSpaceDN w:val="0"/>
              <w:adjustRightInd w:val="0"/>
              <w:spacing w:after="0"/>
              <w:rPr>
                <w:rFonts w:eastAsia="Calibri" w:cs="Arial"/>
                <w:color w:val="000000"/>
                <w:szCs w:val="20"/>
                <w:lang w:eastAsia="en-US"/>
              </w:rPr>
            </w:pPr>
            <w:r>
              <w:rPr>
                <w:rFonts w:cs="Arial"/>
                <w:szCs w:val="20"/>
              </w:rPr>
              <w:t>Medium</w:t>
            </w:r>
          </w:p>
        </w:tc>
      </w:tr>
      <w:tr w:rsidR="005A5B87" w14:paraId="5F96F54F" w14:textId="77777777" w:rsidTr="00C32914">
        <w:trPr>
          <w:cantSplit/>
          <w:tblHeader/>
        </w:trPr>
        <w:tc>
          <w:tcPr>
            <w:tcW w:w="2553" w:type="dxa"/>
          </w:tcPr>
          <w:p w14:paraId="019770D1" w14:textId="77777777" w:rsidR="005A5B87" w:rsidRDefault="005A5B87" w:rsidP="00593B36">
            <w:pPr>
              <w:autoSpaceDE w:val="0"/>
              <w:autoSpaceDN w:val="0"/>
              <w:adjustRightInd w:val="0"/>
              <w:spacing w:after="0"/>
              <w:rPr>
                <w:rFonts w:eastAsia="Calibri" w:cs="Arial"/>
                <w:color w:val="000000"/>
                <w:szCs w:val="20"/>
                <w:lang w:eastAsia="en-US"/>
              </w:rPr>
            </w:pPr>
            <w:r w:rsidRPr="000D6F80">
              <w:rPr>
                <w:rFonts w:cs="Arial"/>
                <w:szCs w:val="20"/>
              </w:rPr>
              <w:t>15(1)(c)</w:t>
            </w:r>
          </w:p>
        </w:tc>
        <w:tc>
          <w:tcPr>
            <w:tcW w:w="3679" w:type="dxa"/>
          </w:tcPr>
          <w:p w14:paraId="29CFB81A" w14:textId="77777777" w:rsidR="005A5B87" w:rsidRDefault="005A5B87" w:rsidP="00593B36">
            <w:pPr>
              <w:autoSpaceDE w:val="0"/>
              <w:autoSpaceDN w:val="0"/>
              <w:adjustRightInd w:val="0"/>
              <w:spacing w:after="0"/>
              <w:rPr>
                <w:rFonts w:eastAsia="Calibri" w:cs="Arial"/>
                <w:color w:val="000000"/>
                <w:szCs w:val="20"/>
                <w:lang w:eastAsia="en-US"/>
              </w:rPr>
            </w:pPr>
            <w:r w:rsidRPr="000D6F80">
              <w:rPr>
                <w:rFonts w:cs="Arial"/>
                <w:szCs w:val="20"/>
              </w:rPr>
              <w:t>ITU contribution</w:t>
            </w:r>
          </w:p>
        </w:tc>
        <w:tc>
          <w:tcPr>
            <w:tcW w:w="1429" w:type="dxa"/>
          </w:tcPr>
          <w:p w14:paraId="20D67D70" w14:textId="77777777" w:rsidR="005A5B87" w:rsidRDefault="005A5B87" w:rsidP="00593B36">
            <w:pPr>
              <w:autoSpaceDE w:val="0"/>
              <w:autoSpaceDN w:val="0"/>
              <w:adjustRightInd w:val="0"/>
              <w:spacing w:after="0"/>
              <w:rPr>
                <w:rFonts w:eastAsia="Calibri" w:cs="Arial"/>
                <w:color w:val="000000"/>
                <w:szCs w:val="20"/>
                <w:lang w:eastAsia="en-US"/>
              </w:rPr>
            </w:pPr>
            <w:r>
              <w:rPr>
                <w:rFonts w:cs="Arial"/>
                <w:szCs w:val="20"/>
              </w:rPr>
              <w:t>Medium</w:t>
            </w:r>
          </w:p>
        </w:tc>
      </w:tr>
      <w:tr w:rsidR="005A5B87" w14:paraId="683B6322" w14:textId="77777777" w:rsidTr="00C32914">
        <w:trPr>
          <w:cantSplit/>
          <w:tblHeader/>
        </w:trPr>
        <w:tc>
          <w:tcPr>
            <w:tcW w:w="2553" w:type="dxa"/>
          </w:tcPr>
          <w:p w14:paraId="3D4DC20F" w14:textId="77777777" w:rsidR="005A5B87" w:rsidRDefault="005A5B87" w:rsidP="00593B36">
            <w:pPr>
              <w:autoSpaceDE w:val="0"/>
              <w:autoSpaceDN w:val="0"/>
              <w:adjustRightInd w:val="0"/>
              <w:spacing w:after="0"/>
              <w:rPr>
                <w:rFonts w:eastAsia="Calibri" w:cs="Arial"/>
                <w:color w:val="000000"/>
                <w:szCs w:val="20"/>
                <w:lang w:eastAsia="en-US"/>
              </w:rPr>
            </w:pPr>
            <w:r w:rsidRPr="000D6F80">
              <w:rPr>
                <w:rFonts w:cs="Arial"/>
                <w:szCs w:val="20"/>
              </w:rPr>
              <w:t>15(1)(ca)</w:t>
            </w:r>
          </w:p>
        </w:tc>
        <w:tc>
          <w:tcPr>
            <w:tcW w:w="3679" w:type="dxa"/>
          </w:tcPr>
          <w:p w14:paraId="6B1AA040" w14:textId="77777777" w:rsidR="005A5B87" w:rsidRDefault="005A5B87" w:rsidP="00593B36">
            <w:pPr>
              <w:autoSpaceDE w:val="0"/>
              <w:autoSpaceDN w:val="0"/>
              <w:adjustRightInd w:val="0"/>
              <w:spacing w:after="0"/>
              <w:rPr>
                <w:rFonts w:eastAsia="Calibri" w:cs="Arial"/>
                <w:color w:val="000000"/>
                <w:szCs w:val="20"/>
                <w:lang w:eastAsia="en-US"/>
              </w:rPr>
            </w:pPr>
            <w:r w:rsidRPr="000D6F80">
              <w:rPr>
                <w:rFonts w:cs="Arial"/>
                <w:szCs w:val="20"/>
              </w:rPr>
              <w:t xml:space="preserve">Development </w:t>
            </w:r>
            <w:r w:rsidR="00C37EAD">
              <w:rPr>
                <w:rFonts w:cs="Arial"/>
                <w:szCs w:val="20"/>
              </w:rPr>
              <w:t xml:space="preserve">or variation </w:t>
            </w:r>
            <w:r w:rsidRPr="000D6F80">
              <w:rPr>
                <w:rFonts w:cs="Arial"/>
                <w:szCs w:val="20"/>
              </w:rPr>
              <w:t xml:space="preserve">of consumer protection related industry codes </w:t>
            </w:r>
          </w:p>
        </w:tc>
        <w:tc>
          <w:tcPr>
            <w:tcW w:w="1429" w:type="dxa"/>
          </w:tcPr>
          <w:p w14:paraId="7782992E" w14:textId="77777777" w:rsidR="005A5B87" w:rsidRDefault="005A30CB" w:rsidP="00593B36">
            <w:pPr>
              <w:autoSpaceDE w:val="0"/>
              <w:autoSpaceDN w:val="0"/>
              <w:adjustRightInd w:val="0"/>
              <w:spacing w:after="0"/>
              <w:rPr>
                <w:rFonts w:eastAsia="Calibri" w:cs="Arial"/>
                <w:color w:val="000000"/>
                <w:szCs w:val="20"/>
                <w:lang w:eastAsia="en-US"/>
              </w:rPr>
            </w:pPr>
            <w:r>
              <w:rPr>
                <w:rFonts w:cs="Arial"/>
                <w:szCs w:val="20"/>
              </w:rPr>
              <w:t>Low</w:t>
            </w:r>
          </w:p>
        </w:tc>
      </w:tr>
      <w:tr w:rsidR="005A5B87" w14:paraId="6D7C8CC3" w14:textId="77777777" w:rsidTr="00C32914">
        <w:trPr>
          <w:cantSplit/>
          <w:tblHeader/>
        </w:trPr>
        <w:tc>
          <w:tcPr>
            <w:tcW w:w="2553" w:type="dxa"/>
          </w:tcPr>
          <w:p w14:paraId="4956FF12" w14:textId="77777777" w:rsidR="005A5B87" w:rsidRDefault="005A5B87" w:rsidP="00593B36">
            <w:pPr>
              <w:autoSpaceDE w:val="0"/>
              <w:autoSpaceDN w:val="0"/>
              <w:adjustRightInd w:val="0"/>
              <w:spacing w:after="0"/>
              <w:rPr>
                <w:rFonts w:eastAsia="Calibri" w:cs="Arial"/>
                <w:color w:val="000000"/>
                <w:szCs w:val="20"/>
                <w:lang w:eastAsia="en-US"/>
              </w:rPr>
            </w:pPr>
            <w:r w:rsidRPr="000D6F80">
              <w:rPr>
                <w:rFonts w:cs="Arial"/>
                <w:szCs w:val="20"/>
              </w:rPr>
              <w:t>15(1)(d)</w:t>
            </w:r>
          </w:p>
        </w:tc>
        <w:tc>
          <w:tcPr>
            <w:tcW w:w="3679" w:type="dxa"/>
          </w:tcPr>
          <w:p w14:paraId="298428B6" w14:textId="77777777" w:rsidR="005A5B87" w:rsidRDefault="005A5B87" w:rsidP="00593B36">
            <w:pPr>
              <w:autoSpaceDE w:val="0"/>
              <w:autoSpaceDN w:val="0"/>
              <w:adjustRightInd w:val="0"/>
              <w:spacing w:after="0"/>
              <w:rPr>
                <w:rFonts w:eastAsia="Calibri" w:cs="Arial"/>
                <w:color w:val="000000"/>
                <w:szCs w:val="20"/>
                <w:lang w:eastAsia="en-US"/>
              </w:rPr>
            </w:pPr>
            <w:r w:rsidRPr="000D6F80">
              <w:rPr>
                <w:rFonts w:cs="Arial"/>
                <w:szCs w:val="20"/>
              </w:rPr>
              <w:t xml:space="preserve">Government </w:t>
            </w:r>
            <w:r w:rsidR="004E3361">
              <w:rPr>
                <w:rFonts w:cs="Arial"/>
                <w:szCs w:val="20"/>
              </w:rPr>
              <w:t>g</w:t>
            </w:r>
            <w:r w:rsidRPr="000D6F80">
              <w:rPr>
                <w:rFonts w:cs="Arial"/>
                <w:szCs w:val="20"/>
              </w:rPr>
              <w:t>rants</w:t>
            </w:r>
            <w:r>
              <w:rPr>
                <w:rFonts w:cs="Arial"/>
                <w:szCs w:val="20"/>
              </w:rPr>
              <w:t>—</w:t>
            </w:r>
            <w:r w:rsidR="00136A92" w:rsidRPr="00120B54">
              <w:rPr>
                <w:rFonts w:cs="Arial"/>
                <w:szCs w:val="20"/>
              </w:rPr>
              <w:t>c</w:t>
            </w:r>
            <w:r w:rsidRPr="00120B54">
              <w:rPr>
                <w:rFonts w:cs="Arial"/>
                <w:szCs w:val="20"/>
              </w:rPr>
              <w:t xml:space="preserve">onsumer </w:t>
            </w:r>
            <w:r w:rsidR="00136A92" w:rsidRPr="00120B54">
              <w:rPr>
                <w:rFonts w:cs="Arial"/>
                <w:szCs w:val="20"/>
              </w:rPr>
              <w:t>r</w:t>
            </w:r>
            <w:r w:rsidRPr="00120B54">
              <w:rPr>
                <w:rFonts w:cs="Arial"/>
                <w:szCs w:val="20"/>
              </w:rPr>
              <w:t xml:space="preserve">epresentation and </w:t>
            </w:r>
            <w:r w:rsidR="00136A92" w:rsidRPr="00120B54">
              <w:rPr>
                <w:rFonts w:cs="Arial"/>
                <w:szCs w:val="20"/>
              </w:rPr>
              <w:t>r</w:t>
            </w:r>
            <w:r w:rsidRPr="00120B54">
              <w:rPr>
                <w:rFonts w:cs="Arial"/>
                <w:szCs w:val="20"/>
              </w:rPr>
              <w:t>esearch</w:t>
            </w:r>
          </w:p>
        </w:tc>
        <w:tc>
          <w:tcPr>
            <w:tcW w:w="1429" w:type="dxa"/>
          </w:tcPr>
          <w:p w14:paraId="4E1A996B" w14:textId="77777777" w:rsidR="005A5B87" w:rsidRDefault="00EA11C4" w:rsidP="00593B36">
            <w:pPr>
              <w:autoSpaceDE w:val="0"/>
              <w:autoSpaceDN w:val="0"/>
              <w:adjustRightInd w:val="0"/>
              <w:spacing w:after="0"/>
              <w:rPr>
                <w:rFonts w:eastAsia="Calibri" w:cs="Arial"/>
                <w:color w:val="000000"/>
                <w:szCs w:val="20"/>
                <w:lang w:eastAsia="en-US"/>
              </w:rPr>
            </w:pPr>
            <w:r>
              <w:rPr>
                <w:rFonts w:cs="Arial"/>
                <w:szCs w:val="20"/>
              </w:rPr>
              <w:t>Low</w:t>
            </w:r>
          </w:p>
        </w:tc>
      </w:tr>
      <w:tr w:rsidR="005A5B87" w14:paraId="08EAAB02" w14:textId="77777777" w:rsidTr="00C32914">
        <w:trPr>
          <w:cantSplit/>
          <w:tblHeader/>
        </w:trPr>
        <w:tc>
          <w:tcPr>
            <w:tcW w:w="6232" w:type="dxa"/>
            <w:gridSpan w:val="2"/>
            <w:shd w:val="clear" w:color="auto" w:fill="D9D9D9" w:themeFill="background1" w:themeFillShade="D9"/>
          </w:tcPr>
          <w:p w14:paraId="5E310E72" w14:textId="77777777" w:rsidR="005A5B87" w:rsidRDefault="005A5B87" w:rsidP="00593B36">
            <w:pPr>
              <w:autoSpaceDE w:val="0"/>
              <w:autoSpaceDN w:val="0"/>
              <w:adjustRightInd w:val="0"/>
              <w:spacing w:after="0"/>
              <w:rPr>
                <w:rFonts w:eastAsia="Calibri" w:cs="Arial"/>
                <w:color w:val="000000"/>
                <w:szCs w:val="20"/>
                <w:lang w:eastAsia="en-US"/>
              </w:rPr>
            </w:pPr>
            <w:r>
              <w:rPr>
                <w:rFonts w:cs="Arial"/>
                <w:b/>
                <w:szCs w:val="20"/>
              </w:rPr>
              <w:t>Overall rating</w:t>
            </w:r>
          </w:p>
        </w:tc>
        <w:tc>
          <w:tcPr>
            <w:tcW w:w="1429" w:type="dxa"/>
            <w:shd w:val="clear" w:color="auto" w:fill="D9D9D9" w:themeFill="background1" w:themeFillShade="D9"/>
          </w:tcPr>
          <w:p w14:paraId="1B042420" w14:textId="77777777" w:rsidR="005A5B87" w:rsidRPr="00593B36" w:rsidRDefault="005A5B87" w:rsidP="00593B36">
            <w:pPr>
              <w:autoSpaceDE w:val="0"/>
              <w:autoSpaceDN w:val="0"/>
              <w:adjustRightInd w:val="0"/>
              <w:spacing w:after="0"/>
              <w:rPr>
                <w:rFonts w:eastAsia="Calibri" w:cs="Arial"/>
                <w:b/>
                <w:color w:val="000000"/>
                <w:szCs w:val="20"/>
                <w:lang w:eastAsia="en-US"/>
              </w:rPr>
            </w:pPr>
            <w:r w:rsidRPr="00593B36">
              <w:rPr>
                <w:rFonts w:cs="Arial"/>
                <w:b/>
                <w:szCs w:val="20"/>
              </w:rPr>
              <w:t>Medium</w:t>
            </w:r>
          </w:p>
        </w:tc>
      </w:tr>
    </w:tbl>
    <w:p w14:paraId="2DAF14DD" w14:textId="77777777" w:rsidR="004E3361" w:rsidRDefault="004E3361" w:rsidP="00CE6BED">
      <w:pPr>
        <w:pStyle w:val="ACMASpaceaftertable"/>
      </w:pPr>
    </w:p>
    <w:p w14:paraId="58345BCA" w14:textId="0EC326CB" w:rsidR="009E783D" w:rsidRDefault="009E783D" w:rsidP="00D567BE">
      <w:pPr>
        <w:autoSpaceDE w:val="0"/>
        <w:autoSpaceDN w:val="0"/>
        <w:adjustRightInd w:val="0"/>
        <w:spacing w:before="240"/>
        <w:ind w:right="140"/>
        <w:rPr>
          <w:rFonts w:cs="Arial"/>
        </w:rPr>
      </w:pPr>
      <w:r w:rsidRPr="006C0E2E">
        <w:rPr>
          <w:szCs w:val="20"/>
        </w:rPr>
        <w:t>The overall risk rating of medium was derived mainly due to the amount involved in this cost recovery arrangement, which exceeded $10 million</w:t>
      </w:r>
      <w:r w:rsidR="00682391">
        <w:rPr>
          <w:szCs w:val="20"/>
        </w:rPr>
        <w:t xml:space="preserve"> for paragraphs 15(1)(a) </w:t>
      </w:r>
      <w:r w:rsidR="00682391" w:rsidRPr="00656448">
        <w:rPr>
          <w:szCs w:val="20"/>
        </w:rPr>
        <w:t>and (b) of the Act</w:t>
      </w:r>
      <w:r w:rsidR="004C3BA8" w:rsidRPr="00656448">
        <w:rPr>
          <w:szCs w:val="20"/>
        </w:rPr>
        <w:t>,</w:t>
      </w:r>
      <w:r w:rsidRPr="00656448">
        <w:rPr>
          <w:szCs w:val="20"/>
        </w:rPr>
        <w:t xml:space="preserve"> and </w:t>
      </w:r>
      <w:r w:rsidR="00C37EAD">
        <w:rPr>
          <w:szCs w:val="20"/>
        </w:rPr>
        <w:t xml:space="preserve">because </w:t>
      </w:r>
      <w:r w:rsidR="00A45642" w:rsidRPr="00656448">
        <w:rPr>
          <w:szCs w:val="20"/>
        </w:rPr>
        <w:t xml:space="preserve">the amount to be recovered through ACLC </w:t>
      </w:r>
      <w:r w:rsidR="00004252" w:rsidRPr="00656448">
        <w:rPr>
          <w:szCs w:val="20"/>
        </w:rPr>
        <w:t xml:space="preserve">for paragraph 15(1)(c) of the Act </w:t>
      </w:r>
      <w:r w:rsidR="00A45642" w:rsidRPr="00656448">
        <w:rPr>
          <w:szCs w:val="20"/>
        </w:rPr>
        <w:t>has decreased</w:t>
      </w:r>
      <w:r w:rsidR="00A45642" w:rsidRPr="00004252">
        <w:rPr>
          <w:szCs w:val="20"/>
        </w:rPr>
        <w:t xml:space="preserve"> by more than 10</w:t>
      </w:r>
      <w:r w:rsidR="004C3BA8" w:rsidRPr="00004252">
        <w:rPr>
          <w:szCs w:val="20"/>
        </w:rPr>
        <w:t xml:space="preserve"> per cent</w:t>
      </w:r>
      <w:r w:rsidRPr="006C0E2E">
        <w:rPr>
          <w:szCs w:val="20"/>
        </w:rPr>
        <w:t>. However, t</w:t>
      </w:r>
      <w:r w:rsidRPr="006C0E2E">
        <w:rPr>
          <w:rFonts w:cs="Arial"/>
        </w:rPr>
        <w:t xml:space="preserve">here are no complexities associated with this charging </w:t>
      </w:r>
      <w:r w:rsidR="004E3361" w:rsidRPr="006C0E2E">
        <w:rPr>
          <w:rFonts w:cs="Arial"/>
        </w:rPr>
        <w:t>regime</w:t>
      </w:r>
      <w:r w:rsidRPr="006C0E2E">
        <w:rPr>
          <w:rFonts w:cs="Arial"/>
        </w:rPr>
        <w:t xml:space="preserve"> as there are no changes to the existing cost recovery arrangement from the previous year. The ACLC is being charged as a levy and does not require any </w:t>
      </w:r>
      <w:r w:rsidR="002D6B92">
        <w:rPr>
          <w:rFonts w:cs="Arial"/>
        </w:rPr>
        <w:t xml:space="preserve">new </w:t>
      </w:r>
      <w:r w:rsidRPr="006C0E2E">
        <w:rPr>
          <w:rFonts w:cs="Arial"/>
        </w:rPr>
        <w:t xml:space="preserve">legislation to be passed by the </w:t>
      </w:r>
      <w:r w:rsidR="001071EB">
        <w:rPr>
          <w:rFonts w:cs="Arial"/>
        </w:rPr>
        <w:t>p</w:t>
      </w:r>
      <w:r w:rsidRPr="001071EB">
        <w:rPr>
          <w:rFonts w:cs="Arial"/>
        </w:rPr>
        <w:t>arliament</w:t>
      </w:r>
      <w:r w:rsidR="004E3361">
        <w:rPr>
          <w:rFonts w:cs="Arial"/>
        </w:rPr>
        <w:t>,</w:t>
      </w:r>
      <w:r w:rsidRPr="006C0E2E">
        <w:rPr>
          <w:rFonts w:cs="Arial"/>
        </w:rPr>
        <w:t xml:space="preserve"> nor does it involve working with </w:t>
      </w:r>
      <w:r w:rsidRPr="006C0E2E">
        <w:rPr>
          <w:rFonts w:eastAsia="Calibri" w:cs="Arial"/>
          <w:color w:val="000000"/>
          <w:szCs w:val="20"/>
          <w:lang w:eastAsia="en-US"/>
        </w:rPr>
        <w:t>state, territory or local government entities</w:t>
      </w:r>
      <w:r w:rsidRPr="006C0E2E">
        <w:rPr>
          <w:rFonts w:cs="Arial"/>
        </w:rPr>
        <w:t xml:space="preserve">. </w:t>
      </w:r>
    </w:p>
    <w:p w14:paraId="6BB23BA2" w14:textId="77777777" w:rsidR="009E783D" w:rsidRPr="006E7651" w:rsidRDefault="009E783D" w:rsidP="009E783D">
      <w:pPr>
        <w:pStyle w:val="Heading1"/>
      </w:pPr>
      <w:bookmarkStart w:id="105" w:name="_Toc417990963"/>
      <w:bookmarkStart w:id="106" w:name="_Toc511634405"/>
      <w:bookmarkStart w:id="107" w:name="_Toc532543412"/>
      <w:r>
        <w:t>5</w:t>
      </w:r>
      <w:r w:rsidRPr="00CC3F4B">
        <w:t xml:space="preserve">. </w:t>
      </w:r>
      <w:r w:rsidRPr="00CC3F4B">
        <w:tab/>
        <w:t>Stakeholder engagement</w:t>
      </w:r>
      <w:bookmarkEnd w:id="105"/>
      <w:bookmarkEnd w:id="106"/>
      <w:bookmarkEnd w:id="107"/>
    </w:p>
    <w:p w14:paraId="2FA69B3B" w14:textId="2AA6CAA1" w:rsidR="00157B12" w:rsidRPr="00D35E14" w:rsidRDefault="009E783D" w:rsidP="00CE6BED">
      <w:pPr>
        <w:pStyle w:val="BodyText"/>
        <w:spacing w:after="80" w:line="240" w:lineRule="atLeast"/>
        <w:ind w:right="-142"/>
        <w:rPr>
          <w:rFonts w:cs="Arial"/>
          <w:i w:val="0"/>
          <w:color w:val="auto"/>
          <w:szCs w:val="20"/>
        </w:rPr>
      </w:pPr>
      <w:r w:rsidRPr="00D35E14">
        <w:rPr>
          <w:rFonts w:cs="Arial"/>
          <w:i w:val="0"/>
          <w:color w:val="auto"/>
          <w:szCs w:val="20"/>
        </w:rPr>
        <w:t xml:space="preserve">The ACMA regularly consults with stakeholders </w:t>
      </w:r>
      <w:r w:rsidR="000A64FA">
        <w:rPr>
          <w:rFonts w:cs="Arial"/>
          <w:i w:val="0"/>
          <w:color w:val="auto"/>
          <w:szCs w:val="20"/>
        </w:rPr>
        <w:t>about</w:t>
      </w:r>
      <w:r w:rsidRPr="00D35E14">
        <w:rPr>
          <w:rFonts w:cs="Arial"/>
          <w:i w:val="0"/>
          <w:color w:val="auto"/>
          <w:szCs w:val="20"/>
        </w:rPr>
        <w:t xml:space="preserve"> telecommunications regulatory matters</w:t>
      </w:r>
      <w:r w:rsidR="007C3E84" w:rsidRPr="00D35E14">
        <w:rPr>
          <w:rFonts w:cs="Arial"/>
          <w:i w:val="0"/>
          <w:color w:val="auto"/>
          <w:szCs w:val="20"/>
        </w:rPr>
        <w:t>. In 201</w:t>
      </w:r>
      <w:r w:rsidR="00682391">
        <w:rPr>
          <w:rFonts w:cs="Arial"/>
          <w:i w:val="0"/>
          <w:color w:val="auto"/>
          <w:szCs w:val="20"/>
        </w:rPr>
        <w:t>6</w:t>
      </w:r>
      <w:r w:rsidR="004E3361">
        <w:rPr>
          <w:rFonts w:cs="Arial"/>
          <w:i w:val="0"/>
          <w:color w:val="auto"/>
          <w:szCs w:val="20"/>
        </w:rPr>
        <w:t>–</w:t>
      </w:r>
      <w:r w:rsidR="007C3E84" w:rsidRPr="00D35E14">
        <w:rPr>
          <w:rFonts w:cs="Arial"/>
          <w:i w:val="0"/>
          <w:color w:val="auto"/>
          <w:szCs w:val="20"/>
        </w:rPr>
        <w:t>1</w:t>
      </w:r>
      <w:r w:rsidR="00682391">
        <w:rPr>
          <w:rFonts w:cs="Arial"/>
          <w:i w:val="0"/>
          <w:color w:val="auto"/>
          <w:szCs w:val="20"/>
        </w:rPr>
        <w:t>7</w:t>
      </w:r>
      <w:r w:rsidR="00380B46">
        <w:rPr>
          <w:rFonts w:cs="Arial"/>
          <w:i w:val="0"/>
          <w:color w:val="auto"/>
          <w:szCs w:val="20"/>
        </w:rPr>
        <w:t>,</w:t>
      </w:r>
      <w:r w:rsidR="007C3E84" w:rsidRPr="00D35E14">
        <w:rPr>
          <w:rFonts w:cs="Arial"/>
          <w:i w:val="0"/>
          <w:color w:val="auto"/>
          <w:szCs w:val="20"/>
        </w:rPr>
        <w:t xml:space="preserve"> the ACMA consulted on a </w:t>
      </w:r>
      <w:r w:rsidR="00796908" w:rsidRPr="00D35E14">
        <w:rPr>
          <w:rFonts w:cs="Arial"/>
          <w:i w:val="0"/>
          <w:color w:val="auto"/>
          <w:szCs w:val="20"/>
        </w:rPr>
        <w:t>number</w:t>
      </w:r>
      <w:r w:rsidR="00796908">
        <w:rPr>
          <w:rFonts w:cs="Arial"/>
          <w:i w:val="0"/>
          <w:color w:val="auto"/>
          <w:szCs w:val="20"/>
        </w:rPr>
        <w:t xml:space="preserve"> of</w:t>
      </w:r>
      <w:r w:rsidR="00796908" w:rsidRPr="00D35E14">
        <w:rPr>
          <w:rFonts w:cs="Arial"/>
          <w:i w:val="0"/>
          <w:color w:val="auto"/>
          <w:szCs w:val="20"/>
        </w:rPr>
        <w:t xml:space="preserve"> </w:t>
      </w:r>
      <w:r w:rsidR="007C3E84" w:rsidRPr="00D35E14">
        <w:rPr>
          <w:rFonts w:cs="Arial"/>
          <w:i w:val="0"/>
          <w:color w:val="auto"/>
          <w:szCs w:val="20"/>
        </w:rPr>
        <w:t>matters</w:t>
      </w:r>
      <w:r w:rsidR="004E3361">
        <w:rPr>
          <w:rFonts w:cs="Arial"/>
          <w:i w:val="0"/>
          <w:color w:val="auto"/>
          <w:szCs w:val="20"/>
        </w:rPr>
        <w:t>,</w:t>
      </w:r>
      <w:r w:rsidR="007C3E84" w:rsidRPr="00D35E14">
        <w:rPr>
          <w:rFonts w:cs="Arial"/>
          <w:i w:val="0"/>
          <w:color w:val="auto"/>
          <w:szCs w:val="20"/>
        </w:rPr>
        <w:t xml:space="preserve"> </w:t>
      </w:r>
      <w:r w:rsidR="00157B12" w:rsidRPr="00D35E14">
        <w:rPr>
          <w:rFonts w:cs="Arial"/>
          <w:i w:val="0"/>
          <w:color w:val="auto"/>
          <w:szCs w:val="20"/>
        </w:rPr>
        <w:t>including:</w:t>
      </w:r>
    </w:p>
    <w:p w14:paraId="259DF722" w14:textId="77777777" w:rsidR="005C2BF4" w:rsidRDefault="005C2BF4" w:rsidP="0045658C">
      <w:pPr>
        <w:pStyle w:val="ListBullet"/>
      </w:pPr>
      <w:r>
        <w:t>telecommu</w:t>
      </w:r>
      <w:r w:rsidR="00157B12" w:rsidRPr="0045658C">
        <w:t>n</w:t>
      </w:r>
      <w:r>
        <w:t>ications n</w:t>
      </w:r>
      <w:r w:rsidR="00157B12" w:rsidRPr="0045658C">
        <w:t>um</w:t>
      </w:r>
      <w:r w:rsidR="00682391">
        <w:t>bering</w:t>
      </w:r>
      <w:r>
        <w:t xml:space="preserve"> charges</w:t>
      </w:r>
    </w:p>
    <w:p w14:paraId="381E9EE1" w14:textId="77777777" w:rsidR="00157B12" w:rsidRDefault="005C2BF4" w:rsidP="0045658C">
      <w:pPr>
        <w:pStyle w:val="ListBullet"/>
      </w:pPr>
      <w:r>
        <w:t xml:space="preserve">numbering plan variation </w:t>
      </w:r>
    </w:p>
    <w:p w14:paraId="09C1FB2D" w14:textId="5BB83EA8" w:rsidR="00157B12" w:rsidRPr="0045658C" w:rsidRDefault="000A64FA" w:rsidP="005C2BF4">
      <w:pPr>
        <w:pStyle w:val="ListBullet"/>
      </w:pPr>
      <w:r>
        <w:t>i</w:t>
      </w:r>
      <w:r w:rsidR="005C2BF4">
        <w:t>ntegrated public number database scheme</w:t>
      </w:r>
    </w:p>
    <w:p w14:paraId="71CDB43A" w14:textId="677F421F" w:rsidR="00963A16" w:rsidRPr="0045658C" w:rsidRDefault="000A64FA" w:rsidP="0045658C">
      <w:pPr>
        <w:pStyle w:val="ListBullet"/>
      </w:pPr>
      <w:r>
        <w:t>i</w:t>
      </w:r>
      <w:r w:rsidR="005C2BF4">
        <w:t>dentity</w:t>
      </w:r>
      <w:r>
        <w:t>-</w:t>
      </w:r>
      <w:r w:rsidR="005C2BF4">
        <w:t>checking requirements for prepaid mobile services</w:t>
      </w:r>
    </w:p>
    <w:p w14:paraId="7B880ED3" w14:textId="77777777" w:rsidR="00157B12" w:rsidRPr="00D35E14" w:rsidRDefault="009E783D" w:rsidP="0045658C">
      <w:pPr>
        <w:pStyle w:val="ListBullet"/>
      </w:pPr>
      <w:r w:rsidRPr="0045658C">
        <w:t>administration</w:t>
      </w:r>
      <w:r w:rsidRPr="00D35E14">
        <w:t xml:space="preserve"> of existing legislative and regulatory arrangements</w:t>
      </w:r>
    </w:p>
    <w:p w14:paraId="2DADBB4D" w14:textId="181898F3" w:rsidR="00157B12" w:rsidRPr="00D35E14" w:rsidRDefault="00DB3415" w:rsidP="00391111">
      <w:pPr>
        <w:pStyle w:val="ListBulletLast"/>
      </w:pPr>
      <w:r w:rsidRPr="00D35E14">
        <w:t xml:space="preserve">remaking </w:t>
      </w:r>
      <w:r w:rsidR="00963A16">
        <w:t>certain</w:t>
      </w:r>
      <w:r w:rsidR="00E0307D">
        <w:t xml:space="preserve"> </w:t>
      </w:r>
      <w:r w:rsidRPr="00D35E14">
        <w:t>telecommunications legal instruments</w:t>
      </w:r>
      <w:r w:rsidR="00C37EAD">
        <w:t>.</w:t>
      </w:r>
    </w:p>
    <w:p w14:paraId="7CF73C2E" w14:textId="02B05528" w:rsidR="00821566" w:rsidRPr="00231A0F" w:rsidRDefault="00821566" w:rsidP="00CE6BED">
      <w:pPr>
        <w:spacing w:after="80"/>
      </w:pPr>
      <w:r w:rsidRPr="00231A0F">
        <w:t>The ACCC has engaged with stakeholders through price</w:t>
      </w:r>
      <w:r w:rsidR="000A64FA">
        <w:t>-</w:t>
      </w:r>
      <w:r w:rsidRPr="00231A0F">
        <w:t>setting consultations and regulatory matters. The key areas of consultation in 201</w:t>
      </w:r>
      <w:r w:rsidR="00864956">
        <w:t>6</w:t>
      </w:r>
      <w:r w:rsidR="004E3361">
        <w:t>–</w:t>
      </w:r>
      <w:r w:rsidRPr="00231A0F">
        <w:t>1</w:t>
      </w:r>
      <w:r w:rsidR="00864956">
        <w:t>7</w:t>
      </w:r>
      <w:r w:rsidRPr="00231A0F">
        <w:t xml:space="preserve"> included:  </w:t>
      </w:r>
    </w:p>
    <w:p w14:paraId="33CCAE4B" w14:textId="77777777" w:rsidR="00821566" w:rsidRPr="004E3361" w:rsidRDefault="00821566" w:rsidP="004E3361">
      <w:pPr>
        <w:pStyle w:val="ListBullet"/>
      </w:pPr>
      <w:r w:rsidRPr="004E3361">
        <w:t>promoting competition to ensure an efficiently functioning communications market</w:t>
      </w:r>
    </w:p>
    <w:p w14:paraId="4E473735" w14:textId="41BF9FD2" w:rsidR="00821566" w:rsidRPr="004E3361" w:rsidRDefault="00821566" w:rsidP="004E3361">
      <w:pPr>
        <w:pStyle w:val="ListBullet"/>
      </w:pPr>
      <w:r w:rsidRPr="004E3361">
        <w:t>regulating access to infrastructure to support continuing competition and efficient investment in fixed</w:t>
      </w:r>
      <w:r w:rsidR="000A64FA">
        <w:t>-</w:t>
      </w:r>
      <w:r w:rsidRPr="004E3361">
        <w:t xml:space="preserve">line, mobiles and transmission markets while transitioning to the NBN  </w:t>
      </w:r>
    </w:p>
    <w:p w14:paraId="1D1DBC6E" w14:textId="6F630F49" w:rsidR="00821566" w:rsidRPr="00534F91" w:rsidRDefault="00821566" w:rsidP="004E3361">
      <w:pPr>
        <w:pStyle w:val="ListBullet"/>
      </w:pPr>
      <w:r w:rsidRPr="004E3361">
        <w:t>promoting competition through regulation of the NBN and encouraging transparency and</w:t>
      </w:r>
      <w:r w:rsidRPr="00534F91">
        <w:t xml:space="preserve"> appropriate consumer safeguards in the migration to the NBN </w:t>
      </w:r>
    </w:p>
    <w:p w14:paraId="18D28914" w14:textId="77777777" w:rsidR="00D3561C" w:rsidRPr="00D3561C" w:rsidRDefault="00821566" w:rsidP="00ED0289">
      <w:pPr>
        <w:pStyle w:val="ListBulletLast"/>
        <w:rPr>
          <w:szCs w:val="20"/>
        </w:rPr>
      </w:pPr>
      <w:r w:rsidRPr="00534F91">
        <w:t>monitoring industry consolidation and the impact on competition within the communications market</w:t>
      </w:r>
      <w:r w:rsidR="004E3361">
        <w:t>.</w:t>
      </w:r>
    </w:p>
    <w:p w14:paraId="5FE171D2" w14:textId="6A229E4B" w:rsidR="00F37E39" w:rsidRDefault="00A45642" w:rsidP="00A45642">
      <w:pPr>
        <w:rPr>
          <w:rFonts w:cs="Arial"/>
        </w:rPr>
      </w:pPr>
      <w:r w:rsidRPr="0088294F">
        <w:rPr>
          <w:rFonts w:cs="Arial"/>
        </w:rPr>
        <w:t>As part of maintaining an active involvement with industry, the ACMA provid</w:t>
      </w:r>
      <w:r w:rsidR="00D60493">
        <w:rPr>
          <w:rFonts w:cs="Arial"/>
        </w:rPr>
        <w:t>ed</w:t>
      </w:r>
      <w:r w:rsidRPr="0088294F">
        <w:rPr>
          <w:rFonts w:cs="Arial"/>
        </w:rPr>
        <w:t xml:space="preserve"> an opportunity for stakeholders to provide feedback on the ACMA’s </w:t>
      </w:r>
      <w:r w:rsidR="00D60493">
        <w:rPr>
          <w:rFonts w:cs="Arial"/>
        </w:rPr>
        <w:t>2017</w:t>
      </w:r>
      <w:r w:rsidR="006123EF">
        <w:rPr>
          <w:rFonts w:cs="Arial"/>
        </w:rPr>
        <w:t>–</w:t>
      </w:r>
      <w:r w:rsidR="00D60493">
        <w:rPr>
          <w:rFonts w:cs="Arial"/>
        </w:rPr>
        <w:t xml:space="preserve">18 </w:t>
      </w:r>
      <w:r w:rsidRPr="0088294F">
        <w:rPr>
          <w:rFonts w:cs="Arial"/>
        </w:rPr>
        <w:t>ACLC</w:t>
      </w:r>
      <w:r w:rsidR="002F64B1" w:rsidRPr="0088294F">
        <w:rPr>
          <w:rFonts w:cs="Arial"/>
        </w:rPr>
        <w:t xml:space="preserve"> proposal</w:t>
      </w:r>
      <w:r w:rsidR="0045658C">
        <w:rPr>
          <w:rFonts w:cs="Arial"/>
        </w:rPr>
        <w:t>,</w:t>
      </w:r>
      <w:r w:rsidR="002F64B1" w:rsidRPr="0088294F">
        <w:rPr>
          <w:rFonts w:cs="Arial"/>
        </w:rPr>
        <w:t xml:space="preserve"> which involves making new charges determinations under sections 14 and 15 of the Act</w:t>
      </w:r>
      <w:r w:rsidR="0088294F">
        <w:rPr>
          <w:rFonts w:cs="Arial"/>
        </w:rPr>
        <w:t>.</w:t>
      </w:r>
    </w:p>
    <w:p w14:paraId="2D13E809" w14:textId="3539C7C1" w:rsidR="00BA51A8" w:rsidRDefault="00BA51A8" w:rsidP="00A45642">
      <w:pPr>
        <w:rPr>
          <w:rFonts w:cs="Arial"/>
        </w:rPr>
      </w:pPr>
      <w:r w:rsidRPr="00BA51A8">
        <w:rPr>
          <w:rFonts w:cs="Arial"/>
        </w:rPr>
        <w:t xml:space="preserve">A consultation paper and a draft version of this CRIS were published on the ACMA’s website for a six-week period from 16 April 2018 for public comment. There were two submissions received from Telstra and Communications Alliance Ltd. </w:t>
      </w:r>
      <w:r>
        <w:rPr>
          <w:rFonts w:cs="Arial"/>
        </w:rPr>
        <w:t>W</w:t>
      </w:r>
      <w:r w:rsidRPr="00BA51A8">
        <w:rPr>
          <w:rFonts w:cs="Arial"/>
        </w:rPr>
        <w:t>hil</w:t>
      </w:r>
      <w:r w:rsidR="006123EF">
        <w:rPr>
          <w:rFonts w:cs="Arial"/>
        </w:rPr>
        <w:t>e</w:t>
      </w:r>
      <w:r w:rsidRPr="00BA51A8">
        <w:rPr>
          <w:rFonts w:cs="Arial"/>
        </w:rPr>
        <w:t xml:space="preserve"> both submissions proposed a review of the current eligible revenue threshold of $25 million</w:t>
      </w:r>
      <w:r w:rsidR="006123EF">
        <w:rPr>
          <w:rFonts w:cs="Arial"/>
        </w:rPr>
        <w:t>,</w:t>
      </w:r>
      <w:r w:rsidRPr="00BA51A8">
        <w:rPr>
          <w:rFonts w:cs="Arial"/>
        </w:rPr>
        <w:t xml:space="preserve"> </w:t>
      </w:r>
      <w:r w:rsidR="00F24FB7" w:rsidRPr="00F24FB7">
        <w:rPr>
          <w:rFonts w:cs="Arial"/>
        </w:rPr>
        <w:t>set out in the Telecommunications (Participating Persons) Determination 2015,</w:t>
      </w:r>
      <w:r w:rsidR="002A6A5D">
        <w:rPr>
          <w:rFonts w:cs="Arial"/>
        </w:rPr>
        <w:t xml:space="preserve"> </w:t>
      </w:r>
      <w:r w:rsidRPr="00BA51A8">
        <w:rPr>
          <w:rFonts w:cs="Arial"/>
        </w:rPr>
        <w:t xml:space="preserve">Telstra proposed more disclosure </w:t>
      </w:r>
      <w:r w:rsidR="00F24FB7">
        <w:rPr>
          <w:rFonts w:cs="Arial"/>
        </w:rPr>
        <w:t xml:space="preserve">(see Attachment D) </w:t>
      </w:r>
      <w:r w:rsidRPr="00BA51A8">
        <w:rPr>
          <w:rFonts w:cs="Arial"/>
        </w:rPr>
        <w:t>in order to further improve transparency regarding determination of the ACLC.</w:t>
      </w:r>
    </w:p>
    <w:p w14:paraId="1CC12929" w14:textId="6988988C" w:rsidR="00F24FB7" w:rsidRPr="0088294F" w:rsidRDefault="00F24FB7" w:rsidP="00A45642">
      <w:pPr>
        <w:rPr>
          <w:rFonts w:cs="Arial"/>
        </w:rPr>
      </w:pPr>
      <w:r w:rsidRPr="00F24FB7">
        <w:rPr>
          <w:rFonts w:cs="Arial"/>
        </w:rPr>
        <w:t>A summary of issues or recommendations resulting from the consultation is provided in Attachment D.</w:t>
      </w:r>
    </w:p>
    <w:p w14:paraId="184A29B2" w14:textId="074B1324" w:rsidR="009E783D" w:rsidRPr="00CC3F4B" w:rsidRDefault="00E0161E" w:rsidP="009E783D">
      <w:pPr>
        <w:pStyle w:val="Heading1"/>
      </w:pPr>
      <w:r w:rsidRPr="00E0161E">
        <w:t xml:space="preserve"> </w:t>
      </w:r>
      <w:bookmarkStart w:id="108" w:name="_Toc355953992"/>
      <w:bookmarkStart w:id="109" w:name="_Toc385256322"/>
      <w:bookmarkStart w:id="110" w:name="_Toc417990964"/>
      <w:bookmarkStart w:id="111" w:name="_Toc511634406"/>
      <w:bookmarkStart w:id="112" w:name="_Toc532543413"/>
      <w:r w:rsidR="009E783D">
        <w:t>6</w:t>
      </w:r>
      <w:r w:rsidR="009E783D" w:rsidRPr="00CC3F4B">
        <w:t xml:space="preserve">. </w:t>
      </w:r>
      <w:r w:rsidR="009E783D" w:rsidRPr="00CC3F4B">
        <w:tab/>
        <w:t>F</w:t>
      </w:r>
      <w:bookmarkEnd w:id="108"/>
      <w:r w:rsidR="009E783D" w:rsidRPr="00CC3F4B">
        <w:t xml:space="preserve">inancial </w:t>
      </w:r>
      <w:bookmarkEnd w:id="109"/>
      <w:r w:rsidR="009E783D">
        <w:t>estimates</w:t>
      </w:r>
      <w:bookmarkEnd w:id="110"/>
      <w:bookmarkEnd w:id="111"/>
      <w:bookmarkEnd w:id="112"/>
    </w:p>
    <w:p w14:paraId="702E424A" w14:textId="77777777" w:rsidR="009E783D" w:rsidRDefault="009E783D" w:rsidP="009E783D">
      <w:pPr>
        <w:rPr>
          <w:rFonts w:cs="Arial"/>
          <w:iCs/>
        </w:rPr>
      </w:pPr>
      <w:r w:rsidRPr="00D201AF">
        <w:rPr>
          <w:rFonts w:cs="Arial"/>
          <w:iCs/>
        </w:rPr>
        <w:t xml:space="preserve">Financial estimates for </w:t>
      </w:r>
      <w:r>
        <w:rPr>
          <w:rFonts w:cs="Arial"/>
          <w:iCs/>
        </w:rPr>
        <w:t xml:space="preserve">each component of the ACLC </w:t>
      </w:r>
      <w:r w:rsidRPr="00D201AF">
        <w:rPr>
          <w:rFonts w:cs="Arial"/>
          <w:iCs/>
        </w:rPr>
        <w:t xml:space="preserve">for </w:t>
      </w:r>
      <w:r>
        <w:rPr>
          <w:rFonts w:cs="Arial"/>
          <w:iCs/>
        </w:rPr>
        <w:t>the financial year 2</w:t>
      </w:r>
      <w:r w:rsidR="00603395">
        <w:rPr>
          <w:rFonts w:cs="Arial"/>
          <w:iCs/>
        </w:rPr>
        <w:t>01</w:t>
      </w:r>
      <w:r w:rsidR="00250900">
        <w:rPr>
          <w:rFonts w:cs="Arial"/>
          <w:iCs/>
        </w:rPr>
        <w:t>7</w:t>
      </w:r>
      <w:r w:rsidR="005A5B87">
        <w:rPr>
          <w:rFonts w:cs="Arial"/>
          <w:iCs/>
        </w:rPr>
        <w:t>–</w:t>
      </w:r>
      <w:r w:rsidR="00603395">
        <w:rPr>
          <w:rFonts w:cs="Arial"/>
          <w:iCs/>
        </w:rPr>
        <w:t>1</w:t>
      </w:r>
      <w:r w:rsidR="00250900">
        <w:rPr>
          <w:rFonts w:cs="Arial"/>
          <w:iCs/>
        </w:rPr>
        <w:t>8</w:t>
      </w:r>
      <w:r w:rsidRPr="00D201AF">
        <w:rPr>
          <w:rFonts w:cs="Arial"/>
          <w:iCs/>
        </w:rPr>
        <w:t xml:space="preserve"> and three forward years are </w:t>
      </w:r>
      <w:r w:rsidR="00603395">
        <w:rPr>
          <w:rFonts w:cs="Arial"/>
          <w:iCs/>
        </w:rPr>
        <w:t>provided in Table 1</w:t>
      </w:r>
      <w:r w:rsidR="00FA02BF">
        <w:rPr>
          <w:rFonts w:cs="Arial"/>
          <w:iCs/>
        </w:rPr>
        <w:t>3</w:t>
      </w:r>
      <w:r w:rsidR="00D567BE">
        <w:rPr>
          <w:rFonts w:cs="Arial"/>
          <w:iCs/>
        </w:rPr>
        <w:t xml:space="preserve">. </w:t>
      </w:r>
    </w:p>
    <w:p w14:paraId="39B20CAA" w14:textId="77777777" w:rsidR="000D5F25" w:rsidRPr="006A56FD" w:rsidRDefault="00FA02BF" w:rsidP="00FA02BF">
      <w:pPr>
        <w:pStyle w:val="ACMATableHeader"/>
        <w:numPr>
          <w:ilvl w:val="0"/>
          <w:numId w:val="0"/>
        </w:numPr>
      </w:pPr>
      <w:r>
        <w:t>Table 13:</w:t>
      </w:r>
      <w:r>
        <w:tab/>
      </w:r>
      <w:r w:rsidR="006174BB" w:rsidRPr="006A56FD">
        <w:t>Financial estimates by activity</w:t>
      </w:r>
    </w:p>
    <w:tbl>
      <w:tblPr>
        <w:tblW w:w="9062" w:type="dxa"/>
        <w:tblLayout w:type="fixed"/>
        <w:tblCellMar>
          <w:top w:w="57" w:type="dxa"/>
          <w:left w:w="57" w:type="dxa"/>
          <w:bottom w:w="57" w:type="dxa"/>
          <w:right w:w="57" w:type="dxa"/>
        </w:tblCellMar>
        <w:tblLook w:val="04A0" w:firstRow="1" w:lastRow="0" w:firstColumn="1" w:lastColumn="0" w:noHBand="0" w:noVBand="1"/>
      </w:tblPr>
      <w:tblGrid>
        <w:gridCol w:w="964"/>
        <w:gridCol w:w="2287"/>
        <w:gridCol w:w="1162"/>
        <w:gridCol w:w="1162"/>
        <w:gridCol w:w="1162"/>
        <w:gridCol w:w="1162"/>
        <w:gridCol w:w="1163"/>
      </w:tblGrid>
      <w:tr w:rsidR="006174BB" w:rsidRPr="005A5B87" w14:paraId="0A1A0327" w14:textId="77777777" w:rsidTr="00391111">
        <w:trPr>
          <w:trHeight w:val="649"/>
          <w:tblHeader/>
        </w:trPr>
        <w:tc>
          <w:tcPr>
            <w:tcW w:w="964" w:type="dxa"/>
            <w:vMerge w:val="restart"/>
            <w:tcBorders>
              <w:top w:val="single" w:sz="8" w:space="0" w:color="auto"/>
              <w:left w:val="single" w:sz="8" w:space="0" w:color="auto"/>
              <w:bottom w:val="single" w:sz="8" w:space="0" w:color="000000"/>
              <w:right w:val="single" w:sz="8" w:space="0" w:color="auto"/>
            </w:tcBorders>
            <w:shd w:val="clear" w:color="000000" w:fill="404040"/>
            <w:hideMark/>
          </w:tcPr>
          <w:p w14:paraId="7E9CB24A" w14:textId="77777777" w:rsidR="006174BB" w:rsidRPr="00CE6BED" w:rsidRDefault="006174BB" w:rsidP="00CE6BED">
            <w:pPr>
              <w:pStyle w:val="TableHeading"/>
              <w:rPr>
                <w:b w:val="0"/>
                <w:color w:val="FFFFFF" w:themeColor="background1"/>
              </w:rPr>
            </w:pPr>
            <w:r w:rsidRPr="00CE6BED">
              <w:rPr>
                <w:color w:val="FFFFFF" w:themeColor="background1"/>
              </w:rPr>
              <w:t>Ref</w:t>
            </w:r>
            <w:r w:rsidR="003F4664" w:rsidRPr="00CE6BED">
              <w:rPr>
                <w:color w:val="FFFFFF" w:themeColor="background1"/>
              </w:rPr>
              <w:t>.</w:t>
            </w:r>
            <w:r w:rsidRPr="00CE6BED">
              <w:rPr>
                <w:color w:val="FFFFFF" w:themeColor="background1"/>
              </w:rPr>
              <w:t xml:space="preserve"> in the Act</w:t>
            </w:r>
          </w:p>
        </w:tc>
        <w:tc>
          <w:tcPr>
            <w:tcW w:w="2287" w:type="dxa"/>
            <w:vMerge w:val="restart"/>
            <w:tcBorders>
              <w:top w:val="single" w:sz="8" w:space="0" w:color="auto"/>
              <w:left w:val="single" w:sz="8" w:space="0" w:color="auto"/>
              <w:bottom w:val="single" w:sz="8" w:space="0" w:color="000000"/>
              <w:right w:val="single" w:sz="8" w:space="0" w:color="auto"/>
            </w:tcBorders>
            <w:shd w:val="clear" w:color="000000" w:fill="404040"/>
            <w:hideMark/>
          </w:tcPr>
          <w:p w14:paraId="5C70CD99" w14:textId="77777777" w:rsidR="006174BB" w:rsidRPr="00CE6BED" w:rsidRDefault="009737B2" w:rsidP="00CE6BED">
            <w:pPr>
              <w:pStyle w:val="TableHeading"/>
              <w:rPr>
                <w:b w:val="0"/>
                <w:color w:val="FFFFFF" w:themeColor="background1"/>
              </w:rPr>
            </w:pPr>
            <w:r w:rsidRPr="00CE6BED">
              <w:rPr>
                <w:color w:val="FFFFFF" w:themeColor="background1"/>
              </w:rPr>
              <w:t>Component</w:t>
            </w:r>
          </w:p>
        </w:tc>
        <w:tc>
          <w:tcPr>
            <w:tcW w:w="1162" w:type="dxa"/>
            <w:tcBorders>
              <w:top w:val="single" w:sz="8" w:space="0" w:color="auto"/>
              <w:left w:val="nil"/>
              <w:bottom w:val="nil"/>
              <w:right w:val="single" w:sz="8" w:space="0" w:color="auto"/>
            </w:tcBorders>
            <w:shd w:val="clear" w:color="000000" w:fill="404040"/>
            <w:hideMark/>
          </w:tcPr>
          <w:p w14:paraId="6E8C4537" w14:textId="1E2C332F" w:rsidR="006174BB" w:rsidRPr="00CE6BED" w:rsidRDefault="00603395" w:rsidP="00C32914">
            <w:pPr>
              <w:pStyle w:val="TableHeading"/>
              <w:jc w:val="right"/>
              <w:rPr>
                <w:b w:val="0"/>
                <w:color w:val="FFFFFF" w:themeColor="background1"/>
              </w:rPr>
            </w:pPr>
            <w:r w:rsidRPr="00CE6BED">
              <w:rPr>
                <w:color w:val="FFFFFF" w:themeColor="background1"/>
              </w:rPr>
              <w:t>201</w:t>
            </w:r>
            <w:r w:rsidR="000269F7">
              <w:rPr>
                <w:color w:val="FFFFFF" w:themeColor="background1"/>
              </w:rPr>
              <w:t>7</w:t>
            </w:r>
            <w:r w:rsidR="006174BB" w:rsidRPr="00CE6BED">
              <w:rPr>
                <w:color w:val="FFFFFF" w:themeColor="background1"/>
              </w:rPr>
              <w:t>–</w:t>
            </w:r>
            <w:r w:rsidRPr="00CE6BED">
              <w:rPr>
                <w:color w:val="FFFFFF" w:themeColor="background1"/>
              </w:rPr>
              <w:t>1</w:t>
            </w:r>
            <w:r w:rsidR="000269F7">
              <w:rPr>
                <w:color w:val="FFFFFF" w:themeColor="background1"/>
              </w:rPr>
              <w:t>8</w:t>
            </w:r>
            <w:r w:rsidR="002A7CFA">
              <w:rPr>
                <w:color w:val="FFFFFF" w:themeColor="background1"/>
              </w:rPr>
              <w:t xml:space="preserve"> b</w:t>
            </w:r>
            <w:r w:rsidR="006174BB" w:rsidRPr="00CE6BED">
              <w:rPr>
                <w:color w:val="FFFFFF" w:themeColor="background1"/>
              </w:rPr>
              <w:t>udget</w:t>
            </w:r>
          </w:p>
        </w:tc>
        <w:tc>
          <w:tcPr>
            <w:tcW w:w="1162" w:type="dxa"/>
            <w:tcBorders>
              <w:top w:val="single" w:sz="8" w:space="0" w:color="auto"/>
              <w:left w:val="nil"/>
              <w:bottom w:val="nil"/>
              <w:right w:val="single" w:sz="8" w:space="0" w:color="auto"/>
            </w:tcBorders>
            <w:shd w:val="clear" w:color="000000" w:fill="404040"/>
            <w:hideMark/>
          </w:tcPr>
          <w:p w14:paraId="164838A2" w14:textId="003A26EB" w:rsidR="006174BB" w:rsidRPr="00CE6BED" w:rsidRDefault="006174BB" w:rsidP="00C32914">
            <w:pPr>
              <w:pStyle w:val="TableHeading"/>
              <w:jc w:val="right"/>
              <w:rPr>
                <w:b w:val="0"/>
                <w:color w:val="FFFFFF" w:themeColor="background1"/>
              </w:rPr>
            </w:pPr>
            <w:r w:rsidRPr="00CE6BED">
              <w:rPr>
                <w:color w:val="FFFFFF" w:themeColor="background1"/>
              </w:rPr>
              <w:t>2</w:t>
            </w:r>
            <w:r w:rsidR="00603395" w:rsidRPr="00CE6BED">
              <w:rPr>
                <w:color w:val="FFFFFF" w:themeColor="background1"/>
              </w:rPr>
              <w:t>01</w:t>
            </w:r>
            <w:r w:rsidR="000269F7">
              <w:rPr>
                <w:color w:val="FFFFFF" w:themeColor="background1"/>
              </w:rPr>
              <w:t>7</w:t>
            </w:r>
            <w:r w:rsidR="00603395" w:rsidRPr="00CE6BED">
              <w:rPr>
                <w:color w:val="FFFFFF" w:themeColor="background1"/>
              </w:rPr>
              <w:t>–1</w:t>
            </w:r>
            <w:r w:rsidR="000269F7">
              <w:rPr>
                <w:color w:val="FFFFFF" w:themeColor="background1"/>
              </w:rPr>
              <w:t>8</w:t>
            </w:r>
            <w:r w:rsidR="002A7CFA">
              <w:rPr>
                <w:color w:val="FFFFFF" w:themeColor="background1"/>
              </w:rPr>
              <w:t xml:space="preserve"> revised b</w:t>
            </w:r>
            <w:r w:rsidRPr="00CE6BED">
              <w:rPr>
                <w:color w:val="FFFFFF" w:themeColor="background1"/>
              </w:rPr>
              <w:t>udget</w:t>
            </w:r>
          </w:p>
        </w:tc>
        <w:tc>
          <w:tcPr>
            <w:tcW w:w="1162" w:type="dxa"/>
            <w:tcBorders>
              <w:top w:val="single" w:sz="8" w:space="0" w:color="auto"/>
              <w:left w:val="nil"/>
              <w:bottom w:val="nil"/>
              <w:right w:val="single" w:sz="8" w:space="0" w:color="auto"/>
            </w:tcBorders>
            <w:shd w:val="clear" w:color="000000" w:fill="404040"/>
            <w:hideMark/>
          </w:tcPr>
          <w:p w14:paraId="6BB156D2" w14:textId="7089383A" w:rsidR="006174BB" w:rsidRPr="00CE6BED" w:rsidRDefault="00603395" w:rsidP="00C32914">
            <w:pPr>
              <w:pStyle w:val="TableHeading"/>
              <w:jc w:val="right"/>
              <w:rPr>
                <w:b w:val="0"/>
                <w:color w:val="FFFFFF" w:themeColor="background1"/>
              </w:rPr>
            </w:pPr>
            <w:r w:rsidRPr="00CE6BED">
              <w:rPr>
                <w:color w:val="FFFFFF" w:themeColor="background1"/>
              </w:rPr>
              <w:t>201</w:t>
            </w:r>
            <w:r w:rsidR="000269F7">
              <w:rPr>
                <w:color w:val="FFFFFF" w:themeColor="background1"/>
              </w:rPr>
              <w:t>8</w:t>
            </w:r>
            <w:r w:rsidR="006174BB" w:rsidRPr="00CE6BED">
              <w:rPr>
                <w:color w:val="FFFFFF" w:themeColor="background1"/>
              </w:rPr>
              <w:t>–</w:t>
            </w:r>
            <w:r w:rsidRPr="00CE6BED">
              <w:rPr>
                <w:color w:val="FFFFFF" w:themeColor="background1"/>
              </w:rPr>
              <w:t>1</w:t>
            </w:r>
            <w:r w:rsidR="000269F7">
              <w:rPr>
                <w:color w:val="FFFFFF" w:themeColor="background1"/>
              </w:rPr>
              <w:t>9</w:t>
            </w:r>
            <w:r w:rsidR="002A7CFA">
              <w:rPr>
                <w:color w:val="FFFFFF" w:themeColor="background1"/>
              </w:rPr>
              <w:t xml:space="preserve"> b</w:t>
            </w:r>
            <w:r w:rsidR="006174BB" w:rsidRPr="00CE6BED">
              <w:rPr>
                <w:color w:val="FFFFFF" w:themeColor="background1"/>
              </w:rPr>
              <w:t>udget</w:t>
            </w:r>
          </w:p>
        </w:tc>
        <w:tc>
          <w:tcPr>
            <w:tcW w:w="1162" w:type="dxa"/>
            <w:tcBorders>
              <w:top w:val="single" w:sz="8" w:space="0" w:color="auto"/>
              <w:left w:val="nil"/>
              <w:bottom w:val="nil"/>
              <w:right w:val="single" w:sz="8" w:space="0" w:color="auto"/>
            </w:tcBorders>
            <w:shd w:val="clear" w:color="000000" w:fill="404040"/>
            <w:hideMark/>
          </w:tcPr>
          <w:p w14:paraId="0D5CAA6E" w14:textId="01671315" w:rsidR="006174BB" w:rsidRPr="00CE6BED" w:rsidRDefault="006174BB" w:rsidP="00C32914">
            <w:pPr>
              <w:pStyle w:val="TableHeading"/>
              <w:jc w:val="right"/>
              <w:rPr>
                <w:b w:val="0"/>
                <w:color w:val="FFFFFF" w:themeColor="background1"/>
              </w:rPr>
            </w:pPr>
            <w:r w:rsidRPr="00CE6BED">
              <w:rPr>
                <w:color w:val="FFFFFF" w:themeColor="background1"/>
              </w:rPr>
              <w:t>2</w:t>
            </w:r>
            <w:r w:rsidR="00603395" w:rsidRPr="00CE6BED">
              <w:rPr>
                <w:color w:val="FFFFFF" w:themeColor="background1"/>
              </w:rPr>
              <w:t>01</w:t>
            </w:r>
            <w:r w:rsidR="000269F7">
              <w:rPr>
                <w:color w:val="FFFFFF" w:themeColor="background1"/>
              </w:rPr>
              <w:t>9</w:t>
            </w:r>
            <w:r w:rsidRPr="00CE6BED">
              <w:rPr>
                <w:color w:val="FFFFFF" w:themeColor="background1"/>
              </w:rPr>
              <w:t>–</w:t>
            </w:r>
            <w:r w:rsidR="000269F7">
              <w:rPr>
                <w:color w:val="FFFFFF" w:themeColor="background1"/>
              </w:rPr>
              <w:t>20</w:t>
            </w:r>
            <w:r w:rsidR="002A7CFA">
              <w:rPr>
                <w:color w:val="FFFFFF" w:themeColor="background1"/>
              </w:rPr>
              <w:t xml:space="preserve"> b</w:t>
            </w:r>
            <w:r w:rsidRPr="00CE6BED">
              <w:rPr>
                <w:color w:val="FFFFFF" w:themeColor="background1"/>
              </w:rPr>
              <w:t>udget</w:t>
            </w:r>
          </w:p>
        </w:tc>
        <w:tc>
          <w:tcPr>
            <w:tcW w:w="1163" w:type="dxa"/>
            <w:tcBorders>
              <w:top w:val="single" w:sz="8" w:space="0" w:color="auto"/>
              <w:left w:val="nil"/>
              <w:bottom w:val="nil"/>
              <w:right w:val="single" w:sz="8" w:space="0" w:color="auto"/>
            </w:tcBorders>
            <w:shd w:val="clear" w:color="000000" w:fill="404040"/>
            <w:hideMark/>
          </w:tcPr>
          <w:p w14:paraId="3703066B" w14:textId="35F050D0" w:rsidR="006174BB" w:rsidRPr="00CE6BED" w:rsidRDefault="000269F7" w:rsidP="00C32914">
            <w:pPr>
              <w:pStyle w:val="TableHeading"/>
              <w:jc w:val="right"/>
              <w:rPr>
                <w:b w:val="0"/>
                <w:color w:val="FFFFFF" w:themeColor="background1"/>
              </w:rPr>
            </w:pPr>
            <w:r>
              <w:rPr>
                <w:color w:val="FFFFFF" w:themeColor="background1"/>
              </w:rPr>
              <w:t>2020</w:t>
            </w:r>
            <w:r w:rsidR="006174BB" w:rsidRPr="00CE6BED">
              <w:rPr>
                <w:color w:val="FFFFFF" w:themeColor="background1"/>
              </w:rPr>
              <w:t>–</w:t>
            </w:r>
            <w:r>
              <w:rPr>
                <w:color w:val="FFFFFF" w:themeColor="background1"/>
              </w:rPr>
              <w:t>21</w:t>
            </w:r>
            <w:r w:rsidR="002A7CFA">
              <w:rPr>
                <w:color w:val="FFFFFF" w:themeColor="background1"/>
              </w:rPr>
              <w:t xml:space="preserve"> b</w:t>
            </w:r>
            <w:r w:rsidR="006174BB" w:rsidRPr="00CE6BED">
              <w:rPr>
                <w:color w:val="FFFFFF" w:themeColor="background1"/>
              </w:rPr>
              <w:t>udget</w:t>
            </w:r>
          </w:p>
        </w:tc>
      </w:tr>
      <w:tr w:rsidR="006174BB" w:rsidRPr="005A5B87" w14:paraId="66205D7A" w14:textId="77777777" w:rsidTr="00391111">
        <w:trPr>
          <w:trHeight w:val="106"/>
          <w:tblHeader/>
        </w:trPr>
        <w:tc>
          <w:tcPr>
            <w:tcW w:w="964" w:type="dxa"/>
            <w:vMerge/>
            <w:tcBorders>
              <w:top w:val="single" w:sz="8" w:space="0" w:color="auto"/>
              <w:left w:val="single" w:sz="8" w:space="0" w:color="auto"/>
              <w:bottom w:val="single" w:sz="8" w:space="0" w:color="000000"/>
              <w:right w:val="single" w:sz="8" w:space="0" w:color="auto"/>
            </w:tcBorders>
            <w:hideMark/>
          </w:tcPr>
          <w:p w14:paraId="22F79F33" w14:textId="77777777" w:rsidR="006174BB" w:rsidRPr="00CE6BED" w:rsidRDefault="006174BB" w:rsidP="00CE6BED">
            <w:pPr>
              <w:pStyle w:val="TableHeading"/>
              <w:rPr>
                <w:b w:val="0"/>
                <w:color w:val="FFFFFF" w:themeColor="background1"/>
              </w:rPr>
            </w:pPr>
          </w:p>
        </w:tc>
        <w:tc>
          <w:tcPr>
            <w:tcW w:w="2287" w:type="dxa"/>
            <w:vMerge/>
            <w:tcBorders>
              <w:top w:val="single" w:sz="8" w:space="0" w:color="auto"/>
              <w:left w:val="single" w:sz="8" w:space="0" w:color="auto"/>
              <w:bottom w:val="single" w:sz="8" w:space="0" w:color="000000"/>
              <w:right w:val="single" w:sz="8" w:space="0" w:color="auto"/>
            </w:tcBorders>
            <w:hideMark/>
          </w:tcPr>
          <w:p w14:paraId="10A32B91" w14:textId="77777777" w:rsidR="006174BB" w:rsidRPr="00CE6BED" w:rsidRDefault="006174BB" w:rsidP="00CE6BED">
            <w:pPr>
              <w:pStyle w:val="TableHeading"/>
              <w:rPr>
                <w:b w:val="0"/>
                <w:color w:val="FFFFFF" w:themeColor="background1"/>
              </w:rPr>
            </w:pPr>
          </w:p>
        </w:tc>
        <w:tc>
          <w:tcPr>
            <w:tcW w:w="1162" w:type="dxa"/>
            <w:tcBorders>
              <w:top w:val="nil"/>
              <w:left w:val="nil"/>
              <w:bottom w:val="single" w:sz="8" w:space="0" w:color="auto"/>
              <w:right w:val="single" w:sz="8" w:space="0" w:color="auto"/>
            </w:tcBorders>
            <w:shd w:val="clear" w:color="000000" w:fill="404040"/>
            <w:hideMark/>
          </w:tcPr>
          <w:p w14:paraId="5ECB0A74" w14:textId="77777777" w:rsidR="006174BB" w:rsidRPr="00CE6BED" w:rsidRDefault="006174BB" w:rsidP="00C32914">
            <w:pPr>
              <w:pStyle w:val="TableHeading"/>
              <w:jc w:val="right"/>
              <w:rPr>
                <w:b w:val="0"/>
                <w:color w:val="FFFFFF" w:themeColor="background1"/>
              </w:rPr>
            </w:pPr>
            <w:r w:rsidRPr="00CE6BED">
              <w:rPr>
                <w:color w:val="FFFFFF" w:themeColor="background1"/>
              </w:rPr>
              <w:t>($million)</w:t>
            </w:r>
          </w:p>
        </w:tc>
        <w:tc>
          <w:tcPr>
            <w:tcW w:w="1162" w:type="dxa"/>
            <w:tcBorders>
              <w:top w:val="nil"/>
              <w:left w:val="nil"/>
              <w:bottom w:val="single" w:sz="8" w:space="0" w:color="auto"/>
              <w:right w:val="single" w:sz="8" w:space="0" w:color="auto"/>
            </w:tcBorders>
            <w:shd w:val="clear" w:color="000000" w:fill="404040"/>
            <w:hideMark/>
          </w:tcPr>
          <w:p w14:paraId="2E5CE77F" w14:textId="77777777" w:rsidR="006174BB" w:rsidRPr="00CE6BED" w:rsidRDefault="006174BB" w:rsidP="00C32914">
            <w:pPr>
              <w:pStyle w:val="TableHeading"/>
              <w:jc w:val="right"/>
              <w:rPr>
                <w:b w:val="0"/>
                <w:color w:val="FFFFFF" w:themeColor="background1"/>
              </w:rPr>
            </w:pPr>
            <w:r w:rsidRPr="00CE6BED">
              <w:rPr>
                <w:color w:val="FFFFFF" w:themeColor="background1"/>
              </w:rPr>
              <w:t>($million)</w:t>
            </w:r>
          </w:p>
        </w:tc>
        <w:tc>
          <w:tcPr>
            <w:tcW w:w="1162" w:type="dxa"/>
            <w:tcBorders>
              <w:top w:val="nil"/>
              <w:left w:val="nil"/>
              <w:bottom w:val="single" w:sz="8" w:space="0" w:color="auto"/>
              <w:right w:val="single" w:sz="8" w:space="0" w:color="auto"/>
            </w:tcBorders>
            <w:shd w:val="clear" w:color="000000" w:fill="404040"/>
            <w:hideMark/>
          </w:tcPr>
          <w:p w14:paraId="3D29C76E" w14:textId="77777777" w:rsidR="006174BB" w:rsidRPr="00CE6BED" w:rsidRDefault="006174BB" w:rsidP="00C32914">
            <w:pPr>
              <w:pStyle w:val="TableHeading"/>
              <w:jc w:val="right"/>
              <w:rPr>
                <w:b w:val="0"/>
                <w:color w:val="FFFFFF" w:themeColor="background1"/>
              </w:rPr>
            </w:pPr>
            <w:r w:rsidRPr="00CE6BED">
              <w:rPr>
                <w:color w:val="FFFFFF" w:themeColor="background1"/>
              </w:rPr>
              <w:t>($million)</w:t>
            </w:r>
          </w:p>
        </w:tc>
        <w:tc>
          <w:tcPr>
            <w:tcW w:w="1162" w:type="dxa"/>
            <w:tcBorders>
              <w:top w:val="nil"/>
              <w:left w:val="nil"/>
              <w:bottom w:val="single" w:sz="8" w:space="0" w:color="auto"/>
              <w:right w:val="single" w:sz="8" w:space="0" w:color="auto"/>
            </w:tcBorders>
            <w:shd w:val="clear" w:color="000000" w:fill="404040"/>
            <w:hideMark/>
          </w:tcPr>
          <w:p w14:paraId="06D4AE11" w14:textId="77777777" w:rsidR="006174BB" w:rsidRPr="00CE6BED" w:rsidRDefault="006174BB" w:rsidP="00C32914">
            <w:pPr>
              <w:pStyle w:val="TableHeading"/>
              <w:jc w:val="right"/>
              <w:rPr>
                <w:b w:val="0"/>
                <w:color w:val="FFFFFF" w:themeColor="background1"/>
              </w:rPr>
            </w:pPr>
            <w:r w:rsidRPr="00CE6BED">
              <w:rPr>
                <w:color w:val="FFFFFF" w:themeColor="background1"/>
              </w:rPr>
              <w:t>($million)</w:t>
            </w:r>
          </w:p>
        </w:tc>
        <w:tc>
          <w:tcPr>
            <w:tcW w:w="1163" w:type="dxa"/>
            <w:tcBorders>
              <w:top w:val="nil"/>
              <w:left w:val="nil"/>
              <w:bottom w:val="single" w:sz="8" w:space="0" w:color="auto"/>
              <w:right w:val="single" w:sz="8" w:space="0" w:color="auto"/>
            </w:tcBorders>
            <w:shd w:val="clear" w:color="000000" w:fill="404040"/>
            <w:hideMark/>
          </w:tcPr>
          <w:p w14:paraId="28267341" w14:textId="77777777" w:rsidR="006174BB" w:rsidRPr="00CE6BED" w:rsidRDefault="006174BB" w:rsidP="00C32914">
            <w:pPr>
              <w:pStyle w:val="TableHeading"/>
              <w:jc w:val="right"/>
              <w:rPr>
                <w:b w:val="0"/>
                <w:color w:val="FFFFFF" w:themeColor="background1"/>
              </w:rPr>
            </w:pPr>
            <w:r w:rsidRPr="00CE6BED">
              <w:rPr>
                <w:color w:val="FFFFFF" w:themeColor="background1"/>
              </w:rPr>
              <w:t>($million)</w:t>
            </w:r>
          </w:p>
        </w:tc>
      </w:tr>
      <w:tr w:rsidR="00C87691" w:rsidRPr="005A5B87" w14:paraId="1096A671" w14:textId="77777777" w:rsidTr="00391111">
        <w:trPr>
          <w:trHeight w:val="242"/>
          <w:tblHeader/>
        </w:trPr>
        <w:tc>
          <w:tcPr>
            <w:tcW w:w="964" w:type="dxa"/>
            <w:tcBorders>
              <w:top w:val="nil"/>
              <w:left w:val="single" w:sz="8" w:space="0" w:color="auto"/>
              <w:bottom w:val="single" w:sz="8" w:space="0" w:color="auto"/>
              <w:right w:val="single" w:sz="8" w:space="0" w:color="auto"/>
            </w:tcBorders>
            <w:shd w:val="clear" w:color="auto" w:fill="auto"/>
            <w:hideMark/>
          </w:tcPr>
          <w:p w14:paraId="02AEFB7F" w14:textId="77777777" w:rsidR="00C87691" w:rsidRPr="00687A04" w:rsidRDefault="00C87691" w:rsidP="00C87691">
            <w:pPr>
              <w:spacing w:after="0" w:line="240" w:lineRule="auto"/>
              <w:rPr>
                <w:rFonts w:cs="Arial"/>
                <w:color w:val="000000"/>
                <w:szCs w:val="20"/>
              </w:rPr>
            </w:pPr>
            <w:r w:rsidRPr="00687A04">
              <w:rPr>
                <w:rFonts w:cs="Arial"/>
                <w:color w:val="000000"/>
                <w:szCs w:val="20"/>
              </w:rPr>
              <w:t>15(1)(a)</w:t>
            </w:r>
          </w:p>
        </w:tc>
        <w:tc>
          <w:tcPr>
            <w:tcW w:w="2287" w:type="dxa"/>
            <w:tcBorders>
              <w:top w:val="nil"/>
              <w:left w:val="nil"/>
              <w:bottom w:val="single" w:sz="8" w:space="0" w:color="auto"/>
              <w:right w:val="single" w:sz="8" w:space="0" w:color="auto"/>
            </w:tcBorders>
            <w:shd w:val="clear" w:color="auto" w:fill="auto"/>
            <w:hideMark/>
          </w:tcPr>
          <w:p w14:paraId="0DF2F960" w14:textId="77777777" w:rsidR="00C87691" w:rsidRPr="00687A04" w:rsidRDefault="00C87691" w:rsidP="00C87691">
            <w:pPr>
              <w:spacing w:after="0" w:line="240" w:lineRule="auto"/>
              <w:rPr>
                <w:rFonts w:cs="Arial"/>
                <w:color w:val="000000"/>
                <w:szCs w:val="20"/>
              </w:rPr>
            </w:pPr>
            <w:r w:rsidRPr="00687A04">
              <w:rPr>
                <w:rFonts w:cs="Arial"/>
                <w:color w:val="000000"/>
                <w:szCs w:val="20"/>
              </w:rPr>
              <w:t>ACMA expenses</w:t>
            </w:r>
          </w:p>
        </w:tc>
        <w:tc>
          <w:tcPr>
            <w:tcW w:w="1162" w:type="dxa"/>
            <w:tcBorders>
              <w:top w:val="nil"/>
              <w:left w:val="nil"/>
              <w:bottom w:val="single" w:sz="8" w:space="0" w:color="auto"/>
              <w:right w:val="single" w:sz="8" w:space="0" w:color="auto"/>
            </w:tcBorders>
            <w:shd w:val="clear" w:color="auto" w:fill="auto"/>
          </w:tcPr>
          <w:p w14:paraId="3D55A13C" w14:textId="77777777" w:rsidR="00C87691" w:rsidRPr="00687A04" w:rsidRDefault="005D67A8" w:rsidP="00C87691">
            <w:pPr>
              <w:spacing w:after="0" w:line="240" w:lineRule="auto"/>
              <w:jc w:val="right"/>
              <w:rPr>
                <w:rFonts w:cs="Arial"/>
                <w:color w:val="000000"/>
                <w:szCs w:val="20"/>
              </w:rPr>
            </w:pPr>
            <w:r>
              <w:rPr>
                <w:rFonts w:cs="Arial"/>
                <w:color w:val="000000"/>
                <w:szCs w:val="20"/>
              </w:rPr>
              <w:t>14.405</w:t>
            </w:r>
          </w:p>
        </w:tc>
        <w:tc>
          <w:tcPr>
            <w:tcW w:w="1162" w:type="dxa"/>
            <w:tcBorders>
              <w:top w:val="nil"/>
              <w:left w:val="nil"/>
              <w:bottom w:val="single" w:sz="8" w:space="0" w:color="auto"/>
              <w:right w:val="single" w:sz="8" w:space="0" w:color="auto"/>
            </w:tcBorders>
            <w:shd w:val="clear" w:color="auto" w:fill="auto"/>
          </w:tcPr>
          <w:p w14:paraId="19173E9C" w14:textId="77777777" w:rsidR="00C87691" w:rsidRPr="00687A04" w:rsidRDefault="005D67A8" w:rsidP="004A499A">
            <w:pPr>
              <w:spacing w:after="0" w:line="240" w:lineRule="auto"/>
              <w:jc w:val="right"/>
              <w:rPr>
                <w:rFonts w:cs="Arial"/>
                <w:color w:val="000000"/>
                <w:szCs w:val="20"/>
              </w:rPr>
            </w:pPr>
            <w:r>
              <w:rPr>
                <w:rFonts w:cs="Arial"/>
                <w:color w:val="000000"/>
                <w:szCs w:val="20"/>
              </w:rPr>
              <w:t>14.304</w:t>
            </w:r>
          </w:p>
        </w:tc>
        <w:tc>
          <w:tcPr>
            <w:tcW w:w="1162" w:type="dxa"/>
            <w:tcBorders>
              <w:top w:val="nil"/>
              <w:left w:val="nil"/>
              <w:bottom w:val="single" w:sz="8" w:space="0" w:color="auto"/>
              <w:right w:val="single" w:sz="8" w:space="0" w:color="auto"/>
            </w:tcBorders>
            <w:shd w:val="clear" w:color="auto" w:fill="auto"/>
          </w:tcPr>
          <w:p w14:paraId="2BC9A8E9" w14:textId="77777777" w:rsidR="00C87691" w:rsidRPr="00687A04" w:rsidRDefault="005D67A8" w:rsidP="004A499A">
            <w:pPr>
              <w:spacing w:after="0" w:line="240" w:lineRule="auto"/>
              <w:jc w:val="right"/>
              <w:rPr>
                <w:rFonts w:cs="Arial"/>
                <w:color w:val="000000"/>
                <w:szCs w:val="20"/>
              </w:rPr>
            </w:pPr>
            <w:r>
              <w:rPr>
                <w:rFonts w:cs="Arial"/>
                <w:color w:val="000000"/>
                <w:szCs w:val="20"/>
              </w:rPr>
              <w:t>14.304</w:t>
            </w:r>
          </w:p>
        </w:tc>
        <w:tc>
          <w:tcPr>
            <w:tcW w:w="1162" w:type="dxa"/>
            <w:tcBorders>
              <w:top w:val="nil"/>
              <w:left w:val="nil"/>
              <w:bottom w:val="single" w:sz="8" w:space="0" w:color="auto"/>
              <w:right w:val="single" w:sz="8" w:space="0" w:color="auto"/>
            </w:tcBorders>
            <w:shd w:val="clear" w:color="auto" w:fill="auto"/>
          </w:tcPr>
          <w:p w14:paraId="7261BBFF" w14:textId="77777777" w:rsidR="00C87691" w:rsidRPr="00687A04" w:rsidRDefault="005D67A8" w:rsidP="004A499A">
            <w:pPr>
              <w:spacing w:after="0" w:line="240" w:lineRule="auto"/>
              <w:jc w:val="right"/>
              <w:rPr>
                <w:rFonts w:cs="Arial"/>
                <w:color w:val="000000"/>
                <w:szCs w:val="20"/>
              </w:rPr>
            </w:pPr>
            <w:r>
              <w:rPr>
                <w:rFonts w:cs="Arial"/>
                <w:color w:val="000000"/>
                <w:szCs w:val="20"/>
              </w:rPr>
              <w:t>14.304</w:t>
            </w:r>
          </w:p>
        </w:tc>
        <w:tc>
          <w:tcPr>
            <w:tcW w:w="1163" w:type="dxa"/>
            <w:tcBorders>
              <w:top w:val="nil"/>
              <w:left w:val="nil"/>
              <w:bottom w:val="single" w:sz="8" w:space="0" w:color="auto"/>
              <w:right w:val="single" w:sz="8" w:space="0" w:color="auto"/>
            </w:tcBorders>
            <w:shd w:val="clear" w:color="auto" w:fill="auto"/>
          </w:tcPr>
          <w:p w14:paraId="2A761F2C" w14:textId="77777777" w:rsidR="00C87691" w:rsidRPr="00687A04" w:rsidRDefault="005D67A8" w:rsidP="004A499A">
            <w:pPr>
              <w:spacing w:after="0" w:line="240" w:lineRule="auto"/>
              <w:jc w:val="right"/>
              <w:rPr>
                <w:rFonts w:cs="Arial"/>
                <w:color w:val="000000"/>
                <w:szCs w:val="20"/>
              </w:rPr>
            </w:pPr>
            <w:r>
              <w:rPr>
                <w:rFonts w:cs="Arial"/>
                <w:color w:val="000000"/>
                <w:szCs w:val="20"/>
              </w:rPr>
              <w:t>14.304</w:t>
            </w:r>
          </w:p>
        </w:tc>
      </w:tr>
      <w:tr w:rsidR="00C87691" w:rsidRPr="005A5B87" w14:paraId="791A5D4A" w14:textId="77777777" w:rsidTr="00391111">
        <w:trPr>
          <w:trHeight w:val="162"/>
          <w:tblHeader/>
        </w:trPr>
        <w:tc>
          <w:tcPr>
            <w:tcW w:w="964" w:type="dxa"/>
            <w:tcBorders>
              <w:top w:val="nil"/>
              <w:left w:val="single" w:sz="8" w:space="0" w:color="auto"/>
              <w:bottom w:val="single" w:sz="8" w:space="0" w:color="auto"/>
              <w:right w:val="single" w:sz="8" w:space="0" w:color="auto"/>
            </w:tcBorders>
            <w:shd w:val="clear" w:color="auto" w:fill="auto"/>
            <w:hideMark/>
          </w:tcPr>
          <w:p w14:paraId="7E7BED27" w14:textId="77777777" w:rsidR="00C87691" w:rsidRPr="00687A04" w:rsidRDefault="00C87691" w:rsidP="00C87691">
            <w:pPr>
              <w:spacing w:after="0" w:line="240" w:lineRule="auto"/>
              <w:rPr>
                <w:rFonts w:cs="Arial"/>
                <w:color w:val="000000"/>
                <w:szCs w:val="20"/>
              </w:rPr>
            </w:pPr>
            <w:r w:rsidRPr="00687A04">
              <w:rPr>
                <w:rFonts w:cs="Arial"/>
                <w:color w:val="000000"/>
                <w:szCs w:val="20"/>
              </w:rPr>
              <w:t>15(1)(b)</w:t>
            </w:r>
          </w:p>
        </w:tc>
        <w:tc>
          <w:tcPr>
            <w:tcW w:w="2287" w:type="dxa"/>
            <w:tcBorders>
              <w:top w:val="nil"/>
              <w:left w:val="nil"/>
              <w:bottom w:val="single" w:sz="8" w:space="0" w:color="auto"/>
              <w:right w:val="single" w:sz="8" w:space="0" w:color="auto"/>
            </w:tcBorders>
            <w:shd w:val="clear" w:color="auto" w:fill="auto"/>
            <w:hideMark/>
          </w:tcPr>
          <w:p w14:paraId="7345E288" w14:textId="77777777" w:rsidR="00C87691" w:rsidRPr="00687A04" w:rsidRDefault="00C87691" w:rsidP="00C87691">
            <w:pPr>
              <w:spacing w:after="0" w:line="240" w:lineRule="auto"/>
              <w:rPr>
                <w:rFonts w:cs="Arial"/>
                <w:color w:val="000000"/>
                <w:szCs w:val="20"/>
              </w:rPr>
            </w:pPr>
            <w:r w:rsidRPr="00687A04">
              <w:rPr>
                <w:rFonts w:cs="Arial"/>
                <w:color w:val="000000"/>
                <w:szCs w:val="20"/>
              </w:rPr>
              <w:t xml:space="preserve">ACCC expenses </w:t>
            </w:r>
          </w:p>
        </w:tc>
        <w:tc>
          <w:tcPr>
            <w:tcW w:w="1162" w:type="dxa"/>
            <w:tcBorders>
              <w:top w:val="nil"/>
              <w:left w:val="nil"/>
              <w:bottom w:val="single" w:sz="8" w:space="0" w:color="auto"/>
              <w:right w:val="single" w:sz="8" w:space="0" w:color="auto"/>
            </w:tcBorders>
            <w:shd w:val="clear" w:color="auto" w:fill="auto"/>
          </w:tcPr>
          <w:p w14:paraId="5B1074DD" w14:textId="77777777" w:rsidR="00C87691" w:rsidRPr="00687A04" w:rsidRDefault="005D67A8" w:rsidP="00C87691">
            <w:pPr>
              <w:spacing w:after="0" w:line="240" w:lineRule="auto"/>
              <w:jc w:val="right"/>
              <w:rPr>
                <w:rFonts w:cs="Arial"/>
                <w:color w:val="000000"/>
                <w:szCs w:val="20"/>
              </w:rPr>
            </w:pPr>
            <w:r>
              <w:rPr>
                <w:rFonts w:cs="Arial"/>
                <w:color w:val="000000"/>
                <w:szCs w:val="20"/>
              </w:rPr>
              <w:t>13.241</w:t>
            </w:r>
          </w:p>
        </w:tc>
        <w:tc>
          <w:tcPr>
            <w:tcW w:w="1162" w:type="dxa"/>
            <w:tcBorders>
              <w:top w:val="nil"/>
              <w:left w:val="nil"/>
              <w:bottom w:val="single" w:sz="8" w:space="0" w:color="auto"/>
              <w:right w:val="single" w:sz="8" w:space="0" w:color="auto"/>
            </w:tcBorders>
            <w:shd w:val="clear" w:color="auto" w:fill="auto"/>
          </w:tcPr>
          <w:p w14:paraId="21602D0F" w14:textId="77777777" w:rsidR="00C87691" w:rsidRPr="00687A04" w:rsidRDefault="00864956" w:rsidP="004A499A">
            <w:pPr>
              <w:spacing w:after="0" w:line="240" w:lineRule="auto"/>
              <w:jc w:val="right"/>
              <w:rPr>
                <w:rFonts w:cs="Arial"/>
                <w:color w:val="000000"/>
                <w:szCs w:val="20"/>
              </w:rPr>
            </w:pPr>
            <w:r>
              <w:rPr>
                <w:rFonts w:cs="Arial"/>
                <w:color w:val="000000"/>
                <w:szCs w:val="20"/>
              </w:rPr>
              <w:t>11.849</w:t>
            </w:r>
          </w:p>
        </w:tc>
        <w:tc>
          <w:tcPr>
            <w:tcW w:w="1162" w:type="dxa"/>
            <w:tcBorders>
              <w:top w:val="nil"/>
              <w:left w:val="nil"/>
              <w:bottom w:val="single" w:sz="8" w:space="0" w:color="auto"/>
              <w:right w:val="single" w:sz="8" w:space="0" w:color="auto"/>
            </w:tcBorders>
            <w:shd w:val="clear" w:color="auto" w:fill="auto"/>
          </w:tcPr>
          <w:p w14:paraId="01AD6C13" w14:textId="77777777" w:rsidR="00C87691" w:rsidRPr="00687A04" w:rsidRDefault="00864956" w:rsidP="00C87691">
            <w:pPr>
              <w:spacing w:after="0" w:line="240" w:lineRule="auto"/>
              <w:jc w:val="right"/>
              <w:rPr>
                <w:rFonts w:cs="Arial"/>
                <w:color w:val="000000"/>
                <w:szCs w:val="20"/>
              </w:rPr>
            </w:pPr>
            <w:r>
              <w:rPr>
                <w:rFonts w:cs="Arial"/>
                <w:color w:val="000000"/>
                <w:szCs w:val="20"/>
              </w:rPr>
              <w:t>11.849</w:t>
            </w:r>
          </w:p>
        </w:tc>
        <w:tc>
          <w:tcPr>
            <w:tcW w:w="1162" w:type="dxa"/>
            <w:tcBorders>
              <w:top w:val="nil"/>
              <w:left w:val="nil"/>
              <w:bottom w:val="single" w:sz="8" w:space="0" w:color="auto"/>
              <w:right w:val="single" w:sz="8" w:space="0" w:color="auto"/>
            </w:tcBorders>
            <w:shd w:val="clear" w:color="auto" w:fill="auto"/>
          </w:tcPr>
          <w:p w14:paraId="7517BD49" w14:textId="77777777" w:rsidR="00C87691" w:rsidRPr="00687A04" w:rsidRDefault="00864956" w:rsidP="00C87691">
            <w:pPr>
              <w:spacing w:after="0" w:line="240" w:lineRule="auto"/>
              <w:jc w:val="right"/>
              <w:rPr>
                <w:rFonts w:cs="Arial"/>
                <w:color w:val="000000"/>
                <w:szCs w:val="20"/>
              </w:rPr>
            </w:pPr>
            <w:r>
              <w:rPr>
                <w:rFonts w:cs="Arial"/>
                <w:color w:val="000000"/>
                <w:szCs w:val="20"/>
              </w:rPr>
              <w:t>11.849</w:t>
            </w:r>
          </w:p>
        </w:tc>
        <w:tc>
          <w:tcPr>
            <w:tcW w:w="1163" w:type="dxa"/>
            <w:tcBorders>
              <w:top w:val="nil"/>
              <w:left w:val="nil"/>
              <w:bottom w:val="single" w:sz="8" w:space="0" w:color="auto"/>
              <w:right w:val="single" w:sz="8" w:space="0" w:color="auto"/>
            </w:tcBorders>
            <w:shd w:val="clear" w:color="auto" w:fill="auto"/>
          </w:tcPr>
          <w:p w14:paraId="2AC5960E" w14:textId="77777777" w:rsidR="00C87691" w:rsidRPr="00687A04" w:rsidRDefault="00864956" w:rsidP="00C87691">
            <w:pPr>
              <w:spacing w:after="0" w:line="240" w:lineRule="auto"/>
              <w:jc w:val="right"/>
              <w:rPr>
                <w:rFonts w:cs="Arial"/>
                <w:color w:val="000000"/>
                <w:szCs w:val="20"/>
              </w:rPr>
            </w:pPr>
            <w:r>
              <w:rPr>
                <w:rFonts w:cs="Arial"/>
                <w:color w:val="000000"/>
                <w:szCs w:val="20"/>
              </w:rPr>
              <w:t>11.849</w:t>
            </w:r>
          </w:p>
        </w:tc>
      </w:tr>
      <w:tr w:rsidR="0070194D" w:rsidRPr="005A5B87" w14:paraId="7A87412E" w14:textId="77777777" w:rsidTr="00391111">
        <w:trPr>
          <w:trHeight w:val="252"/>
          <w:tblHeader/>
        </w:trPr>
        <w:tc>
          <w:tcPr>
            <w:tcW w:w="964" w:type="dxa"/>
            <w:tcBorders>
              <w:top w:val="nil"/>
              <w:left w:val="single" w:sz="8" w:space="0" w:color="auto"/>
              <w:bottom w:val="single" w:sz="8" w:space="0" w:color="auto"/>
              <w:right w:val="single" w:sz="8" w:space="0" w:color="auto"/>
            </w:tcBorders>
            <w:shd w:val="clear" w:color="auto" w:fill="auto"/>
            <w:hideMark/>
          </w:tcPr>
          <w:p w14:paraId="0379E7A8" w14:textId="77777777" w:rsidR="0070194D" w:rsidRPr="00FB1B4D" w:rsidRDefault="0070194D" w:rsidP="0070194D">
            <w:pPr>
              <w:spacing w:after="0" w:line="240" w:lineRule="auto"/>
              <w:rPr>
                <w:rFonts w:cs="Arial"/>
                <w:color w:val="000000"/>
                <w:szCs w:val="20"/>
              </w:rPr>
            </w:pPr>
            <w:r w:rsidRPr="00FB1B4D">
              <w:rPr>
                <w:rFonts w:cs="Arial"/>
                <w:color w:val="000000"/>
                <w:szCs w:val="20"/>
              </w:rPr>
              <w:t>15(1)(c)</w:t>
            </w:r>
          </w:p>
        </w:tc>
        <w:tc>
          <w:tcPr>
            <w:tcW w:w="2287" w:type="dxa"/>
            <w:tcBorders>
              <w:top w:val="nil"/>
              <w:left w:val="nil"/>
              <w:bottom w:val="single" w:sz="8" w:space="0" w:color="auto"/>
              <w:right w:val="single" w:sz="8" w:space="0" w:color="auto"/>
            </w:tcBorders>
            <w:shd w:val="clear" w:color="auto" w:fill="auto"/>
            <w:hideMark/>
          </w:tcPr>
          <w:p w14:paraId="76B8D099" w14:textId="77777777" w:rsidR="0070194D" w:rsidRPr="00FB1B4D" w:rsidRDefault="0070194D" w:rsidP="0070194D">
            <w:pPr>
              <w:spacing w:after="0" w:line="240" w:lineRule="auto"/>
              <w:rPr>
                <w:rFonts w:cs="Arial"/>
                <w:color w:val="000000"/>
                <w:szCs w:val="20"/>
              </w:rPr>
            </w:pPr>
            <w:r w:rsidRPr="00FB1B4D">
              <w:rPr>
                <w:rFonts w:cs="Arial"/>
                <w:color w:val="000000"/>
                <w:szCs w:val="20"/>
              </w:rPr>
              <w:t>ITU contribution</w:t>
            </w:r>
          </w:p>
        </w:tc>
        <w:tc>
          <w:tcPr>
            <w:tcW w:w="1162" w:type="dxa"/>
            <w:tcBorders>
              <w:top w:val="nil"/>
              <w:left w:val="nil"/>
              <w:bottom w:val="single" w:sz="8" w:space="0" w:color="auto"/>
              <w:right w:val="single" w:sz="8" w:space="0" w:color="auto"/>
            </w:tcBorders>
            <w:shd w:val="clear" w:color="auto" w:fill="auto"/>
          </w:tcPr>
          <w:p w14:paraId="2B27831B" w14:textId="77777777" w:rsidR="0070194D" w:rsidRPr="00FB1B4D" w:rsidRDefault="0070194D" w:rsidP="0070194D">
            <w:pPr>
              <w:spacing w:after="0" w:line="240" w:lineRule="auto"/>
              <w:jc w:val="right"/>
              <w:rPr>
                <w:rFonts w:cs="Arial"/>
                <w:color w:val="000000"/>
                <w:szCs w:val="20"/>
              </w:rPr>
            </w:pPr>
            <w:r w:rsidRPr="00FB1B4D">
              <w:rPr>
                <w:rFonts w:cs="Arial"/>
                <w:color w:val="000000"/>
                <w:szCs w:val="20"/>
              </w:rPr>
              <w:t>2.265</w:t>
            </w:r>
          </w:p>
        </w:tc>
        <w:tc>
          <w:tcPr>
            <w:tcW w:w="1162" w:type="dxa"/>
            <w:tcBorders>
              <w:top w:val="nil"/>
              <w:left w:val="nil"/>
              <w:bottom w:val="single" w:sz="8" w:space="0" w:color="auto"/>
              <w:right w:val="single" w:sz="8" w:space="0" w:color="auto"/>
            </w:tcBorders>
            <w:shd w:val="clear" w:color="auto" w:fill="auto"/>
          </w:tcPr>
          <w:p w14:paraId="25DD70A9" w14:textId="04B11800" w:rsidR="0070194D" w:rsidRPr="00FB1B4D" w:rsidRDefault="0070194D" w:rsidP="0070194D">
            <w:pPr>
              <w:spacing w:after="0" w:line="240" w:lineRule="auto"/>
              <w:jc w:val="right"/>
              <w:rPr>
                <w:rFonts w:cs="Arial"/>
                <w:color w:val="000000"/>
                <w:szCs w:val="20"/>
              </w:rPr>
            </w:pPr>
            <w:r>
              <w:rPr>
                <w:rFonts w:cs="Arial"/>
                <w:color w:val="000000"/>
                <w:szCs w:val="20"/>
              </w:rPr>
              <w:t>2.0</w:t>
            </w:r>
            <w:r w:rsidR="00C049AD">
              <w:rPr>
                <w:rFonts w:cs="Arial"/>
                <w:color w:val="000000"/>
                <w:szCs w:val="20"/>
              </w:rPr>
              <w:t>30</w:t>
            </w:r>
          </w:p>
        </w:tc>
        <w:tc>
          <w:tcPr>
            <w:tcW w:w="1162" w:type="dxa"/>
            <w:tcBorders>
              <w:top w:val="nil"/>
              <w:left w:val="nil"/>
              <w:bottom w:val="single" w:sz="8" w:space="0" w:color="auto"/>
              <w:right w:val="single" w:sz="8" w:space="0" w:color="auto"/>
            </w:tcBorders>
            <w:shd w:val="clear" w:color="auto" w:fill="auto"/>
          </w:tcPr>
          <w:p w14:paraId="3B37D2AB" w14:textId="2645E22D" w:rsidR="0070194D" w:rsidRPr="00FB1B4D" w:rsidRDefault="00C049AD" w:rsidP="0070194D">
            <w:pPr>
              <w:spacing w:after="0" w:line="240" w:lineRule="auto"/>
              <w:jc w:val="right"/>
              <w:rPr>
                <w:rFonts w:cs="Arial"/>
                <w:color w:val="000000"/>
                <w:szCs w:val="20"/>
              </w:rPr>
            </w:pPr>
            <w:r>
              <w:rPr>
                <w:rFonts w:cs="Arial"/>
                <w:color w:val="000000"/>
                <w:szCs w:val="20"/>
              </w:rPr>
              <w:t>2</w:t>
            </w:r>
            <w:r w:rsidR="0070194D">
              <w:rPr>
                <w:rFonts w:cs="Arial"/>
                <w:color w:val="000000"/>
                <w:szCs w:val="20"/>
              </w:rPr>
              <w:t>.</w:t>
            </w:r>
            <w:r>
              <w:rPr>
                <w:rFonts w:cs="Arial"/>
                <w:color w:val="000000"/>
                <w:szCs w:val="20"/>
              </w:rPr>
              <w:t>020</w:t>
            </w:r>
          </w:p>
        </w:tc>
        <w:tc>
          <w:tcPr>
            <w:tcW w:w="1162" w:type="dxa"/>
            <w:tcBorders>
              <w:top w:val="nil"/>
              <w:left w:val="nil"/>
              <w:bottom w:val="single" w:sz="8" w:space="0" w:color="auto"/>
              <w:right w:val="single" w:sz="8" w:space="0" w:color="auto"/>
            </w:tcBorders>
            <w:shd w:val="clear" w:color="auto" w:fill="auto"/>
          </w:tcPr>
          <w:p w14:paraId="6799CAB4" w14:textId="6202A36D" w:rsidR="0070194D" w:rsidRPr="00FB1B4D" w:rsidRDefault="0070194D" w:rsidP="0070194D">
            <w:pPr>
              <w:spacing w:after="0" w:line="240" w:lineRule="auto"/>
              <w:jc w:val="right"/>
              <w:rPr>
                <w:rFonts w:cs="Arial"/>
                <w:color w:val="000000"/>
                <w:szCs w:val="20"/>
              </w:rPr>
            </w:pPr>
            <w:r>
              <w:rPr>
                <w:rFonts w:cs="Arial"/>
                <w:color w:val="000000"/>
                <w:szCs w:val="20"/>
              </w:rPr>
              <w:t>1.9</w:t>
            </w:r>
            <w:r w:rsidR="00C049AD">
              <w:rPr>
                <w:rFonts w:cs="Arial"/>
                <w:color w:val="000000"/>
                <w:szCs w:val="20"/>
              </w:rPr>
              <w:t>96</w:t>
            </w:r>
          </w:p>
        </w:tc>
        <w:tc>
          <w:tcPr>
            <w:tcW w:w="1163" w:type="dxa"/>
            <w:tcBorders>
              <w:top w:val="nil"/>
              <w:left w:val="nil"/>
              <w:bottom w:val="single" w:sz="8" w:space="0" w:color="auto"/>
              <w:right w:val="single" w:sz="8" w:space="0" w:color="auto"/>
            </w:tcBorders>
            <w:shd w:val="clear" w:color="auto" w:fill="auto"/>
          </w:tcPr>
          <w:p w14:paraId="12023A67" w14:textId="1A446697" w:rsidR="0070194D" w:rsidRPr="00FB1B4D" w:rsidRDefault="00C049AD" w:rsidP="0070194D">
            <w:pPr>
              <w:spacing w:after="0" w:line="240" w:lineRule="auto"/>
              <w:jc w:val="right"/>
              <w:rPr>
                <w:rFonts w:cs="Arial"/>
                <w:color w:val="000000"/>
                <w:szCs w:val="20"/>
              </w:rPr>
            </w:pPr>
            <w:r>
              <w:rPr>
                <w:rFonts w:cs="Arial"/>
                <w:color w:val="000000"/>
                <w:szCs w:val="20"/>
              </w:rPr>
              <w:t>2</w:t>
            </w:r>
            <w:r w:rsidR="0070194D">
              <w:rPr>
                <w:rFonts w:cs="Arial"/>
                <w:color w:val="000000"/>
                <w:szCs w:val="20"/>
              </w:rPr>
              <w:t>.</w:t>
            </w:r>
            <w:r>
              <w:rPr>
                <w:rFonts w:cs="Arial"/>
                <w:color w:val="000000"/>
                <w:szCs w:val="20"/>
              </w:rPr>
              <w:t>031</w:t>
            </w:r>
          </w:p>
        </w:tc>
      </w:tr>
      <w:tr w:rsidR="00C87691" w:rsidRPr="005A5B87" w14:paraId="4F3FA656" w14:textId="77777777" w:rsidTr="00391111">
        <w:trPr>
          <w:trHeight w:val="456"/>
          <w:tblHeader/>
        </w:trPr>
        <w:tc>
          <w:tcPr>
            <w:tcW w:w="964" w:type="dxa"/>
            <w:tcBorders>
              <w:top w:val="nil"/>
              <w:left w:val="single" w:sz="8" w:space="0" w:color="auto"/>
              <w:bottom w:val="single" w:sz="8" w:space="0" w:color="auto"/>
              <w:right w:val="single" w:sz="8" w:space="0" w:color="auto"/>
            </w:tcBorders>
            <w:shd w:val="clear" w:color="auto" w:fill="auto"/>
          </w:tcPr>
          <w:p w14:paraId="31DC71A8" w14:textId="77777777" w:rsidR="00C87691" w:rsidRPr="00687A04" w:rsidRDefault="00C87691" w:rsidP="00C87691">
            <w:pPr>
              <w:spacing w:after="0" w:line="240" w:lineRule="auto"/>
              <w:rPr>
                <w:rFonts w:cs="Arial"/>
                <w:color w:val="000000"/>
                <w:szCs w:val="20"/>
              </w:rPr>
            </w:pPr>
            <w:r w:rsidRPr="00687A04">
              <w:rPr>
                <w:rFonts w:cs="Arial"/>
                <w:color w:val="000000"/>
                <w:szCs w:val="20"/>
              </w:rPr>
              <w:t>15(1)(ca)</w:t>
            </w:r>
          </w:p>
        </w:tc>
        <w:tc>
          <w:tcPr>
            <w:tcW w:w="2287" w:type="dxa"/>
            <w:tcBorders>
              <w:top w:val="nil"/>
              <w:left w:val="nil"/>
              <w:bottom w:val="single" w:sz="8" w:space="0" w:color="auto"/>
              <w:right w:val="single" w:sz="8" w:space="0" w:color="auto"/>
            </w:tcBorders>
            <w:shd w:val="clear" w:color="auto" w:fill="auto"/>
          </w:tcPr>
          <w:p w14:paraId="7100FBE4" w14:textId="77777777" w:rsidR="00C87691" w:rsidRPr="00687A04" w:rsidRDefault="00C87691" w:rsidP="00C87691">
            <w:pPr>
              <w:spacing w:after="0" w:line="240" w:lineRule="auto"/>
              <w:rPr>
                <w:rFonts w:cs="Arial"/>
                <w:color w:val="000000"/>
                <w:szCs w:val="20"/>
              </w:rPr>
            </w:pPr>
            <w:r w:rsidRPr="00687A04">
              <w:rPr>
                <w:rFonts w:cs="Arial"/>
                <w:color w:val="000000"/>
                <w:szCs w:val="20"/>
              </w:rPr>
              <w:t xml:space="preserve">Development </w:t>
            </w:r>
            <w:r w:rsidR="00C37EAD">
              <w:rPr>
                <w:rFonts w:cs="Arial"/>
                <w:color w:val="000000"/>
                <w:szCs w:val="20"/>
              </w:rPr>
              <w:t xml:space="preserve">or variation </w:t>
            </w:r>
            <w:r w:rsidRPr="00687A04">
              <w:rPr>
                <w:rFonts w:cs="Arial"/>
                <w:color w:val="000000"/>
                <w:szCs w:val="20"/>
              </w:rPr>
              <w:t>of consumer protection related industry codes</w:t>
            </w:r>
          </w:p>
        </w:tc>
        <w:tc>
          <w:tcPr>
            <w:tcW w:w="1162" w:type="dxa"/>
            <w:tcBorders>
              <w:top w:val="nil"/>
              <w:left w:val="nil"/>
              <w:bottom w:val="single" w:sz="8" w:space="0" w:color="auto"/>
              <w:right w:val="single" w:sz="8" w:space="0" w:color="auto"/>
            </w:tcBorders>
            <w:shd w:val="clear" w:color="auto" w:fill="auto"/>
          </w:tcPr>
          <w:p w14:paraId="4DCC4D11" w14:textId="77777777" w:rsidR="00C87691" w:rsidRPr="006C513A" w:rsidRDefault="00C87691" w:rsidP="00C87691">
            <w:pPr>
              <w:spacing w:after="0" w:line="240" w:lineRule="auto"/>
              <w:jc w:val="right"/>
              <w:rPr>
                <w:rFonts w:cs="Arial"/>
                <w:color w:val="000000"/>
                <w:szCs w:val="20"/>
              </w:rPr>
            </w:pPr>
            <w:r>
              <w:rPr>
                <w:rFonts w:cs="Arial"/>
                <w:color w:val="000000"/>
                <w:szCs w:val="20"/>
              </w:rPr>
              <w:t>0.300</w:t>
            </w:r>
          </w:p>
        </w:tc>
        <w:tc>
          <w:tcPr>
            <w:tcW w:w="1162" w:type="dxa"/>
            <w:tcBorders>
              <w:top w:val="nil"/>
              <w:left w:val="nil"/>
              <w:bottom w:val="single" w:sz="8" w:space="0" w:color="auto"/>
              <w:right w:val="single" w:sz="8" w:space="0" w:color="auto"/>
            </w:tcBorders>
            <w:shd w:val="clear" w:color="auto" w:fill="auto"/>
          </w:tcPr>
          <w:p w14:paraId="31B56D1A" w14:textId="77777777" w:rsidR="00C87691" w:rsidRPr="006C513A" w:rsidRDefault="00C87691" w:rsidP="00C87691">
            <w:pPr>
              <w:spacing w:after="0" w:line="240" w:lineRule="auto"/>
              <w:jc w:val="right"/>
              <w:rPr>
                <w:rFonts w:cs="Arial"/>
                <w:color w:val="000000"/>
                <w:szCs w:val="20"/>
              </w:rPr>
            </w:pPr>
            <w:r>
              <w:rPr>
                <w:rFonts w:cs="Arial"/>
                <w:color w:val="000000"/>
                <w:szCs w:val="20"/>
              </w:rPr>
              <w:t>0.300</w:t>
            </w:r>
          </w:p>
        </w:tc>
        <w:tc>
          <w:tcPr>
            <w:tcW w:w="1162" w:type="dxa"/>
            <w:tcBorders>
              <w:top w:val="nil"/>
              <w:left w:val="nil"/>
              <w:bottom w:val="single" w:sz="8" w:space="0" w:color="auto"/>
              <w:right w:val="single" w:sz="8" w:space="0" w:color="auto"/>
            </w:tcBorders>
            <w:shd w:val="clear" w:color="auto" w:fill="auto"/>
          </w:tcPr>
          <w:p w14:paraId="182755D1" w14:textId="77777777" w:rsidR="00C87691" w:rsidRPr="006C513A" w:rsidRDefault="00C87691" w:rsidP="00C87691">
            <w:pPr>
              <w:spacing w:after="0" w:line="240" w:lineRule="auto"/>
              <w:jc w:val="right"/>
              <w:rPr>
                <w:rFonts w:cs="Arial"/>
                <w:color w:val="000000"/>
                <w:szCs w:val="20"/>
              </w:rPr>
            </w:pPr>
            <w:r>
              <w:rPr>
                <w:rFonts w:cs="Arial"/>
                <w:color w:val="000000"/>
                <w:szCs w:val="20"/>
              </w:rPr>
              <w:t>0.300</w:t>
            </w:r>
          </w:p>
        </w:tc>
        <w:tc>
          <w:tcPr>
            <w:tcW w:w="1162" w:type="dxa"/>
            <w:tcBorders>
              <w:top w:val="nil"/>
              <w:left w:val="nil"/>
              <w:bottom w:val="single" w:sz="8" w:space="0" w:color="auto"/>
              <w:right w:val="single" w:sz="8" w:space="0" w:color="auto"/>
            </w:tcBorders>
            <w:shd w:val="clear" w:color="auto" w:fill="auto"/>
          </w:tcPr>
          <w:p w14:paraId="3813DE76" w14:textId="77777777" w:rsidR="00C87691" w:rsidRPr="006C513A" w:rsidRDefault="00C87691" w:rsidP="00C87691">
            <w:pPr>
              <w:spacing w:after="0" w:line="240" w:lineRule="auto"/>
              <w:jc w:val="right"/>
              <w:rPr>
                <w:rFonts w:cs="Arial"/>
                <w:color w:val="000000"/>
                <w:szCs w:val="20"/>
              </w:rPr>
            </w:pPr>
            <w:r>
              <w:rPr>
                <w:rFonts w:cs="Arial"/>
                <w:color w:val="000000"/>
                <w:szCs w:val="20"/>
              </w:rPr>
              <w:t>0.300</w:t>
            </w:r>
          </w:p>
        </w:tc>
        <w:tc>
          <w:tcPr>
            <w:tcW w:w="1163" w:type="dxa"/>
            <w:tcBorders>
              <w:top w:val="nil"/>
              <w:left w:val="nil"/>
              <w:bottom w:val="single" w:sz="8" w:space="0" w:color="auto"/>
              <w:right w:val="single" w:sz="8" w:space="0" w:color="auto"/>
            </w:tcBorders>
            <w:shd w:val="clear" w:color="auto" w:fill="auto"/>
          </w:tcPr>
          <w:p w14:paraId="6D4A1CCC" w14:textId="77777777" w:rsidR="00C87691" w:rsidRPr="006C513A" w:rsidRDefault="00C87691" w:rsidP="00C87691">
            <w:pPr>
              <w:spacing w:after="0" w:line="240" w:lineRule="auto"/>
              <w:jc w:val="right"/>
              <w:rPr>
                <w:rFonts w:cs="Arial"/>
                <w:color w:val="000000"/>
                <w:szCs w:val="20"/>
              </w:rPr>
            </w:pPr>
            <w:r>
              <w:rPr>
                <w:rFonts w:cs="Arial"/>
                <w:color w:val="000000"/>
                <w:szCs w:val="20"/>
              </w:rPr>
              <w:t>0.300</w:t>
            </w:r>
          </w:p>
        </w:tc>
      </w:tr>
      <w:tr w:rsidR="00C87691" w:rsidRPr="005A5B87" w14:paraId="3E75625B" w14:textId="77777777" w:rsidTr="00391111">
        <w:trPr>
          <w:trHeight w:val="525"/>
          <w:tblHeader/>
        </w:trPr>
        <w:tc>
          <w:tcPr>
            <w:tcW w:w="964" w:type="dxa"/>
            <w:tcBorders>
              <w:top w:val="nil"/>
              <w:left w:val="single" w:sz="8" w:space="0" w:color="auto"/>
              <w:bottom w:val="single" w:sz="8" w:space="0" w:color="auto"/>
              <w:right w:val="single" w:sz="8" w:space="0" w:color="auto"/>
            </w:tcBorders>
            <w:shd w:val="clear" w:color="auto" w:fill="auto"/>
            <w:hideMark/>
          </w:tcPr>
          <w:p w14:paraId="57DCFE31" w14:textId="77777777" w:rsidR="00C87691" w:rsidRPr="00687A04" w:rsidRDefault="00C87691" w:rsidP="00C87691">
            <w:pPr>
              <w:spacing w:after="0" w:line="240" w:lineRule="auto"/>
              <w:rPr>
                <w:rFonts w:cs="Arial"/>
                <w:color w:val="000000"/>
                <w:szCs w:val="20"/>
              </w:rPr>
            </w:pPr>
            <w:r w:rsidRPr="00687A04">
              <w:rPr>
                <w:rFonts w:cs="Arial"/>
                <w:color w:val="000000"/>
                <w:szCs w:val="20"/>
              </w:rPr>
              <w:t>15(1)(d)</w:t>
            </w:r>
          </w:p>
        </w:tc>
        <w:tc>
          <w:tcPr>
            <w:tcW w:w="2287" w:type="dxa"/>
            <w:tcBorders>
              <w:top w:val="nil"/>
              <w:left w:val="nil"/>
              <w:bottom w:val="single" w:sz="8" w:space="0" w:color="auto"/>
              <w:right w:val="single" w:sz="8" w:space="0" w:color="auto"/>
            </w:tcBorders>
            <w:shd w:val="clear" w:color="auto" w:fill="auto"/>
            <w:hideMark/>
          </w:tcPr>
          <w:p w14:paraId="54108C8B" w14:textId="77777777" w:rsidR="00C87691" w:rsidRPr="00120B54" w:rsidRDefault="00C87691" w:rsidP="00C87691">
            <w:pPr>
              <w:spacing w:after="0" w:line="240" w:lineRule="auto"/>
              <w:rPr>
                <w:rFonts w:cs="Arial"/>
                <w:color w:val="000000"/>
                <w:szCs w:val="20"/>
              </w:rPr>
            </w:pPr>
            <w:r w:rsidRPr="00120B54">
              <w:rPr>
                <w:rFonts w:cs="Arial"/>
                <w:color w:val="000000"/>
                <w:szCs w:val="20"/>
              </w:rPr>
              <w:t>Government grants—consumer representation and research</w:t>
            </w:r>
          </w:p>
        </w:tc>
        <w:tc>
          <w:tcPr>
            <w:tcW w:w="1162" w:type="dxa"/>
            <w:tcBorders>
              <w:top w:val="nil"/>
              <w:left w:val="nil"/>
              <w:bottom w:val="single" w:sz="8" w:space="0" w:color="auto"/>
              <w:right w:val="single" w:sz="8" w:space="0" w:color="auto"/>
            </w:tcBorders>
            <w:shd w:val="clear" w:color="auto" w:fill="auto"/>
          </w:tcPr>
          <w:p w14:paraId="19EC9C2C" w14:textId="77777777" w:rsidR="00C87691" w:rsidRPr="00687A04" w:rsidRDefault="000E6FA6" w:rsidP="00C87691">
            <w:pPr>
              <w:spacing w:after="0" w:line="240" w:lineRule="auto"/>
              <w:jc w:val="right"/>
              <w:rPr>
                <w:rFonts w:cs="Arial"/>
                <w:color w:val="000000"/>
                <w:szCs w:val="20"/>
              </w:rPr>
            </w:pPr>
            <w:r>
              <w:rPr>
                <w:rFonts w:cs="Arial"/>
                <w:color w:val="000000"/>
                <w:szCs w:val="20"/>
              </w:rPr>
              <w:t>2.2</w:t>
            </w:r>
            <w:r w:rsidR="00C87691">
              <w:rPr>
                <w:rFonts w:cs="Arial"/>
                <w:color w:val="000000"/>
                <w:szCs w:val="20"/>
              </w:rPr>
              <w:t>7</w:t>
            </w:r>
            <w:r>
              <w:rPr>
                <w:rFonts w:cs="Arial"/>
                <w:color w:val="000000"/>
                <w:szCs w:val="20"/>
              </w:rPr>
              <w:t>2</w:t>
            </w:r>
          </w:p>
        </w:tc>
        <w:tc>
          <w:tcPr>
            <w:tcW w:w="1162" w:type="dxa"/>
            <w:tcBorders>
              <w:top w:val="nil"/>
              <w:left w:val="nil"/>
              <w:bottom w:val="single" w:sz="8" w:space="0" w:color="auto"/>
              <w:right w:val="single" w:sz="8" w:space="0" w:color="auto"/>
            </w:tcBorders>
            <w:shd w:val="clear" w:color="auto" w:fill="auto"/>
          </w:tcPr>
          <w:p w14:paraId="252FF823" w14:textId="77777777" w:rsidR="00C87691" w:rsidRPr="00687A04" w:rsidRDefault="000E6FA6" w:rsidP="00C87691">
            <w:pPr>
              <w:spacing w:after="0" w:line="240" w:lineRule="auto"/>
              <w:jc w:val="right"/>
              <w:rPr>
                <w:rFonts w:cs="Arial"/>
                <w:color w:val="000000"/>
                <w:szCs w:val="20"/>
              </w:rPr>
            </w:pPr>
            <w:r>
              <w:rPr>
                <w:rFonts w:cs="Arial"/>
                <w:color w:val="000000"/>
                <w:szCs w:val="20"/>
              </w:rPr>
              <w:t>2.261</w:t>
            </w:r>
          </w:p>
        </w:tc>
        <w:tc>
          <w:tcPr>
            <w:tcW w:w="1162" w:type="dxa"/>
            <w:tcBorders>
              <w:top w:val="nil"/>
              <w:left w:val="nil"/>
              <w:bottom w:val="single" w:sz="8" w:space="0" w:color="auto"/>
              <w:right w:val="single" w:sz="8" w:space="0" w:color="auto"/>
            </w:tcBorders>
            <w:shd w:val="clear" w:color="auto" w:fill="auto"/>
          </w:tcPr>
          <w:p w14:paraId="3C4F1A60" w14:textId="77777777" w:rsidR="00C87691" w:rsidRPr="00687A04" w:rsidRDefault="000E6FA6" w:rsidP="00C87691">
            <w:pPr>
              <w:spacing w:after="0" w:line="240" w:lineRule="auto"/>
              <w:jc w:val="right"/>
              <w:rPr>
                <w:rFonts w:cs="Arial"/>
                <w:color w:val="000000"/>
                <w:szCs w:val="20"/>
              </w:rPr>
            </w:pPr>
            <w:r>
              <w:rPr>
                <w:rFonts w:cs="Arial"/>
                <w:color w:val="000000"/>
                <w:szCs w:val="20"/>
              </w:rPr>
              <w:t>2.296</w:t>
            </w:r>
          </w:p>
        </w:tc>
        <w:tc>
          <w:tcPr>
            <w:tcW w:w="1162" w:type="dxa"/>
            <w:tcBorders>
              <w:top w:val="nil"/>
              <w:left w:val="nil"/>
              <w:bottom w:val="single" w:sz="8" w:space="0" w:color="auto"/>
              <w:right w:val="single" w:sz="8" w:space="0" w:color="auto"/>
            </w:tcBorders>
            <w:shd w:val="clear" w:color="auto" w:fill="auto"/>
          </w:tcPr>
          <w:p w14:paraId="41B3AF8A" w14:textId="77777777" w:rsidR="00C87691" w:rsidRPr="00687A04" w:rsidRDefault="000E6FA6" w:rsidP="00C87691">
            <w:pPr>
              <w:spacing w:after="0" w:line="240" w:lineRule="auto"/>
              <w:jc w:val="right"/>
              <w:rPr>
                <w:rFonts w:cs="Arial"/>
                <w:color w:val="000000"/>
                <w:szCs w:val="20"/>
              </w:rPr>
            </w:pPr>
            <w:r>
              <w:rPr>
                <w:rFonts w:cs="Arial"/>
                <w:color w:val="000000"/>
                <w:szCs w:val="20"/>
              </w:rPr>
              <w:t>2.326</w:t>
            </w:r>
          </w:p>
        </w:tc>
        <w:tc>
          <w:tcPr>
            <w:tcW w:w="1163" w:type="dxa"/>
            <w:tcBorders>
              <w:top w:val="nil"/>
              <w:left w:val="nil"/>
              <w:bottom w:val="single" w:sz="8" w:space="0" w:color="auto"/>
              <w:right w:val="single" w:sz="8" w:space="0" w:color="auto"/>
            </w:tcBorders>
            <w:shd w:val="clear" w:color="auto" w:fill="auto"/>
          </w:tcPr>
          <w:p w14:paraId="256212BB" w14:textId="77777777" w:rsidR="00C87691" w:rsidRPr="00687A04" w:rsidRDefault="000E6FA6" w:rsidP="00C87691">
            <w:pPr>
              <w:spacing w:after="0" w:line="240" w:lineRule="auto"/>
              <w:jc w:val="right"/>
              <w:rPr>
                <w:rFonts w:cs="Arial"/>
                <w:color w:val="000000"/>
                <w:szCs w:val="20"/>
              </w:rPr>
            </w:pPr>
            <w:r>
              <w:rPr>
                <w:rFonts w:cs="Arial"/>
                <w:color w:val="000000"/>
                <w:szCs w:val="20"/>
              </w:rPr>
              <w:t>2.365</w:t>
            </w:r>
          </w:p>
        </w:tc>
      </w:tr>
      <w:tr w:rsidR="0070194D" w:rsidRPr="005A5B87" w14:paraId="4728F522" w14:textId="77777777" w:rsidTr="00C32914">
        <w:trPr>
          <w:trHeight w:val="68"/>
          <w:tblHeader/>
        </w:trPr>
        <w:tc>
          <w:tcPr>
            <w:tcW w:w="3251" w:type="dxa"/>
            <w:gridSpan w:val="2"/>
            <w:tcBorders>
              <w:top w:val="single" w:sz="8" w:space="0" w:color="auto"/>
              <w:left w:val="single" w:sz="8" w:space="0" w:color="auto"/>
              <w:bottom w:val="single" w:sz="8" w:space="0" w:color="auto"/>
              <w:right w:val="single" w:sz="8" w:space="0" w:color="000000"/>
            </w:tcBorders>
            <w:shd w:val="clear" w:color="auto" w:fill="D9D9D9" w:themeFill="background1" w:themeFillShade="D9"/>
            <w:hideMark/>
          </w:tcPr>
          <w:p w14:paraId="384B0F68" w14:textId="77777777" w:rsidR="0070194D" w:rsidRPr="00120B54" w:rsidRDefault="0070194D" w:rsidP="0070194D">
            <w:pPr>
              <w:spacing w:after="0" w:line="240" w:lineRule="auto"/>
              <w:rPr>
                <w:rFonts w:cs="Arial"/>
                <w:b/>
                <w:bCs/>
                <w:color w:val="000000"/>
                <w:szCs w:val="20"/>
              </w:rPr>
            </w:pPr>
            <w:r w:rsidRPr="00120B54">
              <w:rPr>
                <w:rFonts w:cs="Arial"/>
                <w:b/>
                <w:bCs/>
                <w:color w:val="000000"/>
                <w:szCs w:val="20"/>
              </w:rPr>
              <w:t>Total expenses</w:t>
            </w:r>
          </w:p>
        </w:tc>
        <w:tc>
          <w:tcPr>
            <w:tcW w:w="1162" w:type="dxa"/>
            <w:tcBorders>
              <w:top w:val="nil"/>
              <w:left w:val="nil"/>
              <w:bottom w:val="single" w:sz="8" w:space="0" w:color="auto"/>
              <w:right w:val="single" w:sz="8" w:space="0" w:color="auto"/>
            </w:tcBorders>
            <w:shd w:val="clear" w:color="auto" w:fill="D9D9D9" w:themeFill="background1" w:themeFillShade="D9"/>
          </w:tcPr>
          <w:p w14:paraId="329AD429" w14:textId="77777777" w:rsidR="0070194D" w:rsidRPr="00E94F6D" w:rsidRDefault="0070194D" w:rsidP="0070194D">
            <w:pPr>
              <w:spacing w:after="0" w:line="240" w:lineRule="auto"/>
              <w:jc w:val="right"/>
              <w:rPr>
                <w:rFonts w:cs="Arial"/>
                <w:b/>
                <w:bCs/>
                <w:color w:val="000000"/>
                <w:szCs w:val="20"/>
              </w:rPr>
            </w:pPr>
            <w:r>
              <w:rPr>
                <w:rFonts w:cs="Arial"/>
                <w:b/>
                <w:bCs/>
                <w:color w:val="000000"/>
                <w:szCs w:val="20"/>
              </w:rPr>
              <w:t>32.483</w:t>
            </w:r>
          </w:p>
        </w:tc>
        <w:tc>
          <w:tcPr>
            <w:tcW w:w="1162" w:type="dxa"/>
            <w:tcBorders>
              <w:top w:val="nil"/>
              <w:left w:val="nil"/>
              <w:bottom w:val="single" w:sz="8" w:space="0" w:color="auto"/>
              <w:right w:val="single" w:sz="8" w:space="0" w:color="auto"/>
            </w:tcBorders>
            <w:shd w:val="clear" w:color="auto" w:fill="D9D9D9" w:themeFill="background1" w:themeFillShade="D9"/>
          </w:tcPr>
          <w:p w14:paraId="78C9F864" w14:textId="4D20681A" w:rsidR="0070194D" w:rsidRPr="00E94F6D" w:rsidRDefault="0070194D" w:rsidP="0070194D">
            <w:pPr>
              <w:spacing w:after="0" w:line="240" w:lineRule="auto"/>
              <w:jc w:val="right"/>
              <w:rPr>
                <w:rFonts w:cs="Arial"/>
                <w:b/>
                <w:bCs/>
                <w:color w:val="000000"/>
                <w:szCs w:val="20"/>
              </w:rPr>
            </w:pPr>
            <w:r>
              <w:rPr>
                <w:rFonts w:cs="Arial"/>
                <w:b/>
                <w:bCs/>
                <w:color w:val="000000"/>
                <w:szCs w:val="20"/>
              </w:rPr>
              <w:t>30.74</w:t>
            </w:r>
            <w:r w:rsidR="00C049AD">
              <w:rPr>
                <w:rFonts w:cs="Arial"/>
                <w:b/>
                <w:bCs/>
                <w:color w:val="000000"/>
                <w:szCs w:val="20"/>
              </w:rPr>
              <w:t>4</w:t>
            </w:r>
          </w:p>
        </w:tc>
        <w:tc>
          <w:tcPr>
            <w:tcW w:w="1162" w:type="dxa"/>
            <w:tcBorders>
              <w:top w:val="nil"/>
              <w:left w:val="nil"/>
              <w:bottom w:val="single" w:sz="8" w:space="0" w:color="auto"/>
              <w:right w:val="single" w:sz="8" w:space="0" w:color="auto"/>
            </w:tcBorders>
            <w:shd w:val="clear" w:color="auto" w:fill="D9D9D9" w:themeFill="background1" w:themeFillShade="D9"/>
          </w:tcPr>
          <w:p w14:paraId="774B09D0" w14:textId="6F467E97" w:rsidR="0070194D" w:rsidRPr="00E94F6D" w:rsidRDefault="0070194D" w:rsidP="0070194D">
            <w:pPr>
              <w:spacing w:after="0" w:line="240" w:lineRule="auto"/>
              <w:jc w:val="right"/>
              <w:rPr>
                <w:rFonts w:cs="Arial"/>
                <w:b/>
                <w:bCs/>
                <w:color w:val="000000"/>
                <w:szCs w:val="20"/>
              </w:rPr>
            </w:pPr>
            <w:r>
              <w:rPr>
                <w:rFonts w:cs="Arial"/>
                <w:b/>
                <w:bCs/>
                <w:color w:val="000000"/>
                <w:szCs w:val="20"/>
              </w:rPr>
              <w:t>30.7</w:t>
            </w:r>
            <w:r w:rsidR="00C049AD">
              <w:rPr>
                <w:rFonts w:cs="Arial"/>
                <w:b/>
                <w:bCs/>
                <w:color w:val="000000"/>
                <w:szCs w:val="20"/>
              </w:rPr>
              <w:t>69</w:t>
            </w:r>
          </w:p>
        </w:tc>
        <w:tc>
          <w:tcPr>
            <w:tcW w:w="1162" w:type="dxa"/>
            <w:tcBorders>
              <w:top w:val="nil"/>
              <w:left w:val="nil"/>
              <w:bottom w:val="single" w:sz="8" w:space="0" w:color="auto"/>
              <w:right w:val="single" w:sz="8" w:space="0" w:color="auto"/>
            </w:tcBorders>
            <w:shd w:val="clear" w:color="auto" w:fill="D9D9D9" w:themeFill="background1" w:themeFillShade="D9"/>
          </w:tcPr>
          <w:p w14:paraId="14C46993" w14:textId="7E735C31" w:rsidR="0070194D" w:rsidRPr="00E94F6D" w:rsidRDefault="0070194D" w:rsidP="0070194D">
            <w:pPr>
              <w:spacing w:after="0" w:line="240" w:lineRule="auto"/>
              <w:jc w:val="right"/>
              <w:rPr>
                <w:rFonts w:cs="Arial"/>
                <w:b/>
                <w:bCs/>
                <w:color w:val="000000"/>
                <w:szCs w:val="20"/>
              </w:rPr>
            </w:pPr>
            <w:r>
              <w:rPr>
                <w:rFonts w:cs="Arial"/>
                <w:b/>
                <w:bCs/>
                <w:color w:val="000000"/>
                <w:szCs w:val="20"/>
              </w:rPr>
              <w:t>30.</w:t>
            </w:r>
            <w:r w:rsidR="00C049AD">
              <w:rPr>
                <w:rFonts w:cs="Arial"/>
                <w:b/>
                <w:bCs/>
                <w:color w:val="000000"/>
                <w:szCs w:val="20"/>
              </w:rPr>
              <w:t>775</w:t>
            </w:r>
          </w:p>
        </w:tc>
        <w:tc>
          <w:tcPr>
            <w:tcW w:w="1163" w:type="dxa"/>
            <w:tcBorders>
              <w:top w:val="nil"/>
              <w:left w:val="nil"/>
              <w:bottom w:val="single" w:sz="8" w:space="0" w:color="auto"/>
              <w:right w:val="single" w:sz="8" w:space="0" w:color="auto"/>
            </w:tcBorders>
            <w:shd w:val="clear" w:color="auto" w:fill="D9D9D9" w:themeFill="background1" w:themeFillShade="D9"/>
          </w:tcPr>
          <w:p w14:paraId="4E12ED5D" w14:textId="2AA4AF06" w:rsidR="0070194D" w:rsidRPr="00E94F6D" w:rsidRDefault="0070194D" w:rsidP="0070194D">
            <w:pPr>
              <w:spacing w:after="0" w:line="240" w:lineRule="auto"/>
              <w:jc w:val="right"/>
              <w:rPr>
                <w:rFonts w:cs="Arial"/>
                <w:b/>
                <w:bCs/>
                <w:color w:val="000000"/>
                <w:szCs w:val="20"/>
              </w:rPr>
            </w:pPr>
            <w:r>
              <w:rPr>
                <w:rFonts w:cs="Arial"/>
                <w:b/>
                <w:bCs/>
                <w:color w:val="000000"/>
                <w:szCs w:val="20"/>
              </w:rPr>
              <w:t>30.</w:t>
            </w:r>
            <w:r w:rsidR="00C049AD">
              <w:rPr>
                <w:rFonts w:cs="Arial"/>
                <w:b/>
                <w:bCs/>
                <w:color w:val="000000"/>
                <w:szCs w:val="20"/>
              </w:rPr>
              <w:t>849</w:t>
            </w:r>
          </w:p>
        </w:tc>
      </w:tr>
      <w:tr w:rsidR="00C87691" w:rsidRPr="005A5B87" w14:paraId="5FDADA7B" w14:textId="77777777" w:rsidTr="00391111">
        <w:trPr>
          <w:trHeight w:val="66"/>
          <w:tblHeader/>
        </w:trPr>
        <w:tc>
          <w:tcPr>
            <w:tcW w:w="964" w:type="dxa"/>
            <w:tcBorders>
              <w:top w:val="nil"/>
              <w:left w:val="single" w:sz="8" w:space="0" w:color="auto"/>
              <w:bottom w:val="single" w:sz="8" w:space="0" w:color="auto"/>
              <w:right w:val="single" w:sz="8" w:space="0" w:color="auto"/>
            </w:tcBorders>
            <w:shd w:val="clear" w:color="auto" w:fill="auto"/>
            <w:hideMark/>
          </w:tcPr>
          <w:p w14:paraId="0950E5DB" w14:textId="77777777" w:rsidR="00C87691" w:rsidRPr="00687A04" w:rsidRDefault="00C87691" w:rsidP="00C87691">
            <w:pPr>
              <w:spacing w:after="0" w:line="240" w:lineRule="auto"/>
              <w:rPr>
                <w:rFonts w:cs="Arial"/>
                <w:color w:val="000000"/>
                <w:szCs w:val="20"/>
              </w:rPr>
            </w:pPr>
            <w:r w:rsidRPr="00687A04">
              <w:rPr>
                <w:rFonts w:cs="Arial"/>
                <w:color w:val="000000"/>
                <w:szCs w:val="20"/>
              </w:rPr>
              <w:t>15(1)(a)</w:t>
            </w:r>
          </w:p>
        </w:tc>
        <w:tc>
          <w:tcPr>
            <w:tcW w:w="2287" w:type="dxa"/>
            <w:tcBorders>
              <w:top w:val="nil"/>
              <w:left w:val="nil"/>
              <w:bottom w:val="single" w:sz="8" w:space="0" w:color="auto"/>
              <w:right w:val="single" w:sz="8" w:space="0" w:color="auto"/>
            </w:tcBorders>
            <w:shd w:val="clear" w:color="auto" w:fill="auto"/>
            <w:hideMark/>
          </w:tcPr>
          <w:p w14:paraId="7F8EC77D" w14:textId="77777777" w:rsidR="00C87691" w:rsidRPr="00120B54" w:rsidRDefault="00C87691" w:rsidP="00C87691">
            <w:pPr>
              <w:spacing w:after="0" w:line="240" w:lineRule="auto"/>
              <w:rPr>
                <w:rFonts w:cs="Arial"/>
                <w:color w:val="000000"/>
                <w:szCs w:val="20"/>
              </w:rPr>
            </w:pPr>
            <w:r w:rsidRPr="00120B54">
              <w:rPr>
                <w:rFonts w:cs="Arial"/>
                <w:color w:val="000000"/>
                <w:szCs w:val="20"/>
              </w:rPr>
              <w:t>ACMA revenue</w:t>
            </w:r>
          </w:p>
        </w:tc>
        <w:tc>
          <w:tcPr>
            <w:tcW w:w="1162" w:type="dxa"/>
            <w:tcBorders>
              <w:top w:val="nil"/>
              <w:left w:val="nil"/>
              <w:bottom w:val="single" w:sz="8" w:space="0" w:color="auto"/>
              <w:right w:val="single" w:sz="8" w:space="0" w:color="auto"/>
            </w:tcBorders>
            <w:shd w:val="clear" w:color="auto" w:fill="auto"/>
          </w:tcPr>
          <w:p w14:paraId="23880ACF" w14:textId="77777777" w:rsidR="00C87691" w:rsidRPr="00687A04" w:rsidRDefault="005D67A8" w:rsidP="00C87691">
            <w:pPr>
              <w:spacing w:after="0" w:line="240" w:lineRule="auto"/>
              <w:jc w:val="right"/>
              <w:rPr>
                <w:rFonts w:cs="Arial"/>
                <w:color w:val="000000"/>
                <w:szCs w:val="20"/>
              </w:rPr>
            </w:pPr>
            <w:r>
              <w:rPr>
                <w:rFonts w:cs="Arial"/>
                <w:color w:val="000000"/>
                <w:szCs w:val="20"/>
              </w:rPr>
              <w:t>14.405</w:t>
            </w:r>
          </w:p>
        </w:tc>
        <w:tc>
          <w:tcPr>
            <w:tcW w:w="1162" w:type="dxa"/>
            <w:tcBorders>
              <w:top w:val="nil"/>
              <w:left w:val="nil"/>
              <w:bottom w:val="single" w:sz="8" w:space="0" w:color="auto"/>
              <w:right w:val="single" w:sz="8" w:space="0" w:color="auto"/>
            </w:tcBorders>
            <w:shd w:val="clear" w:color="auto" w:fill="auto"/>
          </w:tcPr>
          <w:p w14:paraId="35137F8A" w14:textId="77777777" w:rsidR="00C87691" w:rsidRPr="00687A04" w:rsidRDefault="005D67A8" w:rsidP="00C87691">
            <w:pPr>
              <w:spacing w:after="0" w:line="240" w:lineRule="auto"/>
              <w:jc w:val="right"/>
              <w:rPr>
                <w:rFonts w:cs="Arial"/>
                <w:color w:val="000000"/>
                <w:szCs w:val="20"/>
              </w:rPr>
            </w:pPr>
            <w:r>
              <w:rPr>
                <w:rFonts w:cs="Arial"/>
                <w:color w:val="000000"/>
                <w:szCs w:val="20"/>
              </w:rPr>
              <w:t>14.304</w:t>
            </w:r>
          </w:p>
        </w:tc>
        <w:tc>
          <w:tcPr>
            <w:tcW w:w="1162" w:type="dxa"/>
            <w:tcBorders>
              <w:top w:val="nil"/>
              <w:left w:val="nil"/>
              <w:bottom w:val="single" w:sz="8" w:space="0" w:color="auto"/>
              <w:right w:val="single" w:sz="8" w:space="0" w:color="auto"/>
            </w:tcBorders>
            <w:shd w:val="clear" w:color="auto" w:fill="auto"/>
          </w:tcPr>
          <w:p w14:paraId="4810B0E4" w14:textId="77777777" w:rsidR="00C87691" w:rsidRPr="00687A04" w:rsidRDefault="005D67A8" w:rsidP="004A499A">
            <w:pPr>
              <w:spacing w:after="0" w:line="240" w:lineRule="auto"/>
              <w:jc w:val="right"/>
              <w:rPr>
                <w:rFonts w:cs="Arial"/>
                <w:color w:val="000000"/>
                <w:szCs w:val="20"/>
              </w:rPr>
            </w:pPr>
            <w:r>
              <w:rPr>
                <w:rFonts w:cs="Arial"/>
                <w:color w:val="000000"/>
                <w:szCs w:val="20"/>
              </w:rPr>
              <w:t>14.304</w:t>
            </w:r>
          </w:p>
        </w:tc>
        <w:tc>
          <w:tcPr>
            <w:tcW w:w="1162" w:type="dxa"/>
            <w:tcBorders>
              <w:top w:val="nil"/>
              <w:left w:val="nil"/>
              <w:bottom w:val="single" w:sz="8" w:space="0" w:color="auto"/>
              <w:right w:val="single" w:sz="8" w:space="0" w:color="auto"/>
            </w:tcBorders>
            <w:shd w:val="clear" w:color="auto" w:fill="auto"/>
          </w:tcPr>
          <w:p w14:paraId="435EF9EA" w14:textId="77777777" w:rsidR="00C87691" w:rsidRPr="00687A04" w:rsidRDefault="005D67A8" w:rsidP="004A499A">
            <w:pPr>
              <w:spacing w:after="0" w:line="240" w:lineRule="auto"/>
              <w:jc w:val="right"/>
              <w:rPr>
                <w:rFonts w:cs="Arial"/>
                <w:color w:val="000000"/>
                <w:szCs w:val="20"/>
              </w:rPr>
            </w:pPr>
            <w:r>
              <w:rPr>
                <w:rFonts w:cs="Arial"/>
                <w:color w:val="000000"/>
                <w:szCs w:val="20"/>
              </w:rPr>
              <w:t>14.304</w:t>
            </w:r>
          </w:p>
        </w:tc>
        <w:tc>
          <w:tcPr>
            <w:tcW w:w="1163" w:type="dxa"/>
            <w:tcBorders>
              <w:top w:val="nil"/>
              <w:left w:val="nil"/>
              <w:bottom w:val="single" w:sz="8" w:space="0" w:color="auto"/>
              <w:right w:val="single" w:sz="8" w:space="0" w:color="auto"/>
            </w:tcBorders>
            <w:shd w:val="clear" w:color="auto" w:fill="auto"/>
          </w:tcPr>
          <w:p w14:paraId="2DA64CBE" w14:textId="77777777" w:rsidR="00C87691" w:rsidRPr="00687A04" w:rsidRDefault="005D67A8" w:rsidP="004A499A">
            <w:pPr>
              <w:spacing w:after="0" w:line="240" w:lineRule="auto"/>
              <w:jc w:val="right"/>
              <w:rPr>
                <w:rFonts w:cs="Arial"/>
                <w:color w:val="000000"/>
                <w:szCs w:val="20"/>
              </w:rPr>
            </w:pPr>
            <w:r>
              <w:rPr>
                <w:rFonts w:cs="Arial"/>
                <w:color w:val="000000"/>
                <w:szCs w:val="20"/>
              </w:rPr>
              <w:t>14.304</w:t>
            </w:r>
          </w:p>
        </w:tc>
      </w:tr>
      <w:tr w:rsidR="00C87691" w:rsidRPr="005A5B87" w14:paraId="4CFBE65E" w14:textId="77777777" w:rsidTr="00391111">
        <w:trPr>
          <w:trHeight w:val="72"/>
          <w:tblHeader/>
        </w:trPr>
        <w:tc>
          <w:tcPr>
            <w:tcW w:w="964" w:type="dxa"/>
            <w:tcBorders>
              <w:top w:val="nil"/>
              <w:left w:val="single" w:sz="8" w:space="0" w:color="auto"/>
              <w:bottom w:val="single" w:sz="8" w:space="0" w:color="auto"/>
              <w:right w:val="single" w:sz="8" w:space="0" w:color="auto"/>
            </w:tcBorders>
            <w:shd w:val="clear" w:color="auto" w:fill="auto"/>
            <w:hideMark/>
          </w:tcPr>
          <w:p w14:paraId="69FC8922" w14:textId="77777777" w:rsidR="00C87691" w:rsidRPr="00687A04" w:rsidRDefault="00C87691" w:rsidP="00C87691">
            <w:pPr>
              <w:spacing w:after="0" w:line="240" w:lineRule="auto"/>
              <w:rPr>
                <w:rFonts w:cs="Arial"/>
                <w:color w:val="000000"/>
                <w:szCs w:val="20"/>
              </w:rPr>
            </w:pPr>
            <w:r w:rsidRPr="00687A04">
              <w:rPr>
                <w:rFonts w:cs="Arial"/>
                <w:color w:val="000000"/>
                <w:szCs w:val="20"/>
              </w:rPr>
              <w:t>15(1)(b)</w:t>
            </w:r>
          </w:p>
        </w:tc>
        <w:tc>
          <w:tcPr>
            <w:tcW w:w="2287" w:type="dxa"/>
            <w:tcBorders>
              <w:top w:val="nil"/>
              <w:left w:val="nil"/>
              <w:bottom w:val="single" w:sz="8" w:space="0" w:color="auto"/>
              <w:right w:val="single" w:sz="8" w:space="0" w:color="auto"/>
            </w:tcBorders>
            <w:shd w:val="clear" w:color="auto" w:fill="auto"/>
            <w:hideMark/>
          </w:tcPr>
          <w:p w14:paraId="1825BF23" w14:textId="77777777" w:rsidR="00C87691" w:rsidRPr="00120B54" w:rsidRDefault="00C87691" w:rsidP="00C87691">
            <w:pPr>
              <w:spacing w:after="0" w:line="240" w:lineRule="auto"/>
              <w:rPr>
                <w:rFonts w:cs="Arial"/>
                <w:color w:val="000000"/>
                <w:szCs w:val="20"/>
              </w:rPr>
            </w:pPr>
            <w:r w:rsidRPr="00120B54">
              <w:rPr>
                <w:rFonts w:cs="Arial"/>
                <w:color w:val="000000"/>
                <w:szCs w:val="20"/>
              </w:rPr>
              <w:t>ACCC revenue</w:t>
            </w:r>
          </w:p>
        </w:tc>
        <w:tc>
          <w:tcPr>
            <w:tcW w:w="1162" w:type="dxa"/>
            <w:tcBorders>
              <w:top w:val="nil"/>
              <w:left w:val="nil"/>
              <w:bottom w:val="single" w:sz="8" w:space="0" w:color="auto"/>
              <w:right w:val="single" w:sz="8" w:space="0" w:color="auto"/>
            </w:tcBorders>
            <w:shd w:val="clear" w:color="auto" w:fill="auto"/>
          </w:tcPr>
          <w:p w14:paraId="7B2256C3" w14:textId="77777777" w:rsidR="00C87691" w:rsidRPr="00687A04" w:rsidRDefault="00C87691" w:rsidP="00864956">
            <w:pPr>
              <w:spacing w:after="0" w:line="240" w:lineRule="auto"/>
              <w:jc w:val="right"/>
              <w:rPr>
                <w:rFonts w:cs="Arial"/>
                <w:color w:val="000000"/>
                <w:szCs w:val="20"/>
              </w:rPr>
            </w:pPr>
            <w:r>
              <w:rPr>
                <w:rFonts w:cs="Arial"/>
                <w:color w:val="000000"/>
                <w:szCs w:val="20"/>
              </w:rPr>
              <w:t>13.</w:t>
            </w:r>
            <w:r w:rsidR="00864956">
              <w:rPr>
                <w:rFonts w:cs="Arial"/>
                <w:color w:val="000000"/>
                <w:szCs w:val="20"/>
              </w:rPr>
              <w:t>280</w:t>
            </w:r>
          </w:p>
        </w:tc>
        <w:tc>
          <w:tcPr>
            <w:tcW w:w="1162" w:type="dxa"/>
            <w:tcBorders>
              <w:top w:val="nil"/>
              <w:left w:val="nil"/>
              <w:bottom w:val="single" w:sz="8" w:space="0" w:color="auto"/>
              <w:right w:val="single" w:sz="8" w:space="0" w:color="auto"/>
            </w:tcBorders>
            <w:shd w:val="clear" w:color="auto" w:fill="auto"/>
          </w:tcPr>
          <w:p w14:paraId="6F6767C1" w14:textId="77777777" w:rsidR="00C87691" w:rsidRPr="00687A04" w:rsidRDefault="00C87691" w:rsidP="00864956">
            <w:pPr>
              <w:spacing w:after="0" w:line="240" w:lineRule="auto"/>
              <w:jc w:val="right"/>
              <w:rPr>
                <w:rFonts w:cs="Arial"/>
                <w:color w:val="000000"/>
                <w:szCs w:val="20"/>
              </w:rPr>
            </w:pPr>
            <w:r>
              <w:rPr>
                <w:rFonts w:cs="Arial"/>
                <w:color w:val="000000"/>
                <w:szCs w:val="20"/>
              </w:rPr>
              <w:t>13.</w:t>
            </w:r>
            <w:r w:rsidR="00864956">
              <w:rPr>
                <w:rFonts w:cs="Arial"/>
                <w:color w:val="000000"/>
                <w:szCs w:val="20"/>
              </w:rPr>
              <w:t>109</w:t>
            </w:r>
          </w:p>
        </w:tc>
        <w:tc>
          <w:tcPr>
            <w:tcW w:w="1162" w:type="dxa"/>
            <w:tcBorders>
              <w:top w:val="nil"/>
              <w:left w:val="nil"/>
              <w:bottom w:val="single" w:sz="8" w:space="0" w:color="auto"/>
              <w:right w:val="single" w:sz="8" w:space="0" w:color="auto"/>
            </w:tcBorders>
            <w:shd w:val="clear" w:color="auto" w:fill="auto"/>
          </w:tcPr>
          <w:p w14:paraId="6D044D1F" w14:textId="77777777" w:rsidR="00C87691" w:rsidRPr="00687A04" w:rsidRDefault="00C87691" w:rsidP="00864956">
            <w:pPr>
              <w:spacing w:after="0" w:line="240" w:lineRule="auto"/>
              <w:jc w:val="right"/>
              <w:rPr>
                <w:rFonts w:cs="Arial"/>
                <w:color w:val="000000"/>
                <w:szCs w:val="20"/>
              </w:rPr>
            </w:pPr>
            <w:r>
              <w:rPr>
                <w:rFonts w:cs="Arial"/>
                <w:color w:val="000000"/>
                <w:szCs w:val="20"/>
              </w:rPr>
              <w:t>1</w:t>
            </w:r>
            <w:r w:rsidR="00864956">
              <w:rPr>
                <w:rFonts w:cs="Arial"/>
                <w:color w:val="000000"/>
                <w:szCs w:val="20"/>
              </w:rPr>
              <w:t>1</w:t>
            </w:r>
            <w:r>
              <w:rPr>
                <w:rFonts w:cs="Arial"/>
                <w:color w:val="000000"/>
                <w:szCs w:val="20"/>
              </w:rPr>
              <w:t>.</w:t>
            </w:r>
            <w:r w:rsidR="00864956">
              <w:rPr>
                <w:rFonts w:cs="Arial"/>
                <w:color w:val="000000"/>
                <w:szCs w:val="20"/>
              </w:rPr>
              <w:t>849</w:t>
            </w:r>
          </w:p>
        </w:tc>
        <w:tc>
          <w:tcPr>
            <w:tcW w:w="1162" w:type="dxa"/>
            <w:tcBorders>
              <w:top w:val="nil"/>
              <w:left w:val="nil"/>
              <w:bottom w:val="single" w:sz="8" w:space="0" w:color="auto"/>
              <w:right w:val="single" w:sz="8" w:space="0" w:color="auto"/>
            </w:tcBorders>
            <w:shd w:val="clear" w:color="auto" w:fill="auto"/>
          </w:tcPr>
          <w:p w14:paraId="590FA1C2" w14:textId="77777777" w:rsidR="00C87691" w:rsidRPr="00687A04" w:rsidRDefault="00C87691" w:rsidP="00864956">
            <w:pPr>
              <w:spacing w:after="0" w:line="240" w:lineRule="auto"/>
              <w:jc w:val="right"/>
              <w:rPr>
                <w:rFonts w:cs="Arial"/>
                <w:color w:val="000000"/>
                <w:szCs w:val="20"/>
              </w:rPr>
            </w:pPr>
            <w:r>
              <w:rPr>
                <w:rFonts w:cs="Arial"/>
                <w:color w:val="000000"/>
                <w:szCs w:val="20"/>
              </w:rPr>
              <w:t>1</w:t>
            </w:r>
            <w:r w:rsidR="00864956">
              <w:rPr>
                <w:rFonts w:cs="Arial"/>
                <w:color w:val="000000"/>
                <w:szCs w:val="20"/>
              </w:rPr>
              <w:t>1.849</w:t>
            </w:r>
          </w:p>
        </w:tc>
        <w:tc>
          <w:tcPr>
            <w:tcW w:w="1163" w:type="dxa"/>
            <w:tcBorders>
              <w:top w:val="nil"/>
              <w:left w:val="nil"/>
              <w:bottom w:val="single" w:sz="8" w:space="0" w:color="auto"/>
              <w:right w:val="single" w:sz="8" w:space="0" w:color="auto"/>
            </w:tcBorders>
            <w:shd w:val="clear" w:color="auto" w:fill="auto"/>
          </w:tcPr>
          <w:p w14:paraId="47BD8749" w14:textId="77777777" w:rsidR="00C87691" w:rsidRPr="00687A04" w:rsidRDefault="00C87691" w:rsidP="00864956">
            <w:pPr>
              <w:spacing w:after="0" w:line="240" w:lineRule="auto"/>
              <w:jc w:val="right"/>
              <w:rPr>
                <w:rFonts w:cs="Arial"/>
                <w:color w:val="000000"/>
                <w:szCs w:val="20"/>
              </w:rPr>
            </w:pPr>
            <w:r>
              <w:rPr>
                <w:rFonts w:cs="Arial"/>
                <w:color w:val="000000"/>
                <w:szCs w:val="20"/>
              </w:rPr>
              <w:t>1</w:t>
            </w:r>
            <w:r w:rsidR="00864956">
              <w:rPr>
                <w:rFonts w:cs="Arial"/>
                <w:color w:val="000000"/>
                <w:szCs w:val="20"/>
              </w:rPr>
              <w:t>1.849</w:t>
            </w:r>
          </w:p>
        </w:tc>
      </w:tr>
      <w:tr w:rsidR="0070194D" w:rsidRPr="005A5B87" w14:paraId="466E2EC2" w14:textId="77777777" w:rsidTr="00391111">
        <w:trPr>
          <w:trHeight w:val="207"/>
          <w:tblHeader/>
        </w:trPr>
        <w:tc>
          <w:tcPr>
            <w:tcW w:w="964" w:type="dxa"/>
            <w:tcBorders>
              <w:top w:val="nil"/>
              <w:left w:val="single" w:sz="8" w:space="0" w:color="auto"/>
              <w:bottom w:val="single" w:sz="8" w:space="0" w:color="auto"/>
              <w:right w:val="single" w:sz="8" w:space="0" w:color="auto"/>
            </w:tcBorders>
            <w:shd w:val="clear" w:color="auto" w:fill="auto"/>
            <w:hideMark/>
          </w:tcPr>
          <w:p w14:paraId="76C17EBC" w14:textId="77777777" w:rsidR="0070194D" w:rsidRPr="00685B5D" w:rsidRDefault="0070194D" w:rsidP="0070194D">
            <w:pPr>
              <w:spacing w:after="0" w:line="240" w:lineRule="auto"/>
              <w:rPr>
                <w:rFonts w:cs="Arial"/>
                <w:color w:val="000000"/>
                <w:szCs w:val="20"/>
              </w:rPr>
            </w:pPr>
            <w:r w:rsidRPr="00685B5D">
              <w:rPr>
                <w:rFonts w:cs="Arial"/>
                <w:color w:val="000000"/>
                <w:szCs w:val="20"/>
              </w:rPr>
              <w:t>15(1)(c)</w:t>
            </w:r>
          </w:p>
        </w:tc>
        <w:tc>
          <w:tcPr>
            <w:tcW w:w="2287" w:type="dxa"/>
            <w:tcBorders>
              <w:top w:val="nil"/>
              <w:left w:val="nil"/>
              <w:bottom w:val="single" w:sz="8" w:space="0" w:color="auto"/>
              <w:right w:val="single" w:sz="8" w:space="0" w:color="auto"/>
            </w:tcBorders>
            <w:shd w:val="clear" w:color="auto" w:fill="auto"/>
            <w:hideMark/>
          </w:tcPr>
          <w:p w14:paraId="7827E349" w14:textId="77777777" w:rsidR="0070194D" w:rsidRPr="00120B54" w:rsidRDefault="0070194D" w:rsidP="0070194D">
            <w:pPr>
              <w:spacing w:after="0" w:line="240" w:lineRule="auto"/>
              <w:rPr>
                <w:rFonts w:cs="Arial"/>
                <w:color w:val="000000"/>
                <w:szCs w:val="20"/>
              </w:rPr>
            </w:pPr>
            <w:r w:rsidRPr="00120B54">
              <w:rPr>
                <w:rFonts w:cs="Arial"/>
                <w:color w:val="000000"/>
                <w:szCs w:val="20"/>
              </w:rPr>
              <w:t>ITU contribution</w:t>
            </w:r>
          </w:p>
        </w:tc>
        <w:tc>
          <w:tcPr>
            <w:tcW w:w="1162" w:type="dxa"/>
            <w:tcBorders>
              <w:top w:val="nil"/>
              <w:left w:val="nil"/>
              <w:bottom w:val="single" w:sz="8" w:space="0" w:color="auto"/>
              <w:right w:val="single" w:sz="8" w:space="0" w:color="auto"/>
            </w:tcBorders>
            <w:shd w:val="clear" w:color="auto" w:fill="auto"/>
          </w:tcPr>
          <w:p w14:paraId="2D47646D" w14:textId="77777777" w:rsidR="0070194D" w:rsidRPr="00685B5D" w:rsidRDefault="0070194D" w:rsidP="0070194D">
            <w:pPr>
              <w:spacing w:after="0" w:line="240" w:lineRule="auto"/>
              <w:jc w:val="right"/>
              <w:rPr>
                <w:rFonts w:cs="Arial"/>
                <w:color w:val="000000"/>
                <w:szCs w:val="20"/>
              </w:rPr>
            </w:pPr>
            <w:r w:rsidRPr="00685B5D">
              <w:rPr>
                <w:rFonts w:cs="Arial"/>
                <w:color w:val="000000"/>
                <w:szCs w:val="20"/>
              </w:rPr>
              <w:t>2.267</w:t>
            </w:r>
          </w:p>
        </w:tc>
        <w:tc>
          <w:tcPr>
            <w:tcW w:w="1162" w:type="dxa"/>
            <w:tcBorders>
              <w:top w:val="nil"/>
              <w:left w:val="nil"/>
              <w:bottom w:val="single" w:sz="8" w:space="0" w:color="auto"/>
              <w:right w:val="single" w:sz="8" w:space="0" w:color="auto"/>
            </w:tcBorders>
            <w:shd w:val="clear" w:color="auto" w:fill="auto"/>
          </w:tcPr>
          <w:p w14:paraId="26E47BA5" w14:textId="77777777" w:rsidR="0070194D" w:rsidRPr="00685B5D" w:rsidRDefault="0070194D" w:rsidP="0070194D">
            <w:pPr>
              <w:spacing w:after="0" w:line="240" w:lineRule="auto"/>
              <w:jc w:val="right"/>
              <w:rPr>
                <w:rFonts w:cs="Arial"/>
                <w:color w:val="000000"/>
                <w:szCs w:val="20"/>
              </w:rPr>
            </w:pPr>
            <w:r w:rsidRPr="00685B5D">
              <w:rPr>
                <w:rFonts w:cs="Arial"/>
                <w:color w:val="000000"/>
                <w:szCs w:val="20"/>
              </w:rPr>
              <w:t>2.004</w:t>
            </w:r>
          </w:p>
        </w:tc>
        <w:tc>
          <w:tcPr>
            <w:tcW w:w="1162" w:type="dxa"/>
            <w:tcBorders>
              <w:top w:val="nil"/>
              <w:left w:val="nil"/>
              <w:bottom w:val="single" w:sz="8" w:space="0" w:color="auto"/>
              <w:right w:val="single" w:sz="8" w:space="0" w:color="auto"/>
            </w:tcBorders>
            <w:shd w:val="clear" w:color="auto" w:fill="auto"/>
          </w:tcPr>
          <w:p w14:paraId="26683ED0" w14:textId="77777777" w:rsidR="0070194D" w:rsidRPr="00685B5D" w:rsidRDefault="0070194D" w:rsidP="0070194D">
            <w:pPr>
              <w:spacing w:after="0" w:line="240" w:lineRule="auto"/>
              <w:jc w:val="right"/>
              <w:rPr>
                <w:rFonts w:cs="Arial"/>
                <w:color w:val="000000"/>
                <w:szCs w:val="20"/>
              </w:rPr>
            </w:pPr>
            <w:r>
              <w:rPr>
                <w:rFonts w:cs="Arial"/>
                <w:color w:val="000000"/>
                <w:szCs w:val="20"/>
              </w:rPr>
              <w:t>2.051</w:t>
            </w:r>
          </w:p>
        </w:tc>
        <w:tc>
          <w:tcPr>
            <w:tcW w:w="1162" w:type="dxa"/>
            <w:tcBorders>
              <w:top w:val="nil"/>
              <w:left w:val="nil"/>
              <w:bottom w:val="single" w:sz="8" w:space="0" w:color="auto"/>
              <w:right w:val="single" w:sz="8" w:space="0" w:color="auto"/>
            </w:tcBorders>
            <w:shd w:val="clear" w:color="auto" w:fill="auto"/>
          </w:tcPr>
          <w:p w14:paraId="083E6B30" w14:textId="0ADB5053" w:rsidR="0070194D" w:rsidRPr="00685B5D" w:rsidRDefault="0070194D" w:rsidP="00C049AD">
            <w:pPr>
              <w:spacing w:after="0" w:line="240" w:lineRule="auto"/>
              <w:jc w:val="right"/>
              <w:rPr>
                <w:rFonts w:cs="Arial"/>
                <w:color w:val="000000"/>
                <w:szCs w:val="20"/>
              </w:rPr>
            </w:pPr>
            <w:r>
              <w:rPr>
                <w:rFonts w:cs="Arial"/>
                <w:color w:val="000000"/>
                <w:szCs w:val="20"/>
              </w:rPr>
              <w:t>1.9</w:t>
            </w:r>
            <w:r w:rsidR="00C049AD">
              <w:rPr>
                <w:rFonts w:cs="Arial"/>
                <w:color w:val="000000"/>
                <w:szCs w:val="20"/>
              </w:rPr>
              <w:t>96</w:t>
            </w:r>
          </w:p>
        </w:tc>
        <w:tc>
          <w:tcPr>
            <w:tcW w:w="1163" w:type="dxa"/>
            <w:tcBorders>
              <w:top w:val="nil"/>
              <w:left w:val="nil"/>
              <w:bottom w:val="single" w:sz="8" w:space="0" w:color="auto"/>
              <w:right w:val="single" w:sz="8" w:space="0" w:color="auto"/>
            </w:tcBorders>
            <w:shd w:val="clear" w:color="auto" w:fill="auto"/>
          </w:tcPr>
          <w:p w14:paraId="5DA2B7B3" w14:textId="1AA53D26" w:rsidR="0070194D" w:rsidRPr="00685B5D" w:rsidRDefault="0070194D" w:rsidP="00C049AD">
            <w:pPr>
              <w:spacing w:after="0" w:line="240" w:lineRule="auto"/>
              <w:jc w:val="right"/>
              <w:rPr>
                <w:rFonts w:cs="Arial"/>
                <w:color w:val="000000"/>
                <w:szCs w:val="20"/>
              </w:rPr>
            </w:pPr>
            <w:r>
              <w:rPr>
                <w:rFonts w:cs="Arial"/>
                <w:color w:val="000000"/>
                <w:szCs w:val="20"/>
              </w:rPr>
              <w:t>1.9</w:t>
            </w:r>
            <w:r w:rsidR="00C049AD">
              <w:rPr>
                <w:rFonts w:cs="Arial"/>
                <w:color w:val="000000"/>
                <w:szCs w:val="20"/>
              </w:rPr>
              <w:t>96</w:t>
            </w:r>
          </w:p>
        </w:tc>
      </w:tr>
      <w:tr w:rsidR="00C87691" w:rsidRPr="005A5B87" w14:paraId="2A889C50" w14:textId="77777777" w:rsidTr="00391111">
        <w:trPr>
          <w:trHeight w:val="623"/>
          <w:tblHeader/>
        </w:trPr>
        <w:tc>
          <w:tcPr>
            <w:tcW w:w="964" w:type="dxa"/>
            <w:tcBorders>
              <w:top w:val="nil"/>
              <w:left w:val="single" w:sz="8" w:space="0" w:color="auto"/>
              <w:bottom w:val="single" w:sz="8" w:space="0" w:color="auto"/>
              <w:right w:val="single" w:sz="8" w:space="0" w:color="auto"/>
            </w:tcBorders>
            <w:shd w:val="clear" w:color="auto" w:fill="auto"/>
          </w:tcPr>
          <w:p w14:paraId="0C04B56D" w14:textId="77777777" w:rsidR="00C87691" w:rsidRPr="00687A04" w:rsidRDefault="00C87691" w:rsidP="00C87691">
            <w:pPr>
              <w:spacing w:after="0" w:line="240" w:lineRule="auto"/>
              <w:rPr>
                <w:rFonts w:cs="Arial"/>
                <w:color w:val="000000"/>
                <w:szCs w:val="20"/>
              </w:rPr>
            </w:pPr>
            <w:r w:rsidRPr="00687A04">
              <w:rPr>
                <w:rFonts w:cs="Arial"/>
                <w:color w:val="000000"/>
                <w:szCs w:val="20"/>
              </w:rPr>
              <w:t>15(1)(ca)</w:t>
            </w:r>
          </w:p>
        </w:tc>
        <w:tc>
          <w:tcPr>
            <w:tcW w:w="2287" w:type="dxa"/>
            <w:tcBorders>
              <w:top w:val="nil"/>
              <w:left w:val="nil"/>
              <w:bottom w:val="single" w:sz="8" w:space="0" w:color="auto"/>
              <w:right w:val="single" w:sz="8" w:space="0" w:color="auto"/>
            </w:tcBorders>
            <w:shd w:val="clear" w:color="auto" w:fill="auto"/>
          </w:tcPr>
          <w:p w14:paraId="2BB0CE1F" w14:textId="77777777" w:rsidR="00C87691" w:rsidRPr="00120B54" w:rsidRDefault="00C87691" w:rsidP="00C87691">
            <w:pPr>
              <w:spacing w:after="0" w:line="240" w:lineRule="auto"/>
              <w:rPr>
                <w:rFonts w:cs="Arial"/>
                <w:color w:val="000000"/>
                <w:szCs w:val="20"/>
              </w:rPr>
            </w:pPr>
            <w:r w:rsidRPr="00120B54">
              <w:rPr>
                <w:rFonts w:cs="Arial"/>
                <w:color w:val="000000"/>
                <w:szCs w:val="20"/>
              </w:rPr>
              <w:t xml:space="preserve">Development </w:t>
            </w:r>
            <w:r w:rsidR="00C37EAD" w:rsidRPr="00120B54">
              <w:rPr>
                <w:rFonts w:cs="Arial"/>
                <w:color w:val="000000"/>
                <w:szCs w:val="20"/>
              </w:rPr>
              <w:t xml:space="preserve">or variation </w:t>
            </w:r>
            <w:r w:rsidRPr="00120B54">
              <w:rPr>
                <w:rFonts w:cs="Arial"/>
                <w:color w:val="000000"/>
                <w:szCs w:val="20"/>
              </w:rPr>
              <w:t>of consumer protection related industry codes</w:t>
            </w:r>
          </w:p>
        </w:tc>
        <w:tc>
          <w:tcPr>
            <w:tcW w:w="1162" w:type="dxa"/>
            <w:tcBorders>
              <w:top w:val="nil"/>
              <w:left w:val="nil"/>
              <w:bottom w:val="single" w:sz="8" w:space="0" w:color="auto"/>
              <w:right w:val="single" w:sz="8" w:space="0" w:color="auto"/>
            </w:tcBorders>
            <w:shd w:val="clear" w:color="auto" w:fill="auto"/>
          </w:tcPr>
          <w:p w14:paraId="38E04597" w14:textId="77777777" w:rsidR="00C87691" w:rsidRPr="006C513A" w:rsidRDefault="00C87691" w:rsidP="00C87691">
            <w:pPr>
              <w:spacing w:after="0" w:line="240" w:lineRule="auto"/>
              <w:jc w:val="right"/>
              <w:rPr>
                <w:rFonts w:cs="Arial"/>
                <w:color w:val="000000"/>
                <w:szCs w:val="20"/>
              </w:rPr>
            </w:pPr>
            <w:r>
              <w:rPr>
                <w:rFonts w:cs="Arial"/>
                <w:color w:val="000000"/>
                <w:szCs w:val="20"/>
              </w:rPr>
              <w:t>0.300</w:t>
            </w:r>
          </w:p>
        </w:tc>
        <w:tc>
          <w:tcPr>
            <w:tcW w:w="1162" w:type="dxa"/>
            <w:tcBorders>
              <w:top w:val="nil"/>
              <w:left w:val="nil"/>
              <w:bottom w:val="single" w:sz="8" w:space="0" w:color="auto"/>
              <w:right w:val="single" w:sz="8" w:space="0" w:color="auto"/>
            </w:tcBorders>
            <w:shd w:val="clear" w:color="auto" w:fill="auto"/>
          </w:tcPr>
          <w:p w14:paraId="0EDA92E4" w14:textId="77777777" w:rsidR="00C87691" w:rsidRPr="006C513A" w:rsidRDefault="000E6FA6" w:rsidP="00C87691">
            <w:pPr>
              <w:spacing w:after="0" w:line="240" w:lineRule="auto"/>
              <w:jc w:val="right"/>
              <w:rPr>
                <w:rFonts w:cs="Arial"/>
                <w:color w:val="000000"/>
                <w:szCs w:val="20"/>
              </w:rPr>
            </w:pPr>
            <w:r>
              <w:rPr>
                <w:rFonts w:cs="Arial"/>
                <w:color w:val="000000"/>
                <w:szCs w:val="20"/>
              </w:rPr>
              <w:t>0</w:t>
            </w:r>
          </w:p>
        </w:tc>
        <w:tc>
          <w:tcPr>
            <w:tcW w:w="1162" w:type="dxa"/>
            <w:tcBorders>
              <w:top w:val="nil"/>
              <w:left w:val="nil"/>
              <w:bottom w:val="single" w:sz="8" w:space="0" w:color="auto"/>
              <w:right w:val="single" w:sz="8" w:space="0" w:color="auto"/>
            </w:tcBorders>
            <w:shd w:val="clear" w:color="auto" w:fill="auto"/>
          </w:tcPr>
          <w:p w14:paraId="7241F0EB" w14:textId="77777777" w:rsidR="00C87691" w:rsidRPr="006C513A" w:rsidRDefault="00C87691" w:rsidP="00C87691">
            <w:pPr>
              <w:spacing w:after="0" w:line="240" w:lineRule="auto"/>
              <w:jc w:val="right"/>
              <w:rPr>
                <w:rFonts w:cs="Arial"/>
                <w:color w:val="000000"/>
                <w:szCs w:val="20"/>
              </w:rPr>
            </w:pPr>
            <w:r>
              <w:rPr>
                <w:rFonts w:cs="Arial"/>
                <w:color w:val="000000"/>
                <w:szCs w:val="20"/>
              </w:rPr>
              <w:t>0.300</w:t>
            </w:r>
          </w:p>
        </w:tc>
        <w:tc>
          <w:tcPr>
            <w:tcW w:w="1162" w:type="dxa"/>
            <w:tcBorders>
              <w:top w:val="nil"/>
              <w:left w:val="nil"/>
              <w:bottom w:val="single" w:sz="8" w:space="0" w:color="auto"/>
              <w:right w:val="single" w:sz="8" w:space="0" w:color="auto"/>
            </w:tcBorders>
            <w:shd w:val="clear" w:color="auto" w:fill="auto"/>
          </w:tcPr>
          <w:p w14:paraId="66C45B22" w14:textId="77777777" w:rsidR="00C87691" w:rsidRPr="006C513A" w:rsidRDefault="00C87691" w:rsidP="00C87691">
            <w:pPr>
              <w:spacing w:after="0" w:line="240" w:lineRule="auto"/>
              <w:jc w:val="right"/>
              <w:rPr>
                <w:rFonts w:cs="Arial"/>
                <w:color w:val="000000"/>
                <w:szCs w:val="20"/>
              </w:rPr>
            </w:pPr>
            <w:r>
              <w:rPr>
                <w:rFonts w:cs="Arial"/>
                <w:color w:val="000000"/>
                <w:szCs w:val="20"/>
              </w:rPr>
              <w:t>0.300</w:t>
            </w:r>
          </w:p>
        </w:tc>
        <w:tc>
          <w:tcPr>
            <w:tcW w:w="1163" w:type="dxa"/>
            <w:tcBorders>
              <w:top w:val="nil"/>
              <w:left w:val="nil"/>
              <w:bottom w:val="single" w:sz="8" w:space="0" w:color="auto"/>
              <w:right w:val="single" w:sz="8" w:space="0" w:color="auto"/>
            </w:tcBorders>
            <w:shd w:val="clear" w:color="auto" w:fill="auto"/>
          </w:tcPr>
          <w:p w14:paraId="15E9199F" w14:textId="77777777" w:rsidR="00C87691" w:rsidRPr="006C513A" w:rsidRDefault="00C87691" w:rsidP="00C87691">
            <w:pPr>
              <w:spacing w:after="0" w:line="240" w:lineRule="auto"/>
              <w:jc w:val="right"/>
              <w:rPr>
                <w:rFonts w:cs="Arial"/>
                <w:color w:val="000000"/>
                <w:szCs w:val="20"/>
              </w:rPr>
            </w:pPr>
            <w:r>
              <w:rPr>
                <w:rFonts w:cs="Arial"/>
                <w:color w:val="000000"/>
                <w:szCs w:val="20"/>
              </w:rPr>
              <w:t>0.300</w:t>
            </w:r>
          </w:p>
        </w:tc>
      </w:tr>
      <w:tr w:rsidR="00C87691" w:rsidRPr="005A5B87" w14:paraId="3E5A6496" w14:textId="77777777" w:rsidTr="00391111">
        <w:trPr>
          <w:trHeight w:val="805"/>
          <w:tblHeader/>
        </w:trPr>
        <w:tc>
          <w:tcPr>
            <w:tcW w:w="964" w:type="dxa"/>
            <w:tcBorders>
              <w:top w:val="nil"/>
              <w:left w:val="single" w:sz="8" w:space="0" w:color="auto"/>
              <w:bottom w:val="single" w:sz="8" w:space="0" w:color="auto"/>
              <w:right w:val="single" w:sz="8" w:space="0" w:color="auto"/>
            </w:tcBorders>
            <w:shd w:val="clear" w:color="auto" w:fill="auto"/>
            <w:hideMark/>
          </w:tcPr>
          <w:p w14:paraId="55E181B4" w14:textId="77777777" w:rsidR="00C87691" w:rsidRPr="00687A04" w:rsidRDefault="00C87691" w:rsidP="00C87691">
            <w:pPr>
              <w:spacing w:after="0" w:line="240" w:lineRule="auto"/>
              <w:rPr>
                <w:rFonts w:cs="Arial"/>
                <w:color w:val="000000"/>
                <w:szCs w:val="20"/>
              </w:rPr>
            </w:pPr>
            <w:r w:rsidRPr="00687A04">
              <w:rPr>
                <w:rFonts w:cs="Arial"/>
                <w:color w:val="000000"/>
                <w:szCs w:val="20"/>
              </w:rPr>
              <w:t>15(1)(d)</w:t>
            </w:r>
          </w:p>
        </w:tc>
        <w:tc>
          <w:tcPr>
            <w:tcW w:w="2287" w:type="dxa"/>
            <w:tcBorders>
              <w:top w:val="nil"/>
              <w:left w:val="nil"/>
              <w:bottom w:val="single" w:sz="8" w:space="0" w:color="auto"/>
              <w:right w:val="single" w:sz="8" w:space="0" w:color="auto"/>
            </w:tcBorders>
            <w:shd w:val="clear" w:color="auto" w:fill="auto"/>
            <w:hideMark/>
          </w:tcPr>
          <w:p w14:paraId="4739ABA9" w14:textId="77777777" w:rsidR="00C87691" w:rsidRPr="00120B54" w:rsidRDefault="00C87691" w:rsidP="00C87691">
            <w:pPr>
              <w:spacing w:after="0" w:line="240" w:lineRule="auto"/>
              <w:rPr>
                <w:rFonts w:cs="Arial"/>
                <w:color w:val="000000"/>
                <w:szCs w:val="20"/>
              </w:rPr>
            </w:pPr>
            <w:r w:rsidRPr="00120B54">
              <w:rPr>
                <w:rFonts w:cs="Arial"/>
                <w:color w:val="000000"/>
                <w:szCs w:val="20"/>
              </w:rPr>
              <w:t>Government grants—consumer representation and research</w:t>
            </w:r>
          </w:p>
        </w:tc>
        <w:tc>
          <w:tcPr>
            <w:tcW w:w="1162" w:type="dxa"/>
            <w:tcBorders>
              <w:top w:val="nil"/>
              <w:left w:val="nil"/>
              <w:bottom w:val="single" w:sz="8" w:space="0" w:color="auto"/>
              <w:right w:val="single" w:sz="8" w:space="0" w:color="auto"/>
            </w:tcBorders>
            <w:shd w:val="clear" w:color="auto" w:fill="auto"/>
          </w:tcPr>
          <w:p w14:paraId="0A7B40FF" w14:textId="77777777" w:rsidR="00C87691" w:rsidRPr="00687A04" w:rsidRDefault="000E6FA6" w:rsidP="00C87691">
            <w:pPr>
              <w:spacing w:after="0" w:line="240" w:lineRule="auto"/>
              <w:jc w:val="right"/>
              <w:rPr>
                <w:rFonts w:cs="Arial"/>
                <w:color w:val="000000"/>
                <w:szCs w:val="20"/>
              </w:rPr>
            </w:pPr>
            <w:r>
              <w:rPr>
                <w:rFonts w:cs="Arial"/>
                <w:color w:val="000000"/>
                <w:szCs w:val="20"/>
              </w:rPr>
              <w:t>2.272</w:t>
            </w:r>
          </w:p>
        </w:tc>
        <w:tc>
          <w:tcPr>
            <w:tcW w:w="1162" w:type="dxa"/>
            <w:tcBorders>
              <w:top w:val="nil"/>
              <w:left w:val="nil"/>
              <w:bottom w:val="single" w:sz="8" w:space="0" w:color="auto"/>
              <w:right w:val="single" w:sz="8" w:space="0" w:color="auto"/>
            </w:tcBorders>
            <w:shd w:val="clear" w:color="auto" w:fill="auto"/>
          </w:tcPr>
          <w:p w14:paraId="35793EDE" w14:textId="77777777" w:rsidR="00C87691" w:rsidRPr="00687A04" w:rsidRDefault="000E6FA6" w:rsidP="00C87691">
            <w:pPr>
              <w:spacing w:after="0" w:line="240" w:lineRule="auto"/>
              <w:jc w:val="right"/>
              <w:rPr>
                <w:rFonts w:cs="Arial"/>
                <w:color w:val="000000"/>
                <w:szCs w:val="20"/>
              </w:rPr>
            </w:pPr>
            <w:r>
              <w:rPr>
                <w:rFonts w:cs="Arial"/>
                <w:color w:val="000000"/>
                <w:szCs w:val="20"/>
              </w:rPr>
              <w:t>2.261</w:t>
            </w:r>
          </w:p>
        </w:tc>
        <w:tc>
          <w:tcPr>
            <w:tcW w:w="1162" w:type="dxa"/>
            <w:tcBorders>
              <w:top w:val="nil"/>
              <w:left w:val="nil"/>
              <w:bottom w:val="single" w:sz="8" w:space="0" w:color="auto"/>
              <w:right w:val="single" w:sz="8" w:space="0" w:color="auto"/>
            </w:tcBorders>
            <w:shd w:val="clear" w:color="auto" w:fill="auto"/>
          </w:tcPr>
          <w:p w14:paraId="076DA863" w14:textId="77777777" w:rsidR="00C87691" w:rsidRPr="00687A04" w:rsidRDefault="000E6FA6" w:rsidP="00C87691">
            <w:pPr>
              <w:spacing w:after="0" w:line="240" w:lineRule="auto"/>
              <w:jc w:val="right"/>
              <w:rPr>
                <w:rFonts w:cs="Arial"/>
                <w:color w:val="000000"/>
                <w:szCs w:val="20"/>
              </w:rPr>
            </w:pPr>
            <w:r>
              <w:rPr>
                <w:rFonts w:cs="Arial"/>
                <w:color w:val="000000"/>
                <w:szCs w:val="20"/>
              </w:rPr>
              <w:t>2.296</w:t>
            </w:r>
          </w:p>
        </w:tc>
        <w:tc>
          <w:tcPr>
            <w:tcW w:w="1162" w:type="dxa"/>
            <w:tcBorders>
              <w:top w:val="nil"/>
              <w:left w:val="nil"/>
              <w:bottom w:val="single" w:sz="8" w:space="0" w:color="auto"/>
              <w:right w:val="single" w:sz="8" w:space="0" w:color="auto"/>
            </w:tcBorders>
            <w:shd w:val="clear" w:color="auto" w:fill="auto"/>
          </w:tcPr>
          <w:p w14:paraId="14E19A5C" w14:textId="77777777" w:rsidR="00C87691" w:rsidRPr="00687A04" w:rsidRDefault="000E6FA6" w:rsidP="00C87691">
            <w:pPr>
              <w:spacing w:after="0" w:line="240" w:lineRule="auto"/>
              <w:jc w:val="right"/>
              <w:rPr>
                <w:rFonts w:cs="Arial"/>
                <w:color w:val="000000"/>
                <w:szCs w:val="20"/>
              </w:rPr>
            </w:pPr>
            <w:r>
              <w:rPr>
                <w:rFonts w:cs="Arial"/>
                <w:color w:val="000000"/>
                <w:szCs w:val="20"/>
              </w:rPr>
              <w:t>2.326</w:t>
            </w:r>
          </w:p>
        </w:tc>
        <w:tc>
          <w:tcPr>
            <w:tcW w:w="1163" w:type="dxa"/>
            <w:tcBorders>
              <w:top w:val="nil"/>
              <w:left w:val="nil"/>
              <w:bottom w:val="single" w:sz="8" w:space="0" w:color="auto"/>
              <w:right w:val="single" w:sz="8" w:space="0" w:color="auto"/>
            </w:tcBorders>
            <w:shd w:val="clear" w:color="auto" w:fill="auto"/>
          </w:tcPr>
          <w:p w14:paraId="2DEB7E56" w14:textId="77777777" w:rsidR="00C87691" w:rsidRPr="00687A04" w:rsidRDefault="000E6FA6" w:rsidP="00C87691">
            <w:pPr>
              <w:spacing w:after="0" w:line="240" w:lineRule="auto"/>
              <w:jc w:val="right"/>
              <w:rPr>
                <w:rFonts w:cs="Arial"/>
                <w:color w:val="000000"/>
                <w:szCs w:val="20"/>
              </w:rPr>
            </w:pPr>
            <w:r>
              <w:rPr>
                <w:rFonts w:cs="Arial"/>
                <w:color w:val="000000"/>
                <w:szCs w:val="20"/>
              </w:rPr>
              <w:t>2.365</w:t>
            </w:r>
          </w:p>
        </w:tc>
      </w:tr>
      <w:tr w:rsidR="0070194D" w:rsidRPr="005A5B87" w14:paraId="169E6B95" w14:textId="77777777" w:rsidTr="00C32914">
        <w:trPr>
          <w:trHeight w:val="190"/>
          <w:tblHeader/>
        </w:trPr>
        <w:tc>
          <w:tcPr>
            <w:tcW w:w="3251" w:type="dxa"/>
            <w:gridSpan w:val="2"/>
            <w:tcBorders>
              <w:top w:val="single" w:sz="8" w:space="0" w:color="auto"/>
              <w:left w:val="single" w:sz="8" w:space="0" w:color="auto"/>
              <w:bottom w:val="single" w:sz="8" w:space="0" w:color="auto"/>
              <w:right w:val="single" w:sz="8" w:space="0" w:color="000000"/>
            </w:tcBorders>
            <w:shd w:val="clear" w:color="auto" w:fill="D9D9D9" w:themeFill="background1" w:themeFillShade="D9"/>
            <w:hideMark/>
          </w:tcPr>
          <w:p w14:paraId="2CD1A2F0" w14:textId="77777777" w:rsidR="0070194D" w:rsidRPr="00687A04" w:rsidRDefault="0070194D" w:rsidP="0070194D">
            <w:pPr>
              <w:spacing w:after="0" w:line="240" w:lineRule="auto"/>
              <w:rPr>
                <w:rFonts w:cs="Arial"/>
                <w:b/>
                <w:bCs/>
                <w:color w:val="000000"/>
                <w:szCs w:val="20"/>
              </w:rPr>
            </w:pPr>
            <w:r w:rsidRPr="00687A04">
              <w:rPr>
                <w:rFonts w:cs="Arial"/>
                <w:b/>
                <w:bCs/>
                <w:color w:val="000000"/>
                <w:szCs w:val="20"/>
              </w:rPr>
              <w:t>Total revenue</w:t>
            </w:r>
          </w:p>
        </w:tc>
        <w:tc>
          <w:tcPr>
            <w:tcW w:w="1162" w:type="dxa"/>
            <w:tcBorders>
              <w:top w:val="nil"/>
              <w:left w:val="nil"/>
              <w:bottom w:val="single" w:sz="8" w:space="0" w:color="auto"/>
              <w:right w:val="single" w:sz="8" w:space="0" w:color="auto"/>
            </w:tcBorders>
            <w:shd w:val="clear" w:color="auto" w:fill="D9D9D9" w:themeFill="background1" w:themeFillShade="D9"/>
          </w:tcPr>
          <w:p w14:paraId="01649FDE" w14:textId="77777777" w:rsidR="0070194D" w:rsidRPr="001C2D07" w:rsidRDefault="0070194D" w:rsidP="0070194D">
            <w:pPr>
              <w:spacing w:after="0" w:line="240" w:lineRule="auto"/>
              <w:jc w:val="right"/>
              <w:rPr>
                <w:rFonts w:cs="Arial"/>
                <w:b/>
                <w:bCs/>
                <w:color w:val="000000"/>
                <w:szCs w:val="20"/>
              </w:rPr>
            </w:pPr>
            <w:r>
              <w:rPr>
                <w:rFonts w:cs="Arial"/>
                <w:b/>
                <w:bCs/>
                <w:color w:val="000000"/>
                <w:szCs w:val="20"/>
              </w:rPr>
              <w:t>32.524</w:t>
            </w:r>
          </w:p>
        </w:tc>
        <w:tc>
          <w:tcPr>
            <w:tcW w:w="1162" w:type="dxa"/>
            <w:tcBorders>
              <w:top w:val="nil"/>
              <w:left w:val="nil"/>
              <w:bottom w:val="single" w:sz="8" w:space="0" w:color="auto"/>
              <w:right w:val="single" w:sz="8" w:space="0" w:color="auto"/>
            </w:tcBorders>
            <w:shd w:val="clear" w:color="auto" w:fill="D9D9D9" w:themeFill="background1" w:themeFillShade="D9"/>
          </w:tcPr>
          <w:p w14:paraId="0C55B07D" w14:textId="77777777" w:rsidR="0070194D" w:rsidRPr="00D978AE" w:rsidRDefault="0070194D" w:rsidP="0070194D">
            <w:pPr>
              <w:spacing w:after="0" w:line="240" w:lineRule="auto"/>
              <w:jc w:val="right"/>
              <w:rPr>
                <w:rFonts w:cs="Arial"/>
                <w:b/>
                <w:bCs/>
                <w:color w:val="000000"/>
                <w:szCs w:val="20"/>
              </w:rPr>
            </w:pPr>
            <w:r w:rsidRPr="00D978AE">
              <w:rPr>
                <w:rFonts w:cs="Arial"/>
                <w:b/>
                <w:bCs/>
                <w:color w:val="000000"/>
                <w:szCs w:val="20"/>
              </w:rPr>
              <w:t>31.678</w:t>
            </w:r>
          </w:p>
        </w:tc>
        <w:tc>
          <w:tcPr>
            <w:tcW w:w="1162" w:type="dxa"/>
            <w:tcBorders>
              <w:top w:val="nil"/>
              <w:left w:val="nil"/>
              <w:bottom w:val="single" w:sz="8" w:space="0" w:color="auto"/>
              <w:right w:val="single" w:sz="8" w:space="0" w:color="auto"/>
            </w:tcBorders>
            <w:shd w:val="clear" w:color="auto" w:fill="D9D9D9" w:themeFill="background1" w:themeFillShade="D9"/>
          </w:tcPr>
          <w:p w14:paraId="4E605EA9" w14:textId="77777777" w:rsidR="0070194D" w:rsidRPr="00D978AE" w:rsidRDefault="0070194D" w:rsidP="0070194D">
            <w:pPr>
              <w:spacing w:after="0" w:line="240" w:lineRule="auto"/>
              <w:jc w:val="right"/>
              <w:rPr>
                <w:rFonts w:cs="Arial"/>
                <w:b/>
                <w:bCs/>
                <w:color w:val="000000"/>
                <w:szCs w:val="20"/>
              </w:rPr>
            </w:pPr>
            <w:r>
              <w:rPr>
                <w:rFonts w:cs="Arial"/>
                <w:b/>
                <w:bCs/>
                <w:color w:val="000000"/>
                <w:szCs w:val="20"/>
              </w:rPr>
              <w:t>30.800</w:t>
            </w:r>
          </w:p>
        </w:tc>
        <w:tc>
          <w:tcPr>
            <w:tcW w:w="1162" w:type="dxa"/>
            <w:tcBorders>
              <w:top w:val="nil"/>
              <w:left w:val="nil"/>
              <w:bottom w:val="single" w:sz="8" w:space="0" w:color="auto"/>
              <w:right w:val="single" w:sz="8" w:space="0" w:color="auto"/>
            </w:tcBorders>
            <w:shd w:val="clear" w:color="auto" w:fill="D9D9D9" w:themeFill="background1" w:themeFillShade="D9"/>
          </w:tcPr>
          <w:p w14:paraId="621C6806" w14:textId="502788BC" w:rsidR="0070194D" w:rsidRPr="00D978AE" w:rsidRDefault="0070194D" w:rsidP="00C049AD">
            <w:pPr>
              <w:spacing w:after="0" w:line="240" w:lineRule="auto"/>
              <w:jc w:val="right"/>
              <w:rPr>
                <w:rFonts w:cs="Arial"/>
                <w:b/>
                <w:bCs/>
                <w:color w:val="000000"/>
                <w:szCs w:val="20"/>
              </w:rPr>
            </w:pPr>
            <w:r>
              <w:rPr>
                <w:rFonts w:cs="Arial"/>
                <w:b/>
                <w:bCs/>
                <w:color w:val="000000"/>
                <w:szCs w:val="20"/>
              </w:rPr>
              <w:t>30.</w:t>
            </w:r>
            <w:r w:rsidR="00C049AD">
              <w:rPr>
                <w:rFonts w:cs="Arial"/>
                <w:b/>
                <w:bCs/>
                <w:color w:val="000000"/>
                <w:szCs w:val="20"/>
              </w:rPr>
              <w:t>775</w:t>
            </w:r>
          </w:p>
        </w:tc>
        <w:tc>
          <w:tcPr>
            <w:tcW w:w="1163" w:type="dxa"/>
            <w:tcBorders>
              <w:top w:val="nil"/>
              <w:left w:val="nil"/>
              <w:bottom w:val="single" w:sz="8" w:space="0" w:color="auto"/>
              <w:right w:val="single" w:sz="8" w:space="0" w:color="auto"/>
            </w:tcBorders>
            <w:shd w:val="clear" w:color="auto" w:fill="D9D9D9" w:themeFill="background1" w:themeFillShade="D9"/>
          </w:tcPr>
          <w:p w14:paraId="76CFA29D" w14:textId="17B57B67" w:rsidR="0070194D" w:rsidRPr="00D978AE" w:rsidRDefault="0070194D" w:rsidP="00C049AD">
            <w:pPr>
              <w:spacing w:after="0" w:line="240" w:lineRule="auto"/>
              <w:jc w:val="right"/>
              <w:rPr>
                <w:rFonts w:cs="Arial"/>
                <w:b/>
                <w:bCs/>
                <w:color w:val="000000"/>
                <w:szCs w:val="20"/>
              </w:rPr>
            </w:pPr>
            <w:r>
              <w:rPr>
                <w:rFonts w:cs="Arial"/>
                <w:b/>
                <w:bCs/>
                <w:color w:val="000000"/>
                <w:szCs w:val="20"/>
              </w:rPr>
              <w:t>30.</w:t>
            </w:r>
            <w:r w:rsidR="00C049AD">
              <w:rPr>
                <w:rFonts w:cs="Arial"/>
                <w:b/>
                <w:bCs/>
                <w:color w:val="000000"/>
                <w:szCs w:val="20"/>
              </w:rPr>
              <w:t>814</w:t>
            </w:r>
          </w:p>
        </w:tc>
      </w:tr>
      <w:tr w:rsidR="0070194D" w:rsidRPr="005A5B87" w14:paraId="69F7F1F3" w14:textId="77777777" w:rsidTr="00C32914">
        <w:trPr>
          <w:trHeight w:val="252"/>
          <w:tblHeader/>
        </w:trPr>
        <w:tc>
          <w:tcPr>
            <w:tcW w:w="3251" w:type="dxa"/>
            <w:gridSpan w:val="2"/>
            <w:tcBorders>
              <w:top w:val="single" w:sz="8" w:space="0" w:color="auto"/>
              <w:left w:val="single" w:sz="8" w:space="0" w:color="auto"/>
              <w:bottom w:val="single" w:sz="8" w:space="0" w:color="auto"/>
              <w:right w:val="single" w:sz="8" w:space="0" w:color="000000"/>
            </w:tcBorders>
            <w:shd w:val="clear" w:color="auto" w:fill="D9D9D9" w:themeFill="background1" w:themeFillShade="D9"/>
            <w:hideMark/>
          </w:tcPr>
          <w:p w14:paraId="5691E10F" w14:textId="77777777" w:rsidR="0070194D" w:rsidRPr="00687A04" w:rsidRDefault="0070194D" w:rsidP="0070194D">
            <w:pPr>
              <w:spacing w:after="0" w:line="240" w:lineRule="auto"/>
              <w:rPr>
                <w:rFonts w:cs="Arial"/>
                <w:b/>
                <w:bCs/>
                <w:color w:val="000000"/>
                <w:szCs w:val="20"/>
              </w:rPr>
            </w:pPr>
            <w:r w:rsidRPr="00687A04">
              <w:rPr>
                <w:rFonts w:cs="Arial"/>
                <w:b/>
                <w:bCs/>
                <w:color w:val="000000"/>
                <w:szCs w:val="20"/>
              </w:rPr>
              <w:t>Balance</w:t>
            </w:r>
          </w:p>
        </w:tc>
        <w:tc>
          <w:tcPr>
            <w:tcW w:w="1162" w:type="dxa"/>
            <w:tcBorders>
              <w:top w:val="single" w:sz="8" w:space="0" w:color="auto"/>
              <w:left w:val="nil"/>
              <w:bottom w:val="single" w:sz="8" w:space="0" w:color="auto"/>
              <w:right w:val="single" w:sz="8" w:space="0" w:color="auto"/>
            </w:tcBorders>
            <w:shd w:val="clear" w:color="auto" w:fill="D9D9D9" w:themeFill="background1" w:themeFillShade="D9"/>
          </w:tcPr>
          <w:p w14:paraId="3573E38D" w14:textId="77777777" w:rsidR="0070194D" w:rsidRPr="001C2D07" w:rsidRDefault="0070194D" w:rsidP="0070194D">
            <w:pPr>
              <w:spacing w:after="0" w:line="240" w:lineRule="auto"/>
              <w:jc w:val="right"/>
              <w:rPr>
                <w:rFonts w:cs="Arial"/>
                <w:b/>
                <w:bCs/>
                <w:color w:val="000000"/>
                <w:szCs w:val="20"/>
              </w:rPr>
            </w:pPr>
            <w:r>
              <w:rPr>
                <w:rFonts w:cs="Arial"/>
                <w:b/>
                <w:bCs/>
                <w:color w:val="000000"/>
                <w:szCs w:val="20"/>
              </w:rPr>
              <w:t>0.041</w:t>
            </w:r>
          </w:p>
        </w:tc>
        <w:tc>
          <w:tcPr>
            <w:tcW w:w="1162" w:type="dxa"/>
            <w:tcBorders>
              <w:top w:val="nil"/>
              <w:left w:val="nil"/>
              <w:bottom w:val="single" w:sz="8" w:space="0" w:color="auto"/>
              <w:right w:val="single" w:sz="8" w:space="0" w:color="auto"/>
            </w:tcBorders>
            <w:shd w:val="clear" w:color="auto" w:fill="D9D9D9" w:themeFill="background1" w:themeFillShade="D9"/>
          </w:tcPr>
          <w:p w14:paraId="39ED6FAA" w14:textId="284BCF7F" w:rsidR="0070194D" w:rsidRPr="00D978AE" w:rsidRDefault="0070194D" w:rsidP="0070194D">
            <w:pPr>
              <w:spacing w:after="0" w:line="240" w:lineRule="auto"/>
              <w:jc w:val="right"/>
              <w:rPr>
                <w:rFonts w:cs="Arial"/>
                <w:b/>
                <w:bCs/>
                <w:color w:val="000000"/>
                <w:szCs w:val="20"/>
              </w:rPr>
            </w:pPr>
            <w:r>
              <w:rPr>
                <w:rFonts w:cs="Arial"/>
                <w:b/>
                <w:bCs/>
                <w:color w:val="000000"/>
                <w:szCs w:val="20"/>
              </w:rPr>
              <w:t>0.93</w:t>
            </w:r>
            <w:r w:rsidR="00C049AD">
              <w:rPr>
                <w:rFonts w:cs="Arial"/>
                <w:b/>
                <w:bCs/>
                <w:color w:val="000000"/>
                <w:szCs w:val="20"/>
              </w:rPr>
              <w:t>4</w:t>
            </w:r>
          </w:p>
        </w:tc>
        <w:tc>
          <w:tcPr>
            <w:tcW w:w="1162" w:type="dxa"/>
            <w:tcBorders>
              <w:top w:val="nil"/>
              <w:left w:val="nil"/>
              <w:bottom w:val="single" w:sz="8" w:space="0" w:color="auto"/>
              <w:right w:val="single" w:sz="8" w:space="0" w:color="auto"/>
            </w:tcBorders>
            <w:shd w:val="clear" w:color="auto" w:fill="D9D9D9" w:themeFill="background1" w:themeFillShade="D9"/>
          </w:tcPr>
          <w:p w14:paraId="64E1A59F" w14:textId="7F641400" w:rsidR="0070194D" w:rsidRPr="00D978AE" w:rsidRDefault="0070194D" w:rsidP="0070194D">
            <w:pPr>
              <w:spacing w:after="0" w:line="240" w:lineRule="auto"/>
              <w:jc w:val="right"/>
              <w:rPr>
                <w:rFonts w:cs="Arial"/>
                <w:b/>
                <w:bCs/>
                <w:color w:val="000000"/>
                <w:szCs w:val="20"/>
              </w:rPr>
            </w:pPr>
            <w:r>
              <w:rPr>
                <w:rFonts w:cs="Arial"/>
                <w:b/>
                <w:bCs/>
                <w:color w:val="000000"/>
                <w:szCs w:val="20"/>
              </w:rPr>
              <w:t>0.0</w:t>
            </w:r>
            <w:r w:rsidR="00C049AD">
              <w:rPr>
                <w:rFonts w:cs="Arial"/>
                <w:b/>
                <w:bCs/>
                <w:color w:val="000000"/>
                <w:szCs w:val="20"/>
              </w:rPr>
              <w:t>31</w:t>
            </w:r>
          </w:p>
        </w:tc>
        <w:tc>
          <w:tcPr>
            <w:tcW w:w="1162" w:type="dxa"/>
            <w:tcBorders>
              <w:top w:val="nil"/>
              <w:left w:val="nil"/>
              <w:bottom w:val="single" w:sz="8" w:space="0" w:color="auto"/>
              <w:right w:val="single" w:sz="8" w:space="0" w:color="auto"/>
            </w:tcBorders>
            <w:shd w:val="clear" w:color="auto" w:fill="D9D9D9" w:themeFill="background1" w:themeFillShade="D9"/>
          </w:tcPr>
          <w:p w14:paraId="3F9BAEEF" w14:textId="77777777" w:rsidR="0070194D" w:rsidRPr="00D978AE" w:rsidRDefault="0070194D" w:rsidP="0070194D">
            <w:pPr>
              <w:spacing w:after="0" w:line="240" w:lineRule="auto"/>
              <w:jc w:val="right"/>
              <w:rPr>
                <w:rFonts w:cs="Arial"/>
                <w:b/>
                <w:bCs/>
                <w:color w:val="000000"/>
                <w:szCs w:val="20"/>
              </w:rPr>
            </w:pPr>
            <w:r>
              <w:rPr>
                <w:rFonts w:cs="Arial"/>
                <w:b/>
                <w:bCs/>
                <w:color w:val="000000"/>
                <w:szCs w:val="20"/>
              </w:rPr>
              <w:t>0.000</w:t>
            </w:r>
          </w:p>
        </w:tc>
        <w:tc>
          <w:tcPr>
            <w:tcW w:w="1163" w:type="dxa"/>
            <w:tcBorders>
              <w:top w:val="nil"/>
              <w:left w:val="nil"/>
              <w:bottom w:val="single" w:sz="8" w:space="0" w:color="auto"/>
              <w:right w:val="single" w:sz="8" w:space="0" w:color="auto"/>
            </w:tcBorders>
            <w:shd w:val="clear" w:color="auto" w:fill="D9D9D9" w:themeFill="background1" w:themeFillShade="D9"/>
          </w:tcPr>
          <w:p w14:paraId="5292EF6C" w14:textId="3D602E2D" w:rsidR="0070194D" w:rsidRPr="00D978AE" w:rsidRDefault="0070194D" w:rsidP="0070194D">
            <w:pPr>
              <w:spacing w:after="0" w:line="240" w:lineRule="auto"/>
              <w:jc w:val="right"/>
              <w:rPr>
                <w:rFonts w:cs="Arial"/>
                <w:b/>
                <w:bCs/>
                <w:color w:val="000000"/>
                <w:szCs w:val="20"/>
              </w:rPr>
            </w:pPr>
            <w:r>
              <w:rPr>
                <w:rFonts w:cs="Arial"/>
                <w:b/>
                <w:bCs/>
                <w:color w:val="000000"/>
                <w:szCs w:val="20"/>
              </w:rPr>
              <w:t>(0.0</w:t>
            </w:r>
            <w:r w:rsidR="00C049AD">
              <w:rPr>
                <w:rFonts w:cs="Arial"/>
                <w:b/>
                <w:bCs/>
                <w:color w:val="000000"/>
                <w:szCs w:val="20"/>
              </w:rPr>
              <w:t>35</w:t>
            </w:r>
            <w:r>
              <w:rPr>
                <w:rFonts w:cs="Arial"/>
                <w:b/>
                <w:bCs/>
                <w:color w:val="000000"/>
                <w:szCs w:val="20"/>
              </w:rPr>
              <w:t>)</w:t>
            </w:r>
          </w:p>
        </w:tc>
      </w:tr>
    </w:tbl>
    <w:p w14:paraId="6809F0CF" w14:textId="77777777" w:rsidR="0090217E" w:rsidRDefault="0090217E" w:rsidP="00CE6BED">
      <w:pPr>
        <w:pStyle w:val="ACMASpaceaftertable"/>
      </w:pPr>
    </w:p>
    <w:p w14:paraId="606826DD" w14:textId="77777777" w:rsidR="009B2A22" w:rsidRDefault="009B2A22" w:rsidP="009B2A22">
      <w:pPr>
        <w:rPr>
          <w:rFonts w:cs="Arial"/>
        </w:rPr>
      </w:pPr>
      <w:r w:rsidRPr="00720272">
        <w:rPr>
          <w:rFonts w:cs="Arial"/>
        </w:rPr>
        <w:t>The revenues have been calculated in accordance with the Act. The Act requires the components under paragraph 15(1)(a)</w:t>
      </w:r>
      <w:r>
        <w:rPr>
          <w:rFonts w:cs="Arial"/>
        </w:rPr>
        <w:t xml:space="preserve">, </w:t>
      </w:r>
      <w:r w:rsidRPr="00720272">
        <w:rPr>
          <w:rFonts w:cs="Arial"/>
        </w:rPr>
        <w:t xml:space="preserve">15(1)(b) and 15(1)(ca) to be calculated on the costs that are incurred in the financial year immediately preceding the financial year for which the charges are imposed. </w:t>
      </w:r>
      <w:r>
        <w:rPr>
          <w:rFonts w:cs="Arial"/>
        </w:rPr>
        <w:t xml:space="preserve">As a result, </w:t>
      </w:r>
      <w:r w:rsidRPr="009B2A22">
        <w:rPr>
          <w:rFonts w:cs="Arial"/>
        </w:rPr>
        <w:t xml:space="preserve">the revenues for 15(1)(a), 15(1)(b) and </w:t>
      </w:r>
      <w:r w:rsidRPr="00D35E14">
        <w:rPr>
          <w:rFonts w:cs="Arial"/>
        </w:rPr>
        <w:t xml:space="preserve">15(1)(ca) are based on the previous year’s expenditure. </w:t>
      </w:r>
      <w:r w:rsidR="001F572C">
        <w:rPr>
          <w:rFonts w:cs="Arial"/>
        </w:rPr>
        <w:t>Under</w:t>
      </w:r>
      <w:r w:rsidRPr="00D35E14">
        <w:rPr>
          <w:rFonts w:cs="Arial"/>
        </w:rPr>
        <w:t xml:space="preserve"> </w:t>
      </w:r>
      <w:r w:rsidR="000A40F6" w:rsidRPr="00D35E14">
        <w:rPr>
          <w:rFonts w:cs="Arial"/>
        </w:rPr>
        <w:t xml:space="preserve">the </w:t>
      </w:r>
      <w:r w:rsidRPr="00D35E14">
        <w:rPr>
          <w:rFonts w:cs="Arial"/>
        </w:rPr>
        <w:t>Act, t</w:t>
      </w:r>
      <w:r w:rsidRPr="00D35E14">
        <w:t xml:space="preserve">he cost component under paragraph 15(1)(c) relates to the calendar year in which the beginning of the financial year for imposing the ACLC occurs. </w:t>
      </w:r>
      <w:r w:rsidR="002850F8" w:rsidRPr="00D35E14">
        <w:t xml:space="preserve">In order to translate the expenditure incurred in the calendar year to the </w:t>
      </w:r>
      <w:r w:rsidR="00B27DA2" w:rsidRPr="00D35E14">
        <w:t xml:space="preserve">respective fiscal </w:t>
      </w:r>
      <w:r w:rsidR="002850F8" w:rsidRPr="00D35E14">
        <w:t>year, an average expe</w:t>
      </w:r>
      <w:r w:rsidR="00B27DA2" w:rsidRPr="00D35E14">
        <w:t>n</w:t>
      </w:r>
      <w:r w:rsidR="002B5531" w:rsidRPr="00D35E14">
        <w:t>diture of</w:t>
      </w:r>
      <w:r w:rsidR="00B27DA2" w:rsidRPr="00D35E14">
        <w:t xml:space="preserve"> two consecutive calendar years </w:t>
      </w:r>
      <w:r w:rsidR="002B5531" w:rsidRPr="00D35E14">
        <w:t>is used</w:t>
      </w:r>
      <w:r w:rsidR="00B27DA2" w:rsidRPr="00D35E14">
        <w:t>.</w:t>
      </w:r>
      <w:r w:rsidR="002B5531" w:rsidRPr="00D35E14">
        <w:t xml:space="preserve"> This</w:t>
      </w:r>
      <w:r w:rsidRPr="00D35E14">
        <w:t xml:space="preserve"> </w:t>
      </w:r>
      <w:r w:rsidRPr="00D35E14">
        <w:rPr>
          <w:rFonts w:cs="Arial"/>
        </w:rPr>
        <w:t>creates a lag in recognising the revenue, which has resulted in a surplus or deficit balance (that is, a</w:t>
      </w:r>
      <w:r w:rsidRPr="00720272">
        <w:rPr>
          <w:rFonts w:cs="Arial"/>
        </w:rPr>
        <w:t xml:space="preserve"> timing d</w:t>
      </w:r>
      <w:r>
        <w:rPr>
          <w:rFonts w:cs="Arial"/>
        </w:rPr>
        <w:t>i</w:t>
      </w:r>
      <w:r w:rsidRPr="00720272">
        <w:rPr>
          <w:rFonts w:cs="Arial"/>
        </w:rPr>
        <w:t>f</w:t>
      </w:r>
      <w:r>
        <w:rPr>
          <w:rFonts w:cs="Arial"/>
        </w:rPr>
        <w:t>f</w:t>
      </w:r>
      <w:r w:rsidRPr="00720272">
        <w:rPr>
          <w:rFonts w:cs="Arial"/>
        </w:rPr>
        <w:t>erence) for each financial year.</w:t>
      </w:r>
      <w:r>
        <w:rPr>
          <w:rFonts w:cs="Arial"/>
        </w:rPr>
        <w:t xml:space="preserve"> </w:t>
      </w:r>
    </w:p>
    <w:p w14:paraId="16A7DB2F" w14:textId="77777777" w:rsidR="004554F3" w:rsidRDefault="00977B43" w:rsidP="00B815BC">
      <w:pPr>
        <w:rPr>
          <w:rFonts w:cs="Arial"/>
          <w:iCs/>
        </w:rPr>
      </w:pPr>
      <w:r w:rsidRPr="00E8129B">
        <w:rPr>
          <w:rFonts w:cs="Arial"/>
          <w:iCs/>
        </w:rPr>
        <w:t xml:space="preserve">The level of expenditure for the ACMA is </w:t>
      </w:r>
      <w:r w:rsidR="001D4BA6" w:rsidRPr="00E8129B">
        <w:rPr>
          <w:rFonts w:cs="Arial"/>
          <w:iCs/>
        </w:rPr>
        <w:t xml:space="preserve">not </w:t>
      </w:r>
      <w:r w:rsidRPr="00E8129B">
        <w:rPr>
          <w:rFonts w:cs="Arial"/>
          <w:iCs/>
        </w:rPr>
        <w:t xml:space="preserve">expected to </w:t>
      </w:r>
      <w:r w:rsidR="001D4BA6" w:rsidRPr="00E8129B">
        <w:rPr>
          <w:rFonts w:cs="Arial"/>
          <w:iCs/>
        </w:rPr>
        <w:t>change significantly</w:t>
      </w:r>
      <w:r w:rsidR="0081354C" w:rsidRPr="00E8129B">
        <w:rPr>
          <w:rFonts w:cs="Arial"/>
          <w:iCs/>
        </w:rPr>
        <w:t xml:space="preserve">. </w:t>
      </w:r>
    </w:p>
    <w:p w14:paraId="409046F5" w14:textId="15B531A4" w:rsidR="00864956" w:rsidRDefault="009D54C2" w:rsidP="00864956">
      <w:pPr>
        <w:rPr>
          <w:rFonts w:cs="Arial"/>
          <w:iCs/>
        </w:rPr>
      </w:pPr>
      <w:r>
        <w:rPr>
          <w:rFonts w:cs="Arial"/>
          <w:iCs/>
        </w:rPr>
        <w:t xml:space="preserve">The forecasts for the ACCC do not include any expenditure or revenues from the MBA program. These have been disclosed separately in Attachment B. </w:t>
      </w:r>
      <w:r w:rsidR="00864956" w:rsidRPr="006804B7">
        <w:rPr>
          <w:rFonts w:cs="Arial"/>
          <w:iCs/>
        </w:rPr>
        <w:t>The estimated decrease</w:t>
      </w:r>
      <w:r w:rsidR="00864956">
        <w:rPr>
          <w:rFonts w:cs="Arial"/>
          <w:iCs/>
        </w:rPr>
        <w:t xml:space="preserve"> in expenses</w:t>
      </w:r>
      <w:r w:rsidR="00864956" w:rsidRPr="006804B7">
        <w:rPr>
          <w:rFonts w:cs="Arial"/>
          <w:iCs/>
        </w:rPr>
        <w:t xml:space="preserve"> for the ACCC from 201</w:t>
      </w:r>
      <w:r w:rsidR="00864956">
        <w:rPr>
          <w:rFonts w:cs="Arial"/>
          <w:iCs/>
        </w:rPr>
        <w:t>7</w:t>
      </w:r>
      <w:r w:rsidR="00864956" w:rsidRPr="006804B7">
        <w:rPr>
          <w:rFonts w:cs="Arial"/>
          <w:iCs/>
        </w:rPr>
        <w:t>–1</w:t>
      </w:r>
      <w:r w:rsidR="00864956">
        <w:rPr>
          <w:rFonts w:cs="Arial"/>
          <w:iCs/>
        </w:rPr>
        <w:t xml:space="preserve">8 is mainly due to </w:t>
      </w:r>
      <w:r w:rsidR="00B817EC">
        <w:rPr>
          <w:rFonts w:cs="Arial"/>
          <w:iCs/>
        </w:rPr>
        <w:t>a lower proportion of overheads being allocated to the ACLC. Specifically, t</w:t>
      </w:r>
      <w:r w:rsidR="00864956">
        <w:rPr>
          <w:rFonts w:cs="Arial"/>
          <w:iCs/>
        </w:rPr>
        <w:t>he ACCC has received funding for additional inquiry and priority work that will finish over different times (one to five years). The Australian Energy Regulator (AER), which forms part of the ACCC, has been provided additional ongoing funding to strengthen its capacity to regulate Australia’s energy markets. The result of these changes will lead to overhead allocations being absorbed by a larger base, and therefore</w:t>
      </w:r>
      <w:r w:rsidR="00796C7D">
        <w:rPr>
          <w:rFonts w:cs="Arial"/>
          <w:iCs/>
        </w:rPr>
        <w:t>,</w:t>
      </w:r>
      <w:r w:rsidR="00864956">
        <w:rPr>
          <w:rFonts w:cs="Arial"/>
          <w:iCs/>
        </w:rPr>
        <w:t xml:space="preserve"> reduce the overheads calculated as part of the ACLC function. Information on the additional funding received by the ACCC is contained in its 2017</w:t>
      </w:r>
      <w:r w:rsidR="00796C7D">
        <w:rPr>
          <w:rFonts w:cs="Arial"/>
          <w:iCs/>
        </w:rPr>
        <w:t>–</w:t>
      </w:r>
      <w:r w:rsidR="00864956">
        <w:rPr>
          <w:rFonts w:cs="Arial"/>
          <w:iCs/>
        </w:rPr>
        <w:t>18 Portfolio Budget Statements</w:t>
      </w:r>
      <w:r w:rsidR="00864956">
        <w:rPr>
          <w:rStyle w:val="FootnoteReference"/>
          <w:rFonts w:cs="Arial"/>
          <w:iCs/>
        </w:rPr>
        <w:footnoteReference w:id="16"/>
      </w:r>
      <w:r w:rsidR="00864956">
        <w:rPr>
          <w:rFonts w:cs="Arial"/>
          <w:iCs/>
        </w:rPr>
        <w:t xml:space="preserve"> and 2017</w:t>
      </w:r>
      <w:r w:rsidR="00796C7D">
        <w:rPr>
          <w:rFonts w:cs="Arial"/>
          <w:iCs/>
        </w:rPr>
        <w:t>–</w:t>
      </w:r>
      <w:r w:rsidR="00864956">
        <w:rPr>
          <w:rFonts w:cs="Arial"/>
          <w:iCs/>
        </w:rPr>
        <w:t>18 Portfolio Additional Estimates</w:t>
      </w:r>
      <w:r w:rsidR="00796C7D">
        <w:rPr>
          <w:rFonts w:cs="Arial"/>
          <w:iCs/>
        </w:rPr>
        <w:t>.</w:t>
      </w:r>
      <w:r w:rsidR="00864956">
        <w:rPr>
          <w:rStyle w:val="FootnoteReference"/>
          <w:rFonts w:cs="Arial"/>
          <w:iCs/>
        </w:rPr>
        <w:footnoteReference w:id="17"/>
      </w:r>
      <w:r w:rsidR="00864956">
        <w:rPr>
          <w:rFonts w:cs="Arial"/>
          <w:iCs/>
        </w:rPr>
        <w:t xml:space="preserve"> </w:t>
      </w:r>
    </w:p>
    <w:p w14:paraId="79FEF746" w14:textId="38511970" w:rsidR="00B815BC" w:rsidRDefault="00D3561C" w:rsidP="00B815BC">
      <w:r>
        <w:rPr>
          <w:rFonts w:cs="Arial"/>
          <w:iCs/>
        </w:rPr>
        <w:t xml:space="preserve">The increases in the grant for </w:t>
      </w:r>
      <w:r w:rsidRPr="00120B54">
        <w:rPr>
          <w:rFonts w:cs="Arial"/>
          <w:iCs/>
        </w:rPr>
        <w:t>consumer representation and research</w:t>
      </w:r>
      <w:r>
        <w:rPr>
          <w:rFonts w:cs="Arial"/>
          <w:iCs/>
        </w:rPr>
        <w:t xml:space="preserve"> reflect indexation movements</w:t>
      </w:r>
      <w:r w:rsidR="00F24FB7">
        <w:rPr>
          <w:rFonts w:cs="Arial"/>
          <w:iCs/>
        </w:rPr>
        <w:t>.</w:t>
      </w:r>
      <w:r>
        <w:t xml:space="preserve"> </w:t>
      </w:r>
    </w:p>
    <w:p w14:paraId="45612334" w14:textId="77777777" w:rsidR="009E783D" w:rsidRDefault="00977B43" w:rsidP="009E783D">
      <w:r>
        <w:t>T</w:t>
      </w:r>
      <w:r w:rsidR="009E783D" w:rsidRPr="004437BE">
        <w:t xml:space="preserve">he ACMA and other participating organisations have not budgeted for any additional activities that relate to telecommunications functions and powers for the forward financial years. </w:t>
      </w:r>
      <w:bookmarkStart w:id="113" w:name="_Toc355953994"/>
      <w:bookmarkStart w:id="114" w:name="_Toc385256323"/>
    </w:p>
    <w:p w14:paraId="3A905596" w14:textId="77777777" w:rsidR="009E783D" w:rsidRPr="00CC3F4B" w:rsidRDefault="009E783D" w:rsidP="009E783D">
      <w:pPr>
        <w:pStyle w:val="Heading1"/>
      </w:pPr>
      <w:bookmarkStart w:id="115" w:name="_Toc417990965"/>
      <w:bookmarkStart w:id="116" w:name="_Toc511634407"/>
      <w:bookmarkStart w:id="117" w:name="_Toc532543414"/>
      <w:r>
        <w:t xml:space="preserve">7A. </w:t>
      </w:r>
      <w:r w:rsidR="00CB3D67">
        <w:tab/>
      </w:r>
      <w:r w:rsidRPr="00CC3F4B">
        <w:t xml:space="preserve">Financial </w:t>
      </w:r>
      <w:r>
        <w:t>performance</w:t>
      </w:r>
      <w:bookmarkEnd w:id="115"/>
      <w:bookmarkEnd w:id="116"/>
      <w:bookmarkEnd w:id="117"/>
    </w:p>
    <w:p w14:paraId="4E303136" w14:textId="77777777" w:rsidR="003F4664" w:rsidRDefault="009E783D" w:rsidP="00D567BE">
      <w:pPr>
        <w:rPr>
          <w:rFonts w:cs="Arial"/>
          <w:iCs/>
        </w:rPr>
      </w:pPr>
      <w:r w:rsidRPr="001B4BD7">
        <w:rPr>
          <w:rFonts w:cs="Arial"/>
          <w:iCs/>
        </w:rPr>
        <w:t>Historical actual financial results for AC</w:t>
      </w:r>
      <w:r>
        <w:rPr>
          <w:rFonts w:cs="Arial"/>
          <w:iCs/>
        </w:rPr>
        <w:t>LC</w:t>
      </w:r>
      <w:r w:rsidRPr="001B4BD7">
        <w:rPr>
          <w:rFonts w:cs="Arial"/>
          <w:iCs/>
        </w:rPr>
        <w:t xml:space="preserve"> for </w:t>
      </w:r>
      <w:r>
        <w:rPr>
          <w:rFonts w:cs="Arial"/>
          <w:iCs/>
        </w:rPr>
        <w:t>2</w:t>
      </w:r>
      <w:r w:rsidR="0059546E">
        <w:rPr>
          <w:rFonts w:cs="Arial"/>
          <w:iCs/>
        </w:rPr>
        <w:t>01</w:t>
      </w:r>
      <w:r w:rsidR="00250900">
        <w:rPr>
          <w:rFonts w:cs="Arial"/>
          <w:iCs/>
        </w:rPr>
        <w:t>6</w:t>
      </w:r>
      <w:r w:rsidR="003F4664">
        <w:rPr>
          <w:rFonts w:cs="Arial"/>
          <w:iCs/>
        </w:rPr>
        <w:t>–</w:t>
      </w:r>
      <w:r w:rsidR="0059546E">
        <w:rPr>
          <w:rFonts w:cs="Arial"/>
          <w:iCs/>
        </w:rPr>
        <w:t>1</w:t>
      </w:r>
      <w:r w:rsidR="00250900">
        <w:rPr>
          <w:rFonts w:cs="Arial"/>
          <w:iCs/>
        </w:rPr>
        <w:t>7</w:t>
      </w:r>
      <w:r w:rsidRPr="003F4664">
        <w:rPr>
          <w:rFonts w:cs="Arial"/>
          <w:iCs/>
        </w:rPr>
        <w:t xml:space="preserve"> and</w:t>
      </w:r>
      <w:r w:rsidRPr="001B4BD7">
        <w:rPr>
          <w:rFonts w:cs="Arial"/>
          <w:iCs/>
        </w:rPr>
        <w:t xml:space="preserve"> previous </w:t>
      </w:r>
      <w:r w:rsidR="00D866D4">
        <w:rPr>
          <w:rFonts w:cs="Arial"/>
          <w:iCs/>
        </w:rPr>
        <w:t>financial years are in Table 1</w:t>
      </w:r>
      <w:r w:rsidR="00FA02BF">
        <w:rPr>
          <w:rFonts w:cs="Arial"/>
          <w:iCs/>
        </w:rPr>
        <w:t>4</w:t>
      </w:r>
      <w:r w:rsidR="003F4664">
        <w:rPr>
          <w:rFonts w:cs="Arial"/>
          <w:iCs/>
        </w:rPr>
        <w:t>.</w:t>
      </w:r>
    </w:p>
    <w:p w14:paraId="29DCB6AA" w14:textId="77777777" w:rsidR="003F4664" w:rsidRPr="006A56FD" w:rsidRDefault="00FA02BF" w:rsidP="00FA02BF">
      <w:pPr>
        <w:pStyle w:val="ACMATableHeader"/>
        <w:numPr>
          <w:ilvl w:val="0"/>
          <w:numId w:val="0"/>
        </w:numPr>
      </w:pPr>
      <w:r>
        <w:t>Table 14:</w:t>
      </w:r>
      <w:r>
        <w:tab/>
      </w:r>
      <w:r w:rsidR="003F4664" w:rsidRPr="006A56FD">
        <w:t>Historical ACLC expenses and revenue</w:t>
      </w:r>
    </w:p>
    <w:tbl>
      <w:tblPr>
        <w:tblW w:w="946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57" w:type="dxa"/>
          <w:left w:w="57" w:type="dxa"/>
          <w:bottom w:w="57" w:type="dxa"/>
          <w:right w:w="57" w:type="dxa"/>
        </w:tblCellMar>
        <w:tblLook w:val="04A0" w:firstRow="1" w:lastRow="0" w:firstColumn="1" w:lastColumn="0" w:noHBand="0" w:noVBand="1"/>
      </w:tblPr>
      <w:tblGrid>
        <w:gridCol w:w="955"/>
        <w:gridCol w:w="2551"/>
        <w:gridCol w:w="1190"/>
        <w:gridCol w:w="1191"/>
        <w:gridCol w:w="1191"/>
        <w:gridCol w:w="1191"/>
        <w:gridCol w:w="1191"/>
      </w:tblGrid>
      <w:tr w:rsidR="003F4664" w:rsidRPr="001431D5" w14:paraId="5B109CAF" w14:textId="77777777" w:rsidTr="00144A3A">
        <w:trPr>
          <w:cantSplit/>
          <w:trHeight w:val="176"/>
          <w:tblHeader/>
        </w:trPr>
        <w:tc>
          <w:tcPr>
            <w:tcW w:w="955" w:type="dxa"/>
            <w:vMerge w:val="restart"/>
            <w:shd w:val="clear" w:color="000000" w:fill="404040"/>
            <w:hideMark/>
          </w:tcPr>
          <w:p w14:paraId="13586DA1" w14:textId="77777777" w:rsidR="003F4664" w:rsidRPr="00144A3A" w:rsidRDefault="003F4664" w:rsidP="00144A3A">
            <w:pPr>
              <w:pStyle w:val="TableHeading"/>
              <w:rPr>
                <w:color w:val="FFFFFF" w:themeColor="background1"/>
              </w:rPr>
            </w:pPr>
            <w:r w:rsidRPr="00144A3A">
              <w:rPr>
                <w:color w:val="FFFFFF" w:themeColor="background1"/>
              </w:rPr>
              <w:t>Ref. in the Act</w:t>
            </w:r>
          </w:p>
        </w:tc>
        <w:tc>
          <w:tcPr>
            <w:tcW w:w="2551" w:type="dxa"/>
            <w:vMerge w:val="restart"/>
            <w:shd w:val="clear" w:color="000000" w:fill="404040"/>
            <w:hideMark/>
          </w:tcPr>
          <w:p w14:paraId="4272731C" w14:textId="77777777" w:rsidR="003F4664" w:rsidRPr="00144A3A" w:rsidRDefault="0059546E" w:rsidP="00144A3A">
            <w:pPr>
              <w:pStyle w:val="TableHeading"/>
              <w:rPr>
                <w:color w:val="FFFFFF" w:themeColor="background1"/>
              </w:rPr>
            </w:pPr>
            <w:r w:rsidRPr="00144A3A">
              <w:rPr>
                <w:color w:val="FFFFFF" w:themeColor="background1"/>
              </w:rPr>
              <w:t>Component</w:t>
            </w:r>
          </w:p>
        </w:tc>
        <w:tc>
          <w:tcPr>
            <w:tcW w:w="1190" w:type="dxa"/>
            <w:shd w:val="clear" w:color="000000" w:fill="404040"/>
            <w:hideMark/>
          </w:tcPr>
          <w:p w14:paraId="3BB6C6CC" w14:textId="77777777" w:rsidR="003F4664" w:rsidRPr="00144A3A" w:rsidRDefault="0090217E" w:rsidP="00C32914">
            <w:pPr>
              <w:pStyle w:val="TableHeading"/>
              <w:jc w:val="right"/>
              <w:rPr>
                <w:color w:val="FFFFFF" w:themeColor="background1"/>
              </w:rPr>
            </w:pPr>
            <w:r w:rsidRPr="00144A3A">
              <w:rPr>
                <w:color w:val="FFFFFF" w:themeColor="background1"/>
              </w:rPr>
              <w:t>201</w:t>
            </w:r>
            <w:r w:rsidR="00864956">
              <w:rPr>
                <w:color w:val="FFFFFF" w:themeColor="background1"/>
              </w:rPr>
              <w:t>6</w:t>
            </w:r>
            <w:r w:rsidR="003F4664" w:rsidRPr="00144A3A">
              <w:rPr>
                <w:color w:val="FFFFFF" w:themeColor="background1"/>
              </w:rPr>
              <w:t>–</w:t>
            </w:r>
            <w:r w:rsidRPr="00144A3A">
              <w:rPr>
                <w:color w:val="FFFFFF" w:themeColor="background1"/>
              </w:rPr>
              <w:t>1</w:t>
            </w:r>
            <w:r w:rsidR="00864956">
              <w:rPr>
                <w:color w:val="FFFFFF" w:themeColor="background1"/>
              </w:rPr>
              <w:t>7</w:t>
            </w:r>
          </w:p>
        </w:tc>
        <w:tc>
          <w:tcPr>
            <w:tcW w:w="1191" w:type="dxa"/>
            <w:shd w:val="clear" w:color="000000" w:fill="404040"/>
            <w:hideMark/>
          </w:tcPr>
          <w:p w14:paraId="6DF560D7" w14:textId="77777777" w:rsidR="003F4664" w:rsidRPr="00144A3A" w:rsidRDefault="0090217E" w:rsidP="00C32914">
            <w:pPr>
              <w:pStyle w:val="TableHeading"/>
              <w:jc w:val="right"/>
              <w:rPr>
                <w:color w:val="FFFFFF" w:themeColor="background1"/>
              </w:rPr>
            </w:pPr>
            <w:r w:rsidRPr="00144A3A">
              <w:rPr>
                <w:color w:val="FFFFFF" w:themeColor="background1"/>
              </w:rPr>
              <w:t>201</w:t>
            </w:r>
            <w:r w:rsidR="00864956">
              <w:rPr>
                <w:color w:val="FFFFFF" w:themeColor="background1"/>
              </w:rPr>
              <w:t>5</w:t>
            </w:r>
            <w:r w:rsidR="003F4664" w:rsidRPr="00144A3A">
              <w:rPr>
                <w:color w:val="FFFFFF" w:themeColor="background1"/>
              </w:rPr>
              <w:t>–</w:t>
            </w:r>
            <w:r w:rsidRPr="00144A3A">
              <w:rPr>
                <w:color w:val="FFFFFF" w:themeColor="background1"/>
              </w:rPr>
              <w:t>1</w:t>
            </w:r>
            <w:r w:rsidR="00864956">
              <w:rPr>
                <w:color w:val="FFFFFF" w:themeColor="background1"/>
              </w:rPr>
              <w:t>6</w:t>
            </w:r>
          </w:p>
        </w:tc>
        <w:tc>
          <w:tcPr>
            <w:tcW w:w="1191" w:type="dxa"/>
            <w:shd w:val="clear" w:color="000000" w:fill="404040"/>
            <w:hideMark/>
          </w:tcPr>
          <w:p w14:paraId="7991050C" w14:textId="77777777" w:rsidR="003F4664" w:rsidRPr="00144A3A" w:rsidRDefault="0090217E" w:rsidP="00C32914">
            <w:pPr>
              <w:pStyle w:val="TableHeading"/>
              <w:jc w:val="right"/>
              <w:rPr>
                <w:color w:val="FFFFFF" w:themeColor="background1"/>
              </w:rPr>
            </w:pPr>
            <w:r w:rsidRPr="00144A3A">
              <w:rPr>
                <w:color w:val="FFFFFF" w:themeColor="background1"/>
              </w:rPr>
              <w:t>201</w:t>
            </w:r>
            <w:r w:rsidR="00864956">
              <w:rPr>
                <w:color w:val="FFFFFF" w:themeColor="background1"/>
              </w:rPr>
              <w:t>4</w:t>
            </w:r>
            <w:r w:rsidR="003F4664" w:rsidRPr="00144A3A">
              <w:rPr>
                <w:color w:val="FFFFFF" w:themeColor="background1"/>
              </w:rPr>
              <w:t>–</w:t>
            </w:r>
            <w:r w:rsidRPr="00144A3A">
              <w:rPr>
                <w:color w:val="FFFFFF" w:themeColor="background1"/>
              </w:rPr>
              <w:t>1</w:t>
            </w:r>
            <w:r w:rsidR="00864956">
              <w:rPr>
                <w:color w:val="FFFFFF" w:themeColor="background1"/>
              </w:rPr>
              <w:t>5</w:t>
            </w:r>
          </w:p>
        </w:tc>
        <w:tc>
          <w:tcPr>
            <w:tcW w:w="1191" w:type="dxa"/>
            <w:shd w:val="clear" w:color="000000" w:fill="404040"/>
            <w:hideMark/>
          </w:tcPr>
          <w:p w14:paraId="4B7BA1C2" w14:textId="77777777" w:rsidR="003F4664" w:rsidRPr="00144A3A" w:rsidRDefault="0090217E" w:rsidP="00C32914">
            <w:pPr>
              <w:pStyle w:val="TableHeading"/>
              <w:jc w:val="right"/>
              <w:rPr>
                <w:color w:val="FFFFFF" w:themeColor="background1"/>
              </w:rPr>
            </w:pPr>
            <w:r w:rsidRPr="00144A3A">
              <w:rPr>
                <w:color w:val="FFFFFF" w:themeColor="background1"/>
              </w:rPr>
              <w:t>201</w:t>
            </w:r>
            <w:r w:rsidR="00864956">
              <w:rPr>
                <w:color w:val="FFFFFF" w:themeColor="background1"/>
              </w:rPr>
              <w:t>3</w:t>
            </w:r>
            <w:r w:rsidR="003F4664" w:rsidRPr="00144A3A">
              <w:rPr>
                <w:color w:val="FFFFFF" w:themeColor="background1"/>
              </w:rPr>
              <w:t>–</w:t>
            </w:r>
            <w:r w:rsidRPr="00144A3A">
              <w:rPr>
                <w:color w:val="FFFFFF" w:themeColor="background1"/>
              </w:rPr>
              <w:t>1</w:t>
            </w:r>
            <w:r w:rsidR="00864956">
              <w:rPr>
                <w:color w:val="FFFFFF" w:themeColor="background1"/>
              </w:rPr>
              <w:t>4</w:t>
            </w:r>
          </w:p>
        </w:tc>
        <w:tc>
          <w:tcPr>
            <w:tcW w:w="1191" w:type="dxa"/>
            <w:shd w:val="clear" w:color="000000" w:fill="404040"/>
            <w:hideMark/>
          </w:tcPr>
          <w:p w14:paraId="60F967D1" w14:textId="77777777" w:rsidR="003F4664" w:rsidRPr="00144A3A" w:rsidRDefault="0090217E" w:rsidP="00C32914">
            <w:pPr>
              <w:pStyle w:val="TableHeading"/>
              <w:jc w:val="right"/>
              <w:rPr>
                <w:color w:val="FFFFFF" w:themeColor="background1"/>
              </w:rPr>
            </w:pPr>
            <w:r w:rsidRPr="00144A3A">
              <w:rPr>
                <w:color w:val="FFFFFF" w:themeColor="background1"/>
              </w:rPr>
              <w:t>201</w:t>
            </w:r>
            <w:r w:rsidR="00864956">
              <w:rPr>
                <w:color w:val="FFFFFF" w:themeColor="background1"/>
              </w:rPr>
              <w:t>2</w:t>
            </w:r>
            <w:r w:rsidR="003F4664" w:rsidRPr="00144A3A">
              <w:rPr>
                <w:color w:val="FFFFFF" w:themeColor="background1"/>
              </w:rPr>
              <w:t>–</w:t>
            </w:r>
            <w:r w:rsidRPr="00144A3A">
              <w:rPr>
                <w:color w:val="FFFFFF" w:themeColor="background1"/>
              </w:rPr>
              <w:t>1</w:t>
            </w:r>
            <w:r w:rsidR="00864956">
              <w:rPr>
                <w:color w:val="FFFFFF" w:themeColor="background1"/>
              </w:rPr>
              <w:t>3</w:t>
            </w:r>
          </w:p>
        </w:tc>
      </w:tr>
      <w:tr w:rsidR="003F4664" w:rsidRPr="001431D5" w14:paraId="64219708" w14:textId="77777777" w:rsidTr="00144A3A">
        <w:trPr>
          <w:cantSplit/>
          <w:trHeight w:val="168"/>
          <w:tblHeader/>
        </w:trPr>
        <w:tc>
          <w:tcPr>
            <w:tcW w:w="955" w:type="dxa"/>
            <w:vMerge/>
            <w:hideMark/>
          </w:tcPr>
          <w:p w14:paraId="2757C4A9" w14:textId="77777777" w:rsidR="003F4664" w:rsidRPr="00391111" w:rsidRDefault="003F4664" w:rsidP="00391111">
            <w:pPr>
              <w:pStyle w:val="TableHeading"/>
              <w:rPr>
                <w:b w:val="0"/>
                <w:color w:val="FFFFFF" w:themeColor="background1"/>
              </w:rPr>
            </w:pPr>
          </w:p>
        </w:tc>
        <w:tc>
          <w:tcPr>
            <w:tcW w:w="2551" w:type="dxa"/>
            <w:vMerge/>
            <w:hideMark/>
          </w:tcPr>
          <w:p w14:paraId="6D204E20" w14:textId="77777777" w:rsidR="003F4664" w:rsidRPr="00391111" w:rsidRDefault="003F4664" w:rsidP="00391111">
            <w:pPr>
              <w:pStyle w:val="TableHeading"/>
              <w:rPr>
                <w:b w:val="0"/>
                <w:color w:val="FFFFFF" w:themeColor="background1"/>
              </w:rPr>
            </w:pPr>
          </w:p>
        </w:tc>
        <w:tc>
          <w:tcPr>
            <w:tcW w:w="1190" w:type="dxa"/>
            <w:shd w:val="clear" w:color="000000" w:fill="404040"/>
            <w:hideMark/>
          </w:tcPr>
          <w:p w14:paraId="0B620D73" w14:textId="77777777" w:rsidR="003F4664" w:rsidRPr="00391111" w:rsidRDefault="003F4664" w:rsidP="00C32914">
            <w:pPr>
              <w:pStyle w:val="TableHeading"/>
              <w:jc w:val="right"/>
              <w:rPr>
                <w:color w:val="FFFFFF" w:themeColor="background1"/>
              </w:rPr>
            </w:pPr>
            <w:r w:rsidRPr="00391111">
              <w:rPr>
                <w:color w:val="FFFFFF" w:themeColor="background1"/>
              </w:rPr>
              <w:t>($million)</w:t>
            </w:r>
          </w:p>
        </w:tc>
        <w:tc>
          <w:tcPr>
            <w:tcW w:w="1191" w:type="dxa"/>
            <w:shd w:val="clear" w:color="000000" w:fill="404040"/>
            <w:hideMark/>
          </w:tcPr>
          <w:p w14:paraId="4BAAB6F0" w14:textId="77777777" w:rsidR="003F4664" w:rsidRPr="00391111" w:rsidRDefault="003F4664" w:rsidP="00C32914">
            <w:pPr>
              <w:pStyle w:val="TableHeading"/>
              <w:jc w:val="right"/>
              <w:rPr>
                <w:color w:val="FFFFFF" w:themeColor="background1"/>
              </w:rPr>
            </w:pPr>
            <w:r w:rsidRPr="00391111">
              <w:rPr>
                <w:color w:val="FFFFFF" w:themeColor="background1"/>
              </w:rPr>
              <w:t>($million)</w:t>
            </w:r>
          </w:p>
        </w:tc>
        <w:tc>
          <w:tcPr>
            <w:tcW w:w="1191" w:type="dxa"/>
            <w:shd w:val="clear" w:color="000000" w:fill="404040"/>
            <w:hideMark/>
          </w:tcPr>
          <w:p w14:paraId="6F38FDEF" w14:textId="77777777" w:rsidR="003F4664" w:rsidRPr="00391111" w:rsidRDefault="003F4664" w:rsidP="00C32914">
            <w:pPr>
              <w:pStyle w:val="TableHeading"/>
              <w:jc w:val="right"/>
              <w:rPr>
                <w:color w:val="FFFFFF" w:themeColor="background1"/>
              </w:rPr>
            </w:pPr>
            <w:r w:rsidRPr="00391111">
              <w:rPr>
                <w:color w:val="FFFFFF" w:themeColor="background1"/>
              </w:rPr>
              <w:t>($million)</w:t>
            </w:r>
          </w:p>
        </w:tc>
        <w:tc>
          <w:tcPr>
            <w:tcW w:w="1191" w:type="dxa"/>
            <w:shd w:val="clear" w:color="000000" w:fill="404040"/>
            <w:hideMark/>
          </w:tcPr>
          <w:p w14:paraId="7872B77A" w14:textId="77777777" w:rsidR="003F4664" w:rsidRPr="00391111" w:rsidRDefault="003F4664" w:rsidP="00C32914">
            <w:pPr>
              <w:pStyle w:val="TableHeading"/>
              <w:jc w:val="right"/>
              <w:rPr>
                <w:color w:val="FFFFFF" w:themeColor="background1"/>
              </w:rPr>
            </w:pPr>
            <w:r w:rsidRPr="00391111">
              <w:rPr>
                <w:color w:val="FFFFFF" w:themeColor="background1"/>
              </w:rPr>
              <w:t>($million)</w:t>
            </w:r>
          </w:p>
        </w:tc>
        <w:tc>
          <w:tcPr>
            <w:tcW w:w="1191" w:type="dxa"/>
            <w:shd w:val="clear" w:color="000000" w:fill="404040"/>
            <w:hideMark/>
          </w:tcPr>
          <w:p w14:paraId="63F5B4AF" w14:textId="77777777" w:rsidR="003F4664" w:rsidRPr="00391111" w:rsidRDefault="003F4664" w:rsidP="00C32914">
            <w:pPr>
              <w:pStyle w:val="TableHeading"/>
              <w:jc w:val="right"/>
              <w:rPr>
                <w:color w:val="FFFFFF" w:themeColor="background1"/>
              </w:rPr>
            </w:pPr>
            <w:r w:rsidRPr="00391111">
              <w:rPr>
                <w:color w:val="FFFFFF" w:themeColor="background1"/>
              </w:rPr>
              <w:t>($million)</w:t>
            </w:r>
          </w:p>
        </w:tc>
      </w:tr>
      <w:tr w:rsidR="00DE009E" w:rsidRPr="001431D5" w14:paraId="6F3B5FAD" w14:textId="77777777" w:rsidTr="00144A3A">
        <w:trPr>
          <w:cantSplit/>
          <w:trHeight w:val="315"/>
          <w:tblHeader/>
        </w:trPr>
        <w:tc>
          <w:tcPr>
            <w:tcW w:w="955" w:type="dxa"/>
            <w:shd w:val="clear" w:color="auto" w:fill="auto"/>
            <w:hideMark/>
          </w:tcPr>
          <w:p w14:paraId="77ABF89A" w14:textId="77777777" w:rsidR="00DE009E" w:rsidRPr="00687A04" w:rsidRDefault="00DE009E" w:rsidP="00DE009E">
            <w:pPr>
              <w:spacing w:after="0" w:line="240" w:lineRule="auto"/>
              <w:rPr>
                <w:rFonts w:cs="Arial"/>
                <w:color w:val="000000"/>
                <w:szCs w:val="20"/>
              </w:rPr>
            </w:pPr>
            <w:r w:rsidRPr="00687A04">
              <w:rPr>
                <w:rFonts w:cs="Arial"/>
                <w:color w:val="000000"/>
                <w:szCs w:val="20"/>
              </w:rPr>
              <w:t>15(1)(a)</w:t>
            </w:r>
          </w:p>
        </w:tc>
        <w:tc>
          <w:tcPr>
            <w:tcW w:w="2551" w:type="dxa"/>
            <w:shd w:val="clear" w:color="auto" w:fill="auto"/>
            <w:hideMark/>
          </w:tcPr>
          <w:p w14:paraId="1B6D1EF6" w14:textId="77777777" w:rsidR="00DE009E" w:rsidRPr="00687A04" w:rsidRDefault="00DE009E" w:rsidP="00DE009E">
            <w:pPr>
              <w:spacing w:after="0" w:line="240" w:lineRule="auto"/>
              <w:rPr>
                <w:rFonts w:cs="Arial"/>
                <w:color w:val="000000"/>
                <w:szCs w:val="20"/>
              </w:rPr>
            </w:pPr>
            <w:r w:rsidRPr="00687A04">
              <w:rPr>
                <w:rFonts w:cs="Arial"/>
                <w:color w:val="000000"/>
                <w:szCs w:val="20"/>
              </w:rPr>
              <w:t>ACMA expenses</w:t>
            </w:r>
          </w:p>
        </w:tc>
        <w:tc>
          <w:tcPr>
            <w:tcW w:w="1190" w:type="dxa"/>
            <w:shd w:val="clear" w:color="auto" w:fill="auto"/>
          </w:tcPr>
          <w:p w14:paraId="44499650" w14:textId="77777777" w:rsidR="00DE009E" w:rsidRPr="00687A04" w:rsidRDefault="00DF4E1A" w:rsidP="00796C7D">
            <w:pPr>
              <w:spacing w:after="0" w:line="240" w:lineRule="auto"/>
              <w:jc w:val="right"/>
              <w:rPr>
                <w:rFonts w:cs="Arial"/>
                <w:color w:val="000000"/>
                <w:szCs w:val="20"/>
              </w:rPr>
            </w:pPr>
            <w:r>
              <w:rPr>
                <w:rFonts w:cs="Arial"/>
                <w:color w:val="000000"/>
                <w:szCs w:val="20"/>
              </w:rPr>
              <w:t>14.304</w:t>
            </w:r>
          </w:p>
        </w:tc>
        <w:tc>
          <w:tcPr>
            <w:tcW w:w="1191" w:type="dxa"/>
            <w:shd w:val="clear" w:color="auto" w:fill="auto"/>
          </w:tcPr>
          <w:p w14:paraId="561857D3" w14:textId="77777777" w:rsidR="00DE009E" w:rsidRPr="00687A04" w:rsidRDefault="00864956" w:rsidP="00796C7D">
            <w:pPr>
              <w:spacing w:after="0" w:line="240" w:lineRule="auto"/>
              <w:jc w:val="right"/>
              <w:rPr>
                <w:rFonts w:cs="Arial"/>
                <w:color w:val="000000"/>
                <w:szCs w:val="20"/>
              </w:rPr>
            </w:pPr>
            <w:r>
              <w:rPr>
                <w:rFonts w:cs="Arial"/>
                <w:color w:val="000000"/>
                <w:szCs w:val="20"/>
              </w:rPr>
              <w:t>14.405</w:t>
            </w:r>
          </w:p>
        </w:tc>
        <w:tc>
          <w:tcPr>
            <w:tcW w:w="1191" w:type="dxa"/>
            <w:shd w:val="clear" w:color="auto" w:fill="auto"/>
          </w:tcPr>
          <w:p w14:paraId="7EEE0E8B" w14:textId="77777777" w:rsidR="00DE009E" w:rsidRPr="00687A04" w:rsidRDefault="00864956" w:rsidP="00796C7D">
            <w:pPr>
              <w:spacing w:after="0" w:line="240" w:lineRule="auto"/>
              <w:jc w:val="right"/>
              <w:rPr>
                <w:rFonts w:cs="Arial"/>
                <w:color w:val="000000"/>
                <w:szCs w:val="20"/>
              </w:rPr>
            </w:pPr>
            <w:r>
              <w:rPr>
                <w:rFonts w:cs="Arial"/>
                <w:color w:val="000000"/>
                <w:szCs w:val="20"/>
              </w:rPr>
              <w:t>17.572</w:t>
            </w:r>
          </w:p>
        </w:tc>
        <w:tc>
          <w:tcPr>
            <w:tcW w:w="1191" w:type="dxa"/>
            <w:shd w:val="clear" w:color="auto" w:fill="auto"/>
          </w:tcPr>
          <w:p w14:paraId="0DB0E2FC" w14:textId="77777777" w:rsidR="00DE009E" w:rsidRPr="00687A04" w:rsidRDefault="00864956" w:rsidP="00796C7D">
            <w:pPr>
              <w:spacing w:after="0" w:line="240" w:lineRule="auto"/>
              <w:jc w:val="right"/>
              <w:rPr>
                <w:rFonts w:cs="Arial"/>
                <w:color w:val="000000"/>
                <w:szCs w:val="20"/>
              </w:rPr>
            </w:pPr>
            <w:r>
              <w:rPr>
                <w:rFonts w:cs="Arial"/>
                <w:color w:val="000000"/>
                <w:szCs w:val="20"/>
              </w:rPr>
              <w:t>19.654</w:t>
            </w:r>
          </w:p>
        </w:tc>
        <w:tc>
          <w:tcPr>
            <w:tcW w:w="1191" w:type="dxa"/>
            <w:shd w:val="clear" w:color="auto" w:fill="auto"/>
          </w:tcPr>
          <w:p w14:paraId="56009405" w14:textId="77777777" w:rsidR="00DE009E" w:rsidRPr="00687A04" w:rsidRDefault="00864956" w:rsidP="00796C7D">
            <w:pPr>
              <w:spacing w:after="0" w:line="240" w:lineRule="auto"/>
              <w:jc w:val="right"/>
              <w:rPr>
                <w:rFonts w:cs="Arial"/>
                <w:color w:val="000000"/>
                <w:szCs w:val="20"/>
              </w:rPr>
            </w:pPr>
            <w:r>
              <w:rPr>
                <w:rFonts w:cs="Arial"/>
                <w:color w:val="000000"/>
                <w:szCs w:val="20"/>
              </w:rPr>
              <w:t>19.210</w:t>
            </w:r>
          </w:p>
        </w:tc>
      </w:tr>
      <w:tr w:rsidR="00DE009E" w:rsidRPr="001431D5" w14:paraId="6DAF67C6" w14:textId="77777777" w:rsidTr="00144A3A">
        <w:trPr>
          <w:cantSplit/>
          <w:trHeight w:val="315"/>
          <w:tblHeader/>
        </w:trPr>
        <w:tc>
          <w:tcPr>
            <w:tcW w:w="955" w:type="dxa"/>
            <w:shd w:val="clear" w:color="auto" w:fill="auto"/>
            <w:hideMark/>
          </w:tcPr>
          <w:p w14:paraId="53D26436" w14:textId="77777777" w:rsidR="00DE009E" w:rsidRPr="00687A04" w:rsidRDefault="00DE009E" w:rsidP="00DE009E">
            <w:pPr>
              <w:spacing w:after="0" w:line="240" w:lineRule="auto"/>
              <w:rPr>
                <w:rFonts w:cs="Arial"/>
                <w:color w:val="000000"/>
                <w:szCs w:val="20"/>
              </w:rPr>
            </w:pPr>
            <w:r w:rsidRPr="00687A04">
              <w:rPr>
                <w:rFonts w:cs="Arial"/>
                <w:color w:val="000000"/>
                <w:szCs w:val="20"/>
              </w:rPr>
              <w:t>15(1)(b)</w:t>
            </w:r>
          </w:p>
        </w:tc>
        <w:tc>
          <w:tcPr>
            <w:tcW w:w="2551" w:type="dxa"/>
            <w:shd w:val="clear" w:color="auto" w:fill="auto"/>
            <w:hideMark/>
          </w:tcPr>
          <w:p w14:paraId="495B48E7" w14:textId="77777777" w:rsidR="00DE009E" w:rsidRPr="00687A04" w:rsidRDefault="00DE009E" w:rsidP="00DE009E">
            <w:pPr>
              <w:spacing w:after="0" w:line="240" w:lineRule="auto"/>
              <w:rPr>
                <w:rFonts w:cs="Arial"/>
                <w:color w:val="000000"/>
                <w:szCs w:val="20"/>
              </w:rPr>
            </w:pPr>
            <w:r w:rsidRPr="00687A04">
              <w:rPr>
                <w:rFonts w:cs="Arial"/>
                <w:color w:val="000000"/>
                <w:szCs w:val="20"/>
              </w:rPr>
              <w:t>ACCC expenses</w:t>
            </w:r>
          </w:p>
        </w:tc>
        <w:tc>
          <w:tcPr>
            <w:tcW w:w="1190" w:type="dxa"/>
            <w:shd w:val="clear" w:color="auto" w:fill="auto"/>
          </w:tcPr>
          <w:p w14:paraId="4E08A53A" w14:textId="77777777" w:rsidR="00DE009E" w:rsidRPr="00687A04" w:rsidRDefault="00DE009E" w:rsidP="00796C7D">
            <w:pPr>
              <w:spacing w:after="0" w:line="240" w:lineRule="auto"/>
              <w:jc w:val="right"/>
              <w:rPr>
                <w:rFonts w:cs="Arial"/>
                <w:color w:val="000000"/>
                <w:szCs w:val="20"/>
              </w:rPr>
            </w:pPr>
            <w:r>
              <w:rPr>
                <w:rFonts w:cs="Arial"/>
                <w:color w:val="000000"/>
                <w:szCs w:val="20"/>
              </w:rPr>
              <w:t>13.</w:t>
            </w:r>
            <w:r w:rsidR="00864956">
              <w:rPr>
                <w:rFonts w:cs="Arial"/>
                <w:color w:val="000000"/>
                <w:szCs w:val="20"/>
              </w:rPr>
              <w:t>109</w:t>
            </w:r>
          </w:p>
        </w:tc>
        <w:tc>
          <w:tcPr>
            <w:tcW w:w="1191" w:type="dxa"/>
            <w:shd w:val="clear" w:color="auto" w:fill="auto"/>
          </w:tcPr>
          <w:p w14:paraId="3CB77DB5" w14:textId="77777777" w:rsidR="00DE009E" w:rsidRPr="00687A04" w:rsidRDefault="00DE009E" w:rsidP="00796C7D">
            <w:pPr>
              <w:spacing w:after="0" w:line="240" w:lineRule="auto"/>
              <w:jc w:val="right"/>
              <w:rPr>
                <w:rFonts w:cs="Arial"/>
                <w:color w:val="000000"/>
                <w:szCs w:val="20"/>
              </w:rPr>
            </w:pPr>
            <w:r>
              <w:rPr>
                <w:rFonts w:cs="Arial"/>
                <w:color w:val="000000"/>
                <w:szCs w:val="20"/>
              </w:rPr>
              <w:t>1</w:t>
            </w:r>
            <w:r w:rsidR="00864956">
              <w:rPr>
                <w:rFonts w:cs="Arial"/>
                <w:color w:val="000000"/>
                <w:szCs w:val="20"/>
              </w:rPr>
              <w:t>3.641</w:t>
            </w:r>
          </w:p>
        </w:tc>
        <w:tc>
          <w:tcPr>
            <w:tcW w:w="1191" w:type="dxa"/>
            <w:shd w:val="clear" w:color="auto" w:fill="auto"/>
          </w:tcPr>
          <w:p w14:paraId="665E6836" w14:textId="77777777" w:rsidR="00DE009E" w:rsidRPr="00687A04" w:rsidRDefault="00484562" w:rsidP="00796C7D">
            <w:pPr>
              <w:spacing w:after="0" w:line="240" w:lineRule="auto"/>
              <w:jc w:val="right"/>
              <w:rPr>
                <w:rFonts w:cs="Arial"/>
                <w:color w:val="000000"/>
                <w:szCs w:val="20"/>
              </w:rPr>
            </w:pPr>
            <w:r>
              <w:rPr>
                <w:rFonts w:cs="Arial"/>
                <w:color w:val="000000"/>
                <w:szCs w:val="20"/>
              </w:rPr>
              <w:t>15.107</w:t>
            </w:r>
          </w:p>
        </w:tc>
        <w:tc>
          <w:tcPr>
            <w:tcW w:w="1191" w:type="dxa"/>
            <w:shd w:val="clear" w:color="auto" w:fill="auto"/>
          </w:tcPr>
          <w:p w14:paraId="4ED0C931" w14:textId="77777777" w:rsidR="00DE009E" w:rsidRPr="00687A04" w:rsidRDefault="00484562" w:rsidP="00796C7D">
            <w:pPr>
              <w:spacing w:after="0" w:line="240" w:lineRule="auto"/>
              <w:jc w:val="right"/>
              <w:rPr>
                <w:rFonts w:cs="Arial"/>
                <w:color w:val="000000"/>
                <w:szCs w:val="20"/>
              </w:rPr>
            </w:pPr>
            <w:r>
              <w:rPr>
                <w:rFonts w:cs="Arial"/>
                <w:color w:val="000000"/>
                <w:szCs w:val="20"/>
              </w:rPr>
              <w:t>14.975</w:t>
            </w:r>
          </w:p>
        </w:tc>
        <w:tc>
          <w:tcPr>
            <w:tcW w:w="1191" w:type="dxa"/>
            <w:shd w:val="clear" w:color="auto" w:fill="auto"/>
          </w:tcPr>
          <w:p w14:paraId="3AC33405" w14:textId="77777777" w:rsidR="00DE009E" w:rsidRPr="00687A04" w:rsidRDefault="00484562" w:rsidP="00796C7D">
            <w:pPr>
              <w:spacing w:after="0" w:line="240" w:lineRule="auto"/>
              <w:jc w:val="right"/>
              <w:rPr>
                <w:rFonts w:cs="Arial"/>
                <w:color w:val="000000"/>
                <w:szCs w:val="20"/>
              </w:rPr>
            </w:pPr>
            <w:r>
              <w:rPr>
                <w:rFonts w:cs="Arial"/>
                <w:color w:val="000000"/>
                <w:szCs w:val="20"/>
              </w:rPr>
              <w:t>15.005</w:t>
            </w:r>
          </w:p>
        </w:tc>
      </w:tr>
      <w:tr w:rsidR="00DE009E" w:rsidRPr="006C513A" w14:paraId="77703154" w14:textId="77777777" w:rsidTr="00144A3A">
        <w:trPr>
          <w:cantSplit/>
          <w:trHeight w:val="315"/>
          <w:tblHeader/>
        </w:trPr>
        <w:tc>
          <w:tcPr>
            <w:tcW w:w="955" w:type="dxa"/>
            <w:shd w:val="clear" w:color="auto" w:fill="auto"/>
            <w:hideMark/>
          </w:tcPr>
          <w:p w14:paraId="7D2D0D76" w14:textId="77777777" w:rsidR="00DE009E" w:rsidRPr="00DF4E1A" w:rsidRDefault="00DE009E" w:rsidP="00DE009E">
            <w:pPr>
              <w:spacing w:after="0" w:line="240" w:lineRule="auto"/>
              <w:rPr>
                <w:rFonts w:cs="Arial"/>
                <w:color w:val="000000"/>
                <w:szCs w:val="20"/>
              </w:rPr>
            </w:pPr>
            <w:r w:rsidRPr="00DF4E1A">
              <w:rPr>
                <w:rFonts w:cs="Arial"/>
                <w:color w:val="000000"/>
                <w:szCs w:val="20"/>
              </w:rPr>
              <w:t>15(1)(c)</w:t>
            </w:r>
          </w:p>
        </w:tc>
        <w:tc>
          <w:tcPr>
            <w:tcW w:w="2551" w:type="dxa"/>
            <w:shd w:val="clear" w:color="auto" w:fill="auto"/>
            <w:hideMark/>
          </w:tcPr>
          <w:p w14:paraId="446A75DB" w14:textId="77777777" w:rsidR="00DE009E" w:rsidRPr="00DF4E1A" w:rsidRDefault="00DE009E" w:rsidP="00DE009E">
            <w:pPr>
              <w:spacing w:after="0" w:line="240" w:lineRule="auto"/>
              <w:rPr>
                <w:rFonts w:cs="Arial"/>
                <w:color w:val="000000"/>
                <w:szCs w:val="20"/>
              </w:rPr>
            </w:pPr>
            <w:r w:rsidRPr="00DF4E1A">
              <w:rPr>
                <w:rFonts w:cs="Arial"/>
                <w:color w:val="000000"/>
                <w:szCs w:val="20"/>
              </w:rPr>
              <w:t>ITU contribution</w:t>
            </w:r>
          </w:p>
        </w:tc>
        <w:tc>
          <w:tcPr>
            <w:tcW w:w="1190" w:type="dxa"/>
            <w:shd w:val="clear" w:color="auto" w:fill="auto"/>
          </w:tcPr>
          <w:p w14:paraId="4338347D" w14:textId="77777777" w:rsidR="00DE009E" w:rsidRPr="00DF4E1A" w:rsidRDefault="00DA29E6" w:rsidP="00796C7D">
            <w:pPr>
              <w:spacing w:after="0" w:line="240" w:lineRule="auto"/>
              <w:jc w:val="right"/>
              <w:rPr>
                <w:rFonts w:cs="Arial"/>
                <w:color w:val="000000"/>
                <w:szCs w:val="20"/>
              </w:rPr>
            </w:pPr>
            <w:r>
              <w:rPr>
                <w:rFonts w:cs="Arial"/>
                <w:color w:val="000000"/>
                <w:szCs w:val="20"/>
              </w:rPr>
              <w:t>2.004</w:t>
            </w:r>
          </w:p>
        </w:tc>
        <w:tc>
          <w:tcPr>
            <w:tcW w:w="1191" w:type="dxa"/>
            <w:shd w:val="clear" w:color="auto" w:fill="auto"/>
          </w:tcPr>
          <w:p w14:paraId="5E4288C2" w14:textId="77777777" w:rsidR="00DE009E" w:rsidRPr="00DF4E1A" w:rsidRDefault="00484562" w:rsidP="00796C7D">
            <w:pPr>
              <w:spacing w:after="0" w:line="240" w:lineRule="auto"/>
              <w:jc w:val="right"/>
              <w:rPr>
                <w:rFonts w:cs="Arial"/>
                <w:color w:val="000000"/>
                <w:szCs w:val="20"/>
              </w:rPr>
            </w:pPr>
            <w:r w:rsidRPr="00DF4E1A">
              <w:rPr>
                <w:rFonts w:cs="Arial"/>
                <w:color w:val="000000"/>
                <w:szCs w:val="20"/>
              </w:rPr>
              <w:t>2.062</w:t>
            </w:r>
          </w:p>
        </w:tc>
        <w:tc>
          <w:tcPr>
            <w:tcW w:w="1191" w:type="dxa"/>
            <w:shd w:val="clear" w:color="auto" w:fill="auto"/>
          </w:tcPr>
          <w:p w14:paraId="39856327" w14:textId="77777777" w:rsidR="00DE009E" w:rsidRPr="00DF4E1A" w:rsidRDefault="00484562" w:rsidP="00796C7D">
            <w:pPr>
              <w:spacing w:after="0" w:line="240" w:lineRule="auto"/>
              <w:jc w:val="right"/>
              <w:rPr>
                <w:rFonts w:cs="Arial"/>
                <w:color w:val="000000"/>
                <w:szCs w:val="20"/>
              </w:rPr>
            </w:pPr>
            <w:r w:rsidRPr="00DF4E1A">
              <w:rPr>
                <w:rFonts w:cs="Arial"/>
                <w:color w:val="000000"/>
                <w:szCs w:val="20"/>
              </w:rPr>
              <w:t>1.86</w:t>
            </w:r>
            <w:r w:rsidR="00DE009E" w:rsidRPr="00DF4E1A">
              <w:rPr>
                <w:rFonts w:cs="Arial"/>
                <w:color w:val="000000"/>
                <w:szCs w:val="20"/>
              </w:rPr>
              <w:t>1</w:t>
            </w:r>
          </w:p>
        </w:tc>
        <w:tc>
          <w:tcPr>
            <w:tcW w:w="1191" w:type="dxa"/>
            <w:shd w:val="clear" w:color="auto" w:fill="auto"/>
          </w:tcPr>
          <w:p w14:paraId="4D399F7E" w14:textId="77777777" w:rsidR="00DE009E" w:rsidRPr="00DF4E1A" w:rsidRDefault="00484562" w:rsidP="00796C7D">
            <w:pPr>
              <w:spacing w:after="0" w:line="240" w:lineRule="auto"/>
              <w:jc w:val="right"/>
              <w:rPr>
                <w:rFonts w:cs="Arial"/>
                <w:color w:val="000000"/>
                <w:szCs w:val="20"/>
              </w:rPr>
            </w:pPr>
            <w:r w:rsidRPr="00DF4E1A">
              <w:rPr>
                <w:rFonts w:cs="Arial"/>
                <w:color w:val="000000"/>
                <w:szCs w:val="20"/>
              </w:rPr>
              <w:t>1.73</w:t>
            </w:r>
            <w:r w:rsidR="00DE009E" w:rsidRPr="00DF4E1A">
              <w:rPr>
                <w:rFonts w:cs="Arial"/>
                <w:color w:val="000000"/>
                <w:szCs w:val="20"/>
              </w:rPr>
              <w:t>1</w:t>
            </w:r>
          </w:p>
        </w:tc>
        <w:tc>
          <w:tcPr>
            <w:tcW w:w="1191" w:type="dxa"/>
            <w:shd w:val="clear" w:color="auto" w:fill="auto"/>
          </w:tcPr>
          <w:p w14:paraId="36A873D3" w14:textId="77777777" w:rsidR="00DE009E" w:rsidRPr="00DF4E1A" w:rsidRDefault="00484562" w:rsidP="00796C7D">
            <w:pPr>
              <w:spacing w:after="0" w:line="240" w:lineRule="auto"/>
              <w:jc w:val="right"/>
              <w:rPr>
                <w:rFonts w:cs="Arial"/>
                <w:color w:val="000000"/>
                <w:szCs w:val="20"/>
              </w:rPr>
            </w:pPr>
            <w:r w:rsidRPr="00DF4E1A">
              <w:rPr>
                <w:rFonts w:cs="Arial"/>
                <w:color w:val="000000"/>
                <w:szCs w:val="20"/>
              </w:rPr>
              <w:t>1.641</w:t>
            </w:r>
          </w:p>
        </w:tc>
      </w:tr>
      <w:tr w:rsidR="00DE009E" w:rsidRPr="001431D5" w14:paraId="14821B09" w14:textId="77777777" w:rsidTr="00144A3A">
        <w:trPr>
          <w:cantSplit/>
          <w:trHeight w:val="525"/>
          <w:tblHeader/>
        </w:trPr>
        <w:tc>
          <w:tcPr>
            <w:tcW w:w="955" w:type="dxa"/>
            <w:shd w:val="clear" w:color="auto" w:fill="auto"/>
          </w:tcPr>
          <w:p w14:paraId="26214EE4" w14:textId="77777777" w:rsidR="00DE009E" w:rsidRPr="00687A04" w:rsidRDefault="00DE009E" w:rsidP="00DE009E">
            <w:pPr>
              <w:spacing w:after="0" w:line="240" w:lineRule="auto"/>
              <w:rPr>
                <w:rFonts w:cs="Arial"/>
                <w:color w:val="000000"/>
                <w:szCs w:val="20"/>
              </w:rPr>
            </w:pPr>
            <w:r w:rsidRPr="00687A04">
              <w:rPr>
                <w:rFonts w:cs="Arial"/>
                <w:color w:val="000000"/>
                <w:szCs w:val="20"/>
              </w:rPr>
              <w:t>15(1)(ca)</w:t>
            </w:r>
          </w:p>
        </w:tc>
        <w:tc>
          <w:tcPr>
            <w:tcW w:w="2551" w:type="dxa"/>
            <w:shd w:val="clear" w:color="auto" w:fill="auto"/>
          </w:tcPr>
          <w:p w14:paraId="66DC3F8B" w14:textId="77777777" w:rsidR="00DE009E" w:rsidRPr="00687A04" w:rsidRDefault="00DE009E" w:rsidP="00DE009E">
            <w:pPr>
              <w:spacing w:after="0" w:line="240" w:lineRule="auto"/>
              <w:rPr>
                <w:rFonts w:cs="Arial"/>
                <w:color w:val="000000"/>
                <w:szCs w:val="20"/>
              </w:rPr>
            </w:pPr>
            <w:r w:rsidRPr="00687A04">
              <w:rPr>
                <w:rFonts w:cs="Arial"/>
                <w:color w:val="000000"/>
                <w:szCs w:val="20"/>
              </w:rPr>
              <w:t xml:space="preserve">Development </w:t>
            </w:r>
            <w:r w:rsidR="00DD7517">
              <w:rPr>
                <w:rFonts w:cs="Arial"/>
                <w:color w:val="000000"/>
                <w:szCs w:val="20"/>
              </w:rPr>
              <w:t xml:space="preserve">or variation </w:t>
            </w:r>
            <w:r w:rsidRPr="00687A04">
              <w:rPr>
                <w:rFonts w:cs="Arial"/>
                <w:color w:val="000000"/>
                <w:szCs w:val="20"/>
              </w:rPr>
              <w:t>of consumer protection related industry codes</w:t>
            </w:r>
          </w:p>
        </w:tc>
        <w:tc>
          <w:tcPr>
            <w:tcW w:w="1190" w:type="dxa"/>
            <w:shd w:val="clear" w:color="auto" w:fill="auto"/>
          </w:tcPr>
          <w:p w14:paraId="2A7E929C" w14:textId="77777777" w:rsidR="00DE009E" w:rsidRPr="00C06581" w:rsidRDefault="00484562" w:rsidP="00796C7D">
            <w:pPr>
              <w:spacing w:after="0" w:line="240" w:lineRule="auto"/>
              <w:jc w:val="right"/>
              <w:rPr>
                <w:rFonts w:cs="Arial"/>
                <w:color w:val="000000"/>
                <w:szCs w:val="20"/>
              </w:rPr>
            </w:pPr>
            <w:r>
              <w:rPr>
                <w:rFonts w:cs="Arial"/>
                <w:color w:val="000000"/>
                <w:szCs w:val="20"/>
              </w:rPr>
              <w:t>0</w:t>
            </w:r>
          </w:p>
        </w:tc>
        <w:tc>
          <w:tcPr>
            <w:tcW w:w="1191" w:type="dxa"/>
            <w:shd w:val="clear" w:color="auto" w:fill="auto"/>
          </w:tcPr>
          <w:p w14:paraId="54CB3FB7" w14:textId="77777777" w:rsidR="00DE009E" w:rsidRPr="00C06581" w:rsidRDefault="00DE009E" w:rsidP="00796C7D">
            <w:pPr>
              <w:spacing w:after="0" w:line="240" w:lineRule="auto"/>
              <w:jc w:val="right"/>
              <w:rPr>
                <w:rFonts w:cs="Arial"/>
                <w:color w:val="000000"/>
                <w:szCs w:val="20"/>
              </w:rPr>
            </w:pPr>
            <w:r>
              <w:rPr>
                <w:rFonts w:cs="Arial"/>
                <w:color w:val="000000"/>
                <w:szCs w:val="20"/>
              </w:rPr>
              <w:t>0</w:t>
            </w:r>
            <w:r w:rsidR="00484562">
              <w:rPr>
                <w:rFonts w:cs="Arial"/>
                <w:color w:val="000000"/>
                <w:szCs w:val="20"/>
              </w:rPr>
              <w:t>.086</w:t>
            </w:r>
          </w:p>
        </w:tc>
        <w:tc>
          <w:tcPr>
            <w:tcW w:w="1191" w:type="dxa"/>
            <w:shd w:val="clear" w:color="auto" w:fill="auto"/>
          </w:tcPr>
          <w:p w14:paraId="14582F8B" w14:textId="77777777" w:rsidR="00DE009E" w:rsidRPr="00C06581" w:rsidRDefault="00DE009E" w:rsidP="00796C7D">
            <w:pPr>
              <w:spacing w:after="0" w:line="240" w:lineRule="auto"/>
              <w:jc w:val="right"/>
              <w:rPr>
                <w:rFonts w:cs="Arial"/>
                <w:color w:val="000000"/>
                <w:szCs w:val="20"/>
              </w:rPr>
            </w:pPr>
            <w:r>
              <w:rPr>
                <w:rFonts w:cs="Arial"/>
                <w:color w:val="000000"/>
                <w:szCs w:val="20"/>
              </w:rPr>
              <w:t>0</w:t>
            </w:r>
          </w:p>
        </w:tc>
        <w:tc>
          <w:tcPr>
            <w:tcW w:w="1191" w:type="dxa"/>
            <w:shd w:val="clear" w:color="auto" w:fill="auto"/>
          </w:tcPr>
          <w:p w14:paraId="162495BB" w14:textId="77777777" w:rsidR="00DE009E" w:rsidRPr="00C06581" w:rsidRDefault="00484562" w:rsidP="00796C7D">
            <w:pPr>
              <w:spacing w:after="0" w:line="240" w:lineRule="auto"/>
              <w:jc w:val="right"/>
              <w:rPr>
                <w:rFonts w:cs="Arial"/>
                <w:color w:val="000000"/>
                <w:szCs w:val="20"/>
              </w:rPr>
            </w:pPr>
            <w:r>
              <w:rPr>
                <w:rFonts w:cs="Arial"/>
                <w:color w:val="000000"/>
                <w:szCs w:val="20"/>
              </w:rPr>
              <w:t>0</w:t>
            </w:r>
          </w:p>
        </w:tc>
        <w:tc>
          <w:tcPr>
            <w:tcW w:w="1191" w:type="dxa"/>
            <w:shd w:val="clear" w:color="auto" w:fill="auto"/>
          </w:tcPr>
          <w:p w14:paraId="1490DD2F" w14:textId="77777777" w:rsidR="00DE009E" w:rsidRPr="00C06581" w:rsidRDefault="00484562" w:rsidP="00796C7D">
            <w:pPr>
              <w:spacing w:after="0" w:line="240" w:lineRule="auto"/>
              <w:jc w:val="right"/>
              <w:rPr>
                <w:rFonts w:cs="Arial"/>
                <w:color w:val="000000"/>
                <w:szCs w:val="20"/>
              </w:rPr>
            </w:pPr>
            <w:r>
              <w:rPr>
                <w:rFonts w:cs="Arial"/>
                <w:color w:val="000000"/>
                <w:szCs w:val="20"/>
              </w:rPr>
              <w:t>0.321</w:t>
            </w:r>
          </w:p>
        </w:tc>
      </w:tr>
      <w:tr w:rsidR="00DE009E" w:rsidRPr="001431D5" w14:paraId="63A428CE" w14:textId="77777777" w:rsidTr="00144A3A">
        <w:trPr>
          <w:cantSplit/>
          <w:trHeight w:val="525"/>
          <w:tblHeader/>
        </w:trPr>
        <w:tc>
          <w:tcPr>
            <w:tcW w:w="955" w:type="dxa"/>
            <w:shd w:val="clear" w:color="auto" w:fill="auto"/>
            <w:hideMark/>
          </w:tcPr>
          <w:p w14:paraId="5E53DC45" w14:textId="77777777" w:rsidR="00DE009E" w:rsidRPr="00687A04" w:rsidRDefault="00DE009E" w:rsidP="00DE009E">
            <w:pPr>
              <w:spacing w:after="0" w:line="240" w:lineRule="auto"/>
              <w:rPr>
                <w:rFonts w:cs="Arial"/>
                <w:color w:val="000000"/>
                <w:szCs w:val="20"/>
              </w:rPr>
            </w:pPr>
            <w:r w:rsidRPr="00687A04">
              <w:rPr>
                <w:rFonts w:cs="Arial"/>
                <w:color w:val="000000"/>
                <w:szCs w:val="20"/>
              </w:rPr>
              <w:t>15(1)(d)</w:t>
            </w:r>
          </w:p>
        </w:tc>
        <w:tc>
          <w:tcPr>
            <w:tcW w:w="2551" w:type="dxa"/>
            <w:shd w:val="clear" w:color="auto" w:fill="auto"/>
            <w:hideMark/>
          </w:tcPr>
          <w:p w14:paraId="52361F27" w14:textId="77777777" w:rsidR="00DE009E" w:rsidRPr="00120B54" w:rsidRDefault="00DE009E" w:rsidP="00DE009E">
            <w:pPr>
              <w:spacing w:after="0" w:line="240" w:lineRule="auto"/>
              <w:rPr>
                <w:rFonts w:cs="Arial"/>
                <w:color w:val="000000"/>
                <w:szCs w:val="20"/>
              </w:rPr>
            </w:pPr>
            <w:r w:rsidRPr="00120B54">
              <w:rPr>
                <w:rFonts w:cs="Arial"/>
                <w:color w:val="000000"/>
                <w:szCs w:val="20"/>
              </w:rPr>
              <w:t>Government grants—consumer representation and research</w:t>
            </w:r>
          </w:p>
        </w:tc>
        <w:tc>
          <w:tcPr>
            <w:tcW w:w="1190" w:type="dxa"/>
            <w:shd w:val="clear" w:color="auto" w:fill="auto"/>
          </w:tcPr>
          <w:p w14:paraId="0155FE14" w14:textId="77777777" w:rsidR="00DE009E" w:rsidRPr="00C06581" w:rsidRDefault="000E6FA6" w:rsidP="00796C7D">
            <w:pPr>
              <w:spacing w:after="0" w:line="240" w:lineRule="auto"/>
              <w:jc w:val="right"/>
              <w:rPr>
                <w:rFonts w:cs="Arial"/>
                <w:color w:val="000000"/>
                <w:szCs w:val="20"/>
              </w:rPr>
            </w:pPr>
            <w:r>
              <w:rPr>
                <w:rFonts w:cs="Arial"/>
                <w:color w:val="000000"/>
                <w:szCs w:val="20"/>
              </w:rPr>
              <w:t>2.230</w:t>
            </w:r>
          </w:p>
        </w:tc>
        <w:tc>
          <w:tcPr>
            <w:tcW w:w="1191" w:type="dxa"/>
            <w:shd w:val="clear" w:color="auto" w:fill="auto"/>
          </w:tcPr>
          <w:p w14:paraId="5B00EFC0" w14:textId="77777777" w:rsidR="00DE009E" w:rsidRPr="00C06581" w:rsidRDefault="00484562" w:rsidP="00796C7D">
            <w:pPr>
              <w:spacing w:after="0" w:line="240" w:lineRule="auto"/>
              <w:jc w:val="right"/>
              <w:rPr>
                <w:rFonts w:cs="Arial"/>
                <w:color w:val="000000"/>
                <w:szCs w:val="20"/>
              </w:rPr>
            </w:pPr>
            <w:r>
              <w:rPr>
                <w:rFonts w:cs="Arial"/>
                <w:color w:val="000000"/>
                <w:szCs w:val="20"/>
              </w:rPr>
              <w:t>2.196</w:t>
            </w:r>
          </w:p>
        </w:tc>
        <w:tc>
          <w:tcPr>
            <w:tcW w:w="1191" w:type="dxa"/>
            <w:shd w:val="clear" w:color="auto" w:fill="auto"/>
          </w:tcPr>
          <w:p w14:paraId="4DFA7237" w14:textId="77777777" w:rsidR="00DE009E" w:rsidRPr="00C06581" w:rsidRDefault="00484562" w:rsidP="00796C7D">
            <w:pPr>
              <w:spacing w:after="0" w:line="240" w:lineRule="auto"/>
              <w:jc w:val="right"/>
              <w:rPr>
                <w:rFonts w:cs="Arial"/>
                <w:color w:val="000000"/>
                <w:szCs w:val="20"/>
              </w:rPr>
            </w:pPr>
            <w:r>
              <w:rPr>
                <w:rFonts w:cs="Arial"/>
                <w:color w:val="000000"/>
                <w:szCs w:val="20"/>
              </w:rPr>
              <w:t>2.164</w:t>
            </w:r>
          </w:p>
        </w:tc>
        <w:tc>
          <w:tcPr>
            <w:tcW w:w="1191" w:type="dxa"/>
            <w:shd w:val="clear" w:color="auto" w:fill="auto"/>
          </w:tcPr>
          <w:p w14:paraId="1BFC88A4" w14:textId="77777777" w:rsidR="00DE009E" w:rsidRPr="00C06581" w:rsidRDefault="00484562" w:rsidP="00796C7D">
            <w:pPr>
              <w:spacing w:after="0" w:line="240" w:lineRule="auto"/>
              <w:jc w:val="right"/>
              <w:rPr>
                <w:rFonts w:cs="Arial"/>
                <w:color w:val="000000"/>
                <w:szCs w:val="20"/>
              </w:rPr>
            </w:pPr>
            <w:r>
              <w:rPr>
                <w:rFonts w:cs="Arial"/>
                <w:color w:val="000000"/>
                <w:szCs w:val="20"/>
              </w:rPr>
              <w:t>2.166</w:t>
            </w:r>
          </w:p>
        </w:tc>
        <w:tc>
          <w:tcPr>
            <w:tcW w:w="1191" w:type="dxa"/>
            <w:shd w:val="clear" w:color="auto" w:fill="auto"/>
          </w:tcPr>
          <w:p w14:paraId="4212BB31" w14:textId="77777777" w:rsidR="00DE009E" w:rsidRPr="00C06581" w:rsidRDefault="00484562" w:rsidP="00796C7D">
            <w:pPr>
              <w:spacing w:after="0" w:line="240" w:lineRule="auto"/>
              <w:jc w:val="right"/>
              <w:rPr>
                <w:rFonts w:cs="Arial"/>
                <w:color w:val="000000"/>
                <w:szCs w:val="20"/>
              </w:rPr>
            </w:pPr>
            <w:r>
              <w:rPr>
                <w:rFonts w:cs="Arial"/>
                <w:color w:val="000000"/>
                <w:szCs w:val="20"/>
              </w:rPr>
              <w:t>2.12</w:t>
            </w:r>
            <w:r w:rsidR="00DE009E">
              <w:rPr>
                <w:rFonts w:cs="Arial"/>
                <w:color w:val="000000"/>
                <w:szCs w:val="20"/>
              </w:rPr>
              <w:t>7</w:t>
            </w:r>
          </w:p>
        </w:tc>
      </w:tr>
      <w:tr w:rsidR="00DE009E" w:rsidRPr="001431D5" w14:paraId="39DF5397" w14:textId="77777777" w:rsidTr="00C32914">
        <w:trPr>
          <w:cantSplit/>
          <w:trHeight w:val="258"/>
          <w:tblHeader/>
        </w:trPr>
        <w:tc>
          <w:tcPr>
            <w:tcW w:w="3506" w:type="dxa"/>
            <w:gridSpan w:val="2"/>
            <w:shd w:val="clear" w:color="auto" w:fill="D9D9D9" w:themeFill="background1" w:themeFillShade="D9"/>
            <w:hideMark/>
          </w:tcPr>
          <w:p w14:paraId="2BBE5728" w14:textId="77777777" w:rsidR="00DE009E" w:rsidRPr="00120B54" w:rsidRDefault="00DE009E" w:rsidP="00DE009E">
            <w:pPr>
              <w:spacing w:after="0" w:line="240" w:lineRule="auto"/>
              <w:rPr>
                <w:rFonts w:cs="Arial"/>
                <w:b/>
                <w:bCs/>
                <w:color w:val="000000"/>
                <w:szCs w:val="20"/>
              </w:rPr>
            </w:pPr>
            <w:r w:rsidRPr="00120B54">
              <w:rPr>
                <w:rFonts w:cs="Arial"/>
                <w:b/>
                <w:bCs/>
                <w:color w:val="000000"/>
                <w:szCs w:val="20"/>
              </w:rPr>
              <w:t>Total expenses</w:t>
            </w:r>
          </w:p>
        </w:tc>
        <w:tc>
          <w:tcPr>
            <w:tcW w:w="1190" w:type="dxa"/>
            <w:shd w:val="clear" w:color="auto" w:fill="D9D9D9" w:themeFill="background1" w:themeFillShade="D9"/>
          </w:tcPr>
          <w:p w14:paraId="402257B9" w14:textId="77777777" w:rsidR="00DE009E" w:rsidRPr="00C06581" w:rsidRDefault="00C4527D" w:rsidP="00796C7D">
            <w:pPr>
              <w:spacing w:after="0" w:line="240" w:lineRule="auto"/>
              <w:jc w:val="right"/>
              <w:rPr>
                <w:rFonts w:cs="Arial"/>
                <w:b/>
                <w:bCs/>
                <w:color w:val="000000"/>
                <w:szCs w:val="20"/>
              </w:rPr>
            </w:pPr>
            <w:r>
              <w:rPr>
                <w:rFonts w:cs="Arial"/>
                <w:b/>
                <w:bCs/>
                <w:color w:val="000000"/>
                <w:szCs w:val="20"/>
              </w:rPr>
              <w:t>31.647</w:t>
            </w:r>
          </w:p>
        </w:tc>
        <w:tc>
          <w:tcPr>
            <w:tcW w:w="1191" w:type="dxa"/>
            <w:shd w:val="clear" w:color="auto" w:fill="D9D9D9" w:themeFill="background1" w:themeFillShade="D9"/>
          </w:tcPr>
          <w:p w14:paraId="008C24E9" w14:textId="77777777" w:rsidR="00DE009E" w:rsidRPr="00C06581" w:rsidRDefault="00C4527D" w:rsidP="00796C7D">
            <w:pPr>
              <w:spacing w:after="0" w:line="240" w:lineRule="auto"/>
              <w:jc w:val="right"/>
              <w:rPr>
                <w:rFonts w:cs="Arial"/>
                <w:b/>
                <w:bCs/>
                <w:color w:val="000000"/>
                <w:szCs w:val="20"/>
              </w:rPr>
            </w:pPr>
            <w:r>
              <w:rPr>
                <w:rFonts w:cs="Arial"/>
                <w:b/>
                <w:bCs/>
                <w:color w:val="000000"/>
                <w:szCs w:val="20"/>
              </w:rPr>
              <w:t>32.390</w:t>
            </w:r>
          </w:p>
        </w:tc>
        <w:tc>
          <w:tcPr>
            <w:tcW w:w="1191" w:type="dxa"/>
            <w:shd w:val="clear" w:color="auto" w:fill="D9D9D9" w:themeFill="background1" w:themeFillShade="D9"/>
          </w:tcPr>
          <w:p w14:paraId="1B70A3D0" w14:textId="77777777" w:rsidR="00DE009E" w:rsidRPr="00C06581" w:rsidRDefault="00C4527D" w:rsidP="00796C7D">
            <w:pPr>
              <w:spacing w:after="0" w:line="240" w:lineRule="auto"/>
              <w:jc w:val="right"/>
              <w:rPr>
                <w:rFonts w:cs="Arial"/>
                <w:b/>
                <w:bCs/>
                <w:color w:val="000000"/>
                <w:szCs w:val="20"/>
              </w:rPr>
            </w:pPr>
            <w:r>
              <w:rPr>
                <w:rFonts w:cs="Arial"/>
                <w:b/>
                <w:bCs/>
                <w:color w:val="000000"/>
                <w:szCs w:val="20"/>
              </w:rPr>
              <w:t>36.704</w:t>
            </w:r>
          </w:p>
        </w:tc>
        <w:tc>
          <w:tcPr>
            <w:tcW w:w="1191" w:type="dxa"/>
            <w:shd w:val="clear" w:color="auto" w:fill="D9D9D9" w:themeFill="background1" w:themeFillShade="D9"/>
          </w:tcPr>
          <w:p w14:paraId="4B4919A3" w14:textId="77777777" w:rsidR="00DE009E" w:rsidRPr="00C06581" w:rsidRDefault="00C4527D" w:rsidP="00796C7D">
            <w:pPr>
              <w:spacing w:after="0" w:line="240" w:lineRule="auto"/>
              <w:jc w:val="right"/>
              <w:rPr>
                <w:rFonts w:cs="Arial"/>
                <w:b/>
                <w:bCs/>
                <w:color w:val="000000"/>
                <w:szCs w:val="20"/>
              </w:rPr>
            </w:pPr>
            <w:r>
              <w:rPr>
                <w:rFonts w:cs="Arial"/>
                <w:b/>
                <w:bCs/>
                <w:color w:val="000000"/>
                <w:szCs w:val="20"/>
              </w:rPr>
              <w:t>38.526</w:t>
            </w:r>
          </w:p>
        </w:tc>
        <w:tc>
          <w:tcPr>
            <w:tcW w:w="1191" w:type="dxa"/>
            <w:shd w:val="clear" w:color="auto" w:fill="D9D9D9" w:themeFill="background1" w:themeFillShade="D9"/>
          </w:tcPr>
          <w:p w14:paraId="4E695499" w14:textId="77777777" w:rsidR="00DE009E" w:rsidRPr="00C06581" w:rsidRDefault="00C4527D" w:rsidP="00796C7D">
            <w:pPr>
              <w:spacing w:after="0" w:line="240" w:lineRule="auto"/>
              <w:jc w:val="right"/>
              <w:rPr>
                <w:rFonts w:cs="Arial"/>
                <w:b/>
                <w:bCs/>
                <w:color w:val="000000"/>
                <w:szCs w:val="20"/>
              </w:rPr>
            </w:pPr>
            <w:r>
              <w:rPr>
                <w:rFonts w:cs="Arial"/>
                <w:b/>
                <w:bCs/>
                <w:color w:val="000000"/>
                <w:szCs w:val="20"/>
              </w:rPr>
              <w:t>38.304</w:t>
            </w:r>
          </w:p>
        </w:tc>
      </w:tr>
      <w:tr w:rsidR="00DA61EF" w:rsidRPr="001431D5" w14:paraId="6DD9E28C" w14:textId="77777777" w:rsidTr="00144A3A">
        <w:trPr>
          <w:cantSplit/>
          <w:trHeight w:val="315"/>
          <w:tblHeader/>
        </w:trPr>
        <w:tc>
          <w:tcPr>
            <w:tcW w:w="955" w:type="dxa"/>
            <w:shd w:val="clear" w:color="auto" w:fill="auto"/>
            <w:hideMark/>
          </w:tcPr>
          <w:p w14:paraId="479691CF" w14:textId="77777777" w:rsidR="00DA61EF" w:rsidRPr="00687A04" w:rsidRDefault="00DA61EF" w:rsidP="00DA61EF">
            <w:pPr>
              <w:spacing w:after="0" w:line="240" w:lineRule="auto"/>
              <w:rPr>
                <w:rFonts w:cs="Arial"/>
                <w:color w:val="000000"/>
                <w:szCs w:val="20"/>
              </w:rPr>
            </w:pPr>
            <w:r w:rsidRPr="00687A04">
              <w:rPr>
                <w:rFonts w:cs="Arial"/>
                <w:color w:val="000000"/>
                <w:szCs w:val="20"/>
              </w:rPr>
              <w:t>15(1)(a)</w:t>
            </w:r>
          </w:p>
        </w:tc>
        <w:tc>
          <w:tcPr>
            <w:tcW w:w="2551" w:type="dxa"/>
            <w:shd w:val="clear" w:color="auto" w:fill="auto"/>
            <w:hideMark/>
          </w:tcPr>
          <w:p w14:paraId="766496C0" w14:textId="77777777" w:rsidR="00DA61EF" w:rsidRPr="00120B54" w:rsidRDefault="00DA61EF" w:rsidP="00DA61EF">
            <w:pPr>
              <w:spacing w:after="0" w:line="240" w:lineRule="auto"/>
              <w:rPr>
                <w:rFonts w:cs="Arial"/>
                <w:color w:val="000000"/>
                <w:szCs w:val="20"/>
              </w:rPr>
            </w:pPr>
            <w:r w:rsidRPr="00120B54">
              <w:rPr>
                <w:rFonts w:cs="Arial"/>
                <w:color w:val="000000"/>
                <w:szCs w:val="20"/>
              </w:rPr>
              <w:t>ACMA revenue</w:t>
            </w:r>
          </w:p>
        </w:tc>
        <w:tc>
          <w:tcPr>
            <w:tcW w:w="1190" w:type="dxa"/>
            <w:shd w:val="clear" w:color="auto" w:fill="auto"/>
          </w:tcPr>
          <w:p w14:paraId="0BF83AD1" w14:textId="77777777" w:rsidR="00DA61EF" w:rsidRPr="00C06581" w:rsidRDefault="00DF4E1A" w:rsidP="00796C7D">
            <w:pPr>
              <w:spacing w:after="0" w:line="240" w:lineRule="auto"/>
              <w:jc w:val="right"/>
              <w:rPr>
                <w:rFonts w:cs="Arial"/>
                <w:color w:val="000000"/>
                <w:szCs w:val="20"/>
              </w:rPr>
            </w:pPr>
            <w:r>
              <w:rPr>
                <w:rFonts w:cs="Arial"/>
                <w:color w:val="000000"/>
                <w:szCs w:val="20"/>
              </w:rPr>
              <w:t>14.405</w:t>
            </w:r>
          </w:p>
        </w:tc>
        <w:tc>
          <w:tcPr>
            <w:tcW w:w="1191" w:type="dxa"/>
            <w:shd w:val="clear" w:color="auto" w:fill="auto"/>
          </w:tcPr>
          <w:p w14:paraId="4CF5092A" w14:textId="77777777" w:rsidR="00DA61EF" w:rsidRPr="00C06581" w:rsidRDefault="00DA61EF" w:rsidP="00796C7D">
            <w:pPr>
              <w:spacing w:after="0" w:line="240" w:lineRule="auto"/>
              <w:jc w:val="right"/>
              <w:rPr>
                <w:rFonts w:cs="Arial"/>
                <w:color w:val="000000"/>
                <w:szCs w:val="20"/>
              </w:rPr>
            </w:pPr>
            <w:r>
              <w:rPr>
                <w:rFonts w:cs="Arial"/>
                <w:color w:val="000000"/>
                <w:szCs w:val="20"/>
              </w:rPr>
              <w:t>17.572</w:t>
            </w:r>
          </w:p>
        </w:tc>
        <w:tc>
          <w:tcPr>
            <w:tcW w:w="1191" w:type="dxa"/>
            <w:shd w:val="clear" w:color="auto" w:fill="auto"/>
          </w:tcPr>
          <w:p w14:paraId="6F6D74A9" w14:textId="77777777" w:rsidR="00DA61EF" w:rsidRPr="00C06581" w:rsidRDefault="00DA61EF" w:rsidP="00796C7D">
            <w:pPr>
              <w:spacing w:after="0" w:line="240" w:lineRule="auto"/>
              <w:jc w:val="right"/>
              <w:rPr>
                <w:rFonts w:cs="Arial"/>
                <w:color w:val="000000"/>
                <w:szCs w:val="20"/>
              </w:rPr>
            </w:pPr>
            <w:r>
              <w:rPr>
                <w:rFonts w:cs="Arial"/>
                <w:color w:val="000000"/>
                <w:szCs w:val="20"/>
              </w:rPr>
              <w:t>19.654</w:t>
            </w:r>
          </w:p>
        </w:tc>
        <w:tc>
          <w:tcPr>
            <w:tcW w:w="1191" w:type="dxa"/>
            <w:shd w:val="clear" w:color="auto" w:fill="auto"/>
          </w:tcPr>
          <w:p w14:paraId="55216085" w14:textId="77777777" w:rsidR="00DA61EF" w:rsidRPr="00C06581" w:rsidRDefault="00DA61EF" w:rsidP="00796C7D">
            <w:pPr>
              <w:spacing w:after="0" w:line="240" w:lineRule="auto"/>
              <w:jc w:val="right"/>
              <w:rPr>
                <w:rFonts w:cs="Arial"/>
                <w:color w:val="000000"/>
                <w:szCs w:val="20"/>
              </w:rPr>
            </w:pPr>
            <w:r>
              <w:rPr>
                <w:rFonts w:cs="Arial"/>
                <w:color w:val="000000"/>
                <w:szCs w:val="20"/>
              </w:rPr>
              <w:t>19.210</w:t>
            </w:r>
          </w:p>
        </w:tc>
        <w:tc>
          <w:tcPr>
            <w:tcW w:w="1191" w:type="dxa"/>
            <w:shd w:val="clear" w:color="auto" w:fill="auto"/>
          </w:tcPr>
          <w:p w14:paraId="7C80A228" w14:textId="77777777" w:rsidR="00DA61EF" w:rsidRPr="00C06581" w:rsidRDefault="00DA61EF" w:rsidP="00796C7D">
            <w:pPr>
              <w:spacing w:after="0" w:line="240" w:lineRule="auto"/>
              <w:jc w:val="right"/>
              <w:rPr>
                <w:rFonts w:cs="Arial"/>
                <w:color w:val="000000"/>
                <w:szCs w:val="20"/>
              </w:rPr>
            </w:pPr>
            <w:r>
              <w:rPr>
                <w:rFonts w:cs="Arial"/>
                <w:color w:val="000000"/>
                <w:szCs w:val="20"/>
              </w:rPr>
              <w:t>21.053</w:t>
            </w:r>
          </w:p>
        </w:tc>
      </w:tr>
      <w:tr w:rsidR="00DA61EF" w:rsidRPr="001431D5" w14:paraId="7904642C" w14:textId="77777777" w:rsidTr="00144A3A">
        <w:trPr>
          <w:cantSplit/>
          <w:trHeight w:val="315"/>
          <w:tblHeader/>
        </w:trPr>
        <w:tc>
          <w:tcPr>
            <w:tcW w:w="955" w:type="dxa"/>
            <w:shd w:val="clear" w:color="auto" w:fill="auto"/>
            <w:hideMark/>
          </w:tcPr>
          <w:p w14:paraId="5AD5052D" w14:textId="77777777" w:rsidR="00DA61EF" w:rsidRPr="00687A04" w:rsidRDefault="00DA61EF" w:rsidP="00DA61EF">
            <w:pPr>
              <w:spacing w:after="0" w:line="240" w:lineRule="auto"/>
              <w:rPr>
                <w:rFonts w:cs="Arial"/>
                <w:color w:val="000000"/>
                <w:szCs w:val="20"/>
              </w:rPr>
            </w:pPr>
            <w:r w:rsidRPr="00687A04">
              <w:rPr>
                <w:rFonts w:cs="Arial"/>
                <w:color w:val="000000"/>
                <w:szCs w:val="20"/>
              </w:rPr>
              <w:t>15(1)(b)</w:t>
            </w:r>
          </w:p>
        </w:tc>
        <w:tc>
          <w:tcPr>
            <w:tcW w:w="2551" w:type="dxa"/>
            <w:shd w:val="clear" w:color="auto" w:fill="auto"/>
            <w:hideMark/>
          </w:tcPr>
          <w:p w14:paraId="393473FA" w14:textId="77777777" w:rsidR="00DA61EF" w:rsidRPr="00120B54" w:rsidRDefault="00DA61EF" w:rsidP="00DA61EF">
            <w:pPr>
              <w:spacing w:after="0" w:line="240" w:lineRule="auto"/>
              <w:rPr>
                <w:rFonts w:cs="Arial"/>
                <w:color w:val="000000"/>
                <w:szCs w:val="20"/>
              </w:rPr>
            </w:pPr>
            <w:r w:rsidRPr="00120B54">
              <w:rPr>
                <w:rFonts w:cs="Arial"/>
                <w:color w:val="000000"/>
                <w:szCs w:val="20"/>
              </w:rPr>
              <w:t>ACCC revenue</w:t>
            </w:r>
          </w:p>
        </w:tc>
        <w:tc>
          <w:tcPr>
            <w:tcW w:w="1190" w:type="dxa"/>
            <w:shd w:val="clear" w:color="auto" w:fill="auto"/>
          </w:tcPr>
          <w:p w14:paraId="2C52157D" w14:textId="77777777" w:rsidR="00DA61EF" w:rsidRPr="00C06581" w:rsidRDefault="00DA61EF" w:rsidP="00DA61EF">
            <w:pPr>
              <w:spacing w:after="0" w:line="240" w:lineRule="auto"/>
              <w:jc w:val="right"/>
              <w:rPr>
                <w:rFonts w:cs="Arial"/>
                <w:color w:val="000000"/>
                <w:szCs w:val="20"/>
              </w:rPr>
            </w:pPr>
            <w:r>
              <w:rPr>
                <w:rFonts w:cs="Arial"/>
                <w:color w:val="000000"/>
                <w:szCs w:val="20"/>
              </w:rPr>
              <w:t>13.641</w:t>
            </w:r>
          </w:p>
        </w:tc>
        <w:tc>
          <w:tcPr>
            <w:tcW w:w="1191" w:type="dxa"/>
            <w:shd w:val="clear" w:color="auto" w:fill="auto"/>
          </w:tcPr>
          <w:p w14:paraId="640F23D1" w14:textId="77777777" w:rsidR="00DA61EF" w:rsidRPr="00C06581" w:rsidRDefault="00DA61EF" w:rsidP="00DA61EF">
            <w:pPr>
              <w:spacing w:after="0" w:line="240" w:lineRule="auto"/>
              <w:jc w:val="right"/>
              <w:rPr>
                <w:rFonts w:cs="Arial"/>
                <w:color w:val="000000"/>
                <w:szCs w:val="20"/>
              </w:rPr>
            </w:pPr>
            <w:r>
              <w:rPr>
                <w:rFonts w:cs="Arial"/>
                <w:color w:val="000000"/>
                <w:szCs w:val="20"/>
              </w:rPr>
              <w:t>15.107</w:t>
            </w:r>
          </w:p>
        </w:tc>
        <w:tc>
          <w:tcPr>
            <w:tcW w:w="1191" w:type="dxa"/>
            <w:shd w:val="clear" w:color="auto" w:fill="auto"/>
          </w:tcPr>
          <w:p w14:paraId="33DDE6BD" w14:textId="77777777" w:rsidR="00DA61EF" w:rsidRPr="00C06581" w:rsidRDefault="00DA61EF" w:rsidP="00DA61EF">
            <w:pPr>
              <w:spacing w:after="0" w:line="240" w:lineRule="auto"/>
              <w:jc w:val="right"/>
              <w:rPr>
                <w:rFonts w:cs="Arial"/>
                <w:color w:val="000000"/>
                <w:szCs w:val="20"/>
              </w:rPr>
            </w:pPr>
            <w:r>
              <w:rPr>
                <w:rFonts w:cs="Arial"/>
                <w:color w:val="000000"/>
                <w:szCs w:val="20"/>
              </w:rPr>
              <w:t>14.975</w:t>
            </w:r>
          </w:p>
        </w:tc>
        <w:tc>
          <w:tcPr>
            <w:tcW w:w="1191" w:type="dxa"/>
            <w:shd w:val="clear" w:color="auto" w:fill="auto"/>
          </w:tcPr>
          <w:p w14:paraId="62E9A405" w14:textId="77777777" w:rsidR="00DA61EF" w:rsidRPr="00C06581" w:rsidRDefault="00DA61EF" w:rsidP="00DA61EF">
            <w:pPr>
              <w:spacing w:after="0" w:line="240" w:lineRule="auto"/>
              <w:jc w:val="right"/>
              <w:rPr>
                <w:rFonts w:cs="Arial"/>
                <w:color w:val="000000"/>
                <w:szCs w:val="20"/>
              </w:rPr>
            </w:pPr>
            <w:r>
              <w:rPr>
                <w:rFonts w:cs="Arial"/>
                <w:color w:val="000000"/>
                <w:szCs w:val="20"/>
              </w:rPr>
              <w:t>15.005</w:t>
            </w:r>
          </w:p>
        </w:tc>
        <w:tc>
          <w:tcPr>
            <w:tcW w:w="1191" w:type="dxa"/>
            <w:shd w:val="clear" w:color="auto" w:fill="auto"/>
          </w:tcPr>
          <w:p w14:paraId="384638F8" w14:textId="77777777" w:rsidR="00DA61EF" w:rsidRPr="00C06581" w:rsidRDefault="00DA61EF" w:rsidP="00DA61EF">
            <w:pPr>
              <w:spacing w:after="0" w:line="240" w:lineRule="auto"/>
              <w:jc w:val="right"/>
              <w:rPr>
                <w:rFonts w:cs="Arial"/>
                <w:color w:val="000000"/>
                <w:szCs w:val="20"/>
              </w:rPr>
            </w:pPr>
            <w:r>
              <w:rPr>
                <w:rFonts w:cs="Arial"/>
                <w:color w:val="000000"/>
                <w:szCs w:val="20"/>
              </w:rPr>
              <w:t>13.815</w:t>
            </w:r>
          </w:p>
        </w:tc>
      </w:tr>
      <w:tr w:rsidR="00DA61EF" w:rsidRPr="001431D5" w14:paraId="19A84BB3" w14:textId="77777777" w:rsidTr="00144A3A">
        <w:trPr>
          <w:cantSplit/>
          <w:trHeight w:val="315"/>
          <w:tblHeader/>
        </w:trPr>
        <w:tc>
          <w:tcPr>
            <w:tcW w:w="955" w:type="dxa"/>
            <w:shd w:val="clear" w:color="auto" w:fill="auto"/>
            <w:hideMark/>
          </w:tcPr>
          <w:p w14:paraId="3883E345" w14:textId="77777777" w:rsidR="00DA61EF" w:rsidRPr="00DF4E1A" w:rsidRDefault="00DA61EF" w:rsidP="00DA61EF">
            <w:pPr>
              <w:spacing w:after="0" w:line="240" w:lineRule="auto"/>
              <w:rPr>
                <w:rFonts w:cs="Arial"/>
                <w:color w:val="000000"/>
                <w:szCs w:val="20"/>
              </w:rPr>
            </w:pPr>
            <w:r w:rsidRPr="00DF4E1A">
              <w:rPr>
                <w:rFonts w:cs="Arial"/>
                <w:color w:val="000000"/>
                <w:szCs w:val="20"/>
              </w:rPr>
              <w:t>15(1)(c)</w:t>
            </w:r>
          </w:p>
        </w:tc>
        <w:tc>
          <w:tcPr>
            <w:tcW w:w="2551" w:type="dxa"/>
            <w:shd w:val="clear" w:color="auto" w:fill="auto"/>
            <w:hideMark/>
          </w:tcPr>
          <w:p w14:paraId="36B2AE80" w14:textId="77777777" w:rsidR="00DA61EF" w:rsidRPr="00120B54" w:rsidRDefault="00DA61EF" w:rsidP="00DA61EF">
            <w:pPr>
              <w:spacing w:after="0" w:line="240" w:lineRule="auto"/>
              <w:rPr>
                <w:rFonts w:cs="Arial"/>
                <w:color w:val="000000"/>
                <w:szCs w:val="20"/>
              </w:rPr>
            </w:pPr>
            <w:r w:rsidRPr="00120B54">
              <w:rPr>
                <w:rFonts w:cs="Arial"/>
                <w:color w:val="000000"/>
                <w:szCs w:val="20"/>
              </w:rPr>
              <w:t>ITU contribution</w:t>
            </w:r>
          </w:p>
        </w:tc>
        <w:tc>
          <w:tcPr>
            <w:tcW w:w="1190" w:type="dxa"/>
            <w:shd w:val="clear" w:color="auto" w:fill="auto"/>
          </w:tcPr>
          <w:p w14:paraId="7FDD3592" w14:textId="77777777" w:rsidR="00DA61EF" w:rsidRPr="00DF4E1A" w:rsidRDefault="00DF4E1A" w:rsidP="00DA61EF">
            <w:pPr>
              <w:spacing w:after="0" w:line="240" w:lineRule="auto"/>
              <w:jc w:val="right"/>
              <w:rPr>
                <w:rFonts w:cs="Arial"/>
                <w:color w:val="000000"/>
                <w:szCs w:val="20"/>
              </w:rPr>
            </w:pPr>
            <w:r>
              <w:rPr>
                <w:rFonts w:cs="Arial"/>
                <w:color w:val="000000"/>
                <w:szCs w:val="20"/>
              </w:rPr>
              <w:t>2.262</w:t>
            </w:r>
          </w:p>
        </w:tc>
        <w:tc>
          <w:tcPr>
            <w:tcW w:w="1191" w:type="dxa"/>
            <w:shd w:val="clear" w:color="auto" w:fill="auto"/>
          </w:tcPr>
          <w:p w14:paraId="645D1068" w14:textId="77777777" w:rsidR="00DA61EF" w:rsidRPr="00DF4E1A" w:rsidRDefault="00DA61EF" w:rsidP="00DA61EF">
            <w:pPr>
              <w:spacing w:after="0" w:line="240" w:lineRule="auto"/>
              <w:jc w:val="right"/>
              <w:rPr>
                <w:rFonts w:cs="Arial"/>
                <w:color w:val="000000"/>
                <w:szCs w:val="20"/>
              </w:rPr>
            </w:pPr>
            <w:r w:rsidRPr="00DF4E1A">
              <w:rPr>
                <w:rFonts w:cs="Arial"/>
                <w:color w:val="000000"/>
                <w:szCs w:val="20"/>
              </w:rPr>
              <w:t>1.861</w:t>
            </w:r>
          </w:p>
        </w:tc>
        <w:tc>
          <w:tcPr>
            <w:tcW w:w="1191" w:type="dxa"/>
            <w:shd w:val="clear" w:color="auto" w:fill="auto"/>
          </w:tcPr>
          <w:p w14:paraId="614B550C" w14:textId="77777777" w:rsidR="00DA61EF" w:rsidRPr="00DF4E1A" w:rsidRDefault="00DA61EF" w:rsidP="00DA61EF">
            <w:pPr>
              <w:spacing w:after="0" w:line="240" w:lineRule="auto"/>
              <w:jc w:val="right"/>
              <w:rPr>
                <w:rFonts w:cs="Arial"/>
                <w:color w:val="000000"/>
                <w:szCs w:val="20"/>
              </w:rPr>
            </w:pPr>
            <w:r w:rsidRPr="00DF4E1A">
              <w:rPr>
                <w:rFonts w:cs="Arial"/>
                <w:color w:val="000000"/>
                <w:szCs w:val="20"/>
              </w:rPr>
              <w:t>1.860</w:t>
            </w:r>
          </w:p>
        </w:tc>
        <w:tc>
          <w:tcPr>
            <w:tcW w:w="1191" w:type="dxa"/>
            <w:shd w:val="clear" w:color="auto" w:fill="auto"/>
          </w:tcPr>
          <w:p w14:paraId="220AA373" w14:textId="77777777" w:rsidR="00DA61EF" w:rsidRPr="00DF4E1A" w:rsidRDefault="00DA61EF" w:rsidP="00DA61EF">
            <w:pPr>
              <w:spacing w:after="0" w:line="240" w:lineRule="auto"/>
              <w:jc w:val="right"/>
              <w:rPr>
                <w:rFonts w:cs="Arial"/>
                <w:color w:val="000000"/>
                <w:szCs w:val="20"/>
              </w:rPr>
            </w:pPr>
            <w:r w:rsidRPr="00DF4E1A">
              <w:rPr>
                <w:rFonts w:cs="Arial"/>
                <w:color w:val="000000"/>
                <w:szCs w:val="20"/>
              </w:rPr>
              <w:t>1.601</w:t>
            </w:r>
          </w:p>
        </w:tc>
        <w:tc>
          <w:tcPr>
            <w:tcW w:w="1191" w:type="dxa"/>
            <w:shd w:val="clear" w:color="auto" w:fill="auto"/>
          </w:tcPr>
          <w:p w14:paraId="0D2D3072" w14:textId="77777777" w:rsidR="00DA61EF" w:rsidRPr="00DF4E1A" w:rsidRDefault="00DA61EF" w:rsidP="00DA61EF">
            <w:pPr>
              <w:spacing w:after="0" w:line="240" w:lineRule="auto"/>
              <w:jc w:val="right"/>
              <w:rPr>
                <w:rFonts w:cs="Arial"/>
                <w:color w:val="000000"/>
                <w:szCs w:val="20"/>
              </w:rPr>
            </w:pPr>
            <w:r w:rsidRPr="00DF4E1A">
              <w:rPr>
                <w:rFonts w:cs="Arial"/>
                <w:color w:val="000000"/>
                <w:szCs w:val="20"/>
              </w:rPr>
              <w:t>1.680</w:t>
            </w:r>
          </w:p>
        </w:tc>
      </w:tr>
      <w:tr w:rsidR="00DA61EF" w:rsidRPr="001431D5" w14:paraId="47303B12" w14:textId="77777777" w:rsidTr="00144A3A">
        <w:trPr>
          <w:cantSplit/>
          <w:trHeight w:val="525"/>
          <w:tblHeader/>
        </w:trPr>
        <w:tc>
          <w:tcPr>
            <w:tcW w:w="955" w:type="dxa"/>
            <w:shd w:val="clear" w:color="auto" w:fill="auto"/>
          </w:tcPr>
          <w:p w14:paraId="686CD409" w14:textId="77777777" w:rsidR="00DA61EF" w:rsidRPr="00687A04" w:rsidRDefault="00DA61EF" w:rsidP="00DA61EF">
            <w:pPr>
              <w:spacing w:after="0" w:line="240" w:lineRule="auto"/>
              <w:rPr>
                <w:rFonts w:cs="Arial"/>
                <w:color w:val="000000"/>
                <w:szCs w:val="20"/>
              </w:rPr>
            </w:pPr>
            <w:r w:rsidRPr="00687A04">
              <w:rPr>
                <w:rFonts w:cs="Arial"/>
                <w:color w:val="000000"/>
                <w:szCs w:val="20"/>
              </w:rPr>
              <w:t>15(1)(ca)</w:t>
            </w:r>
          </w:p>
        </w:tc>
        <w:tc>
          <w:tcPr>
            <w:tcW w:w="2551" w:type="dxa"/>
            <w:shd w:val="clear" w:color="auto" w:fill="auto"/>
          </w:tcPr>
          <w:p w14:paraId="320F5E72" w14:textId="77777777" w:rsidR="00DA61EF" w:rsidRPr="00120B54" w:rsidRDefault="00DA61EF" w:rsidP="00DA61EF">
            <w:pPr>
              <w:spacing w:after="0" w:line="240" w:lineRule="auto"/>
              <w:rPr>
                <w:rFonts w:cs="Arial"/>
                <w:color w:val="000000"/>
                <w:szCs w:val="20"/>
              </w:rPr>
            </w:pPr>
            <w:r w:rsidRPr="00120B54">
              <w:rPr>
                <w:rFonts w:cs="Arial"/>
                <w:color w:val="000000"/>
                <w:szCs w:val="20"/>
              </w:rPr>
              <w:t xml:space="preserve">Development </w:t>
            </w:r>
            <w:r w:rsidR="00DD7517" w:rsidRPr="00120B54">
              <w:rPr>
                <w:rFonts w:cs="Arial"/>
                <w:color w:val="000000"/>
                <w:szCs w:val="20"/>
              </w:rPr>
              <w:t xml:space="preserve">or variation </w:t>
            </w:r>
            <w:r w:rsidRPr="00120B54">
              <w:rPr>
                <w:rFonts w:cs="Arial"/>
                <w:color w:val="000000"/>
                <w:szCs w:val="20"/>
              </w:rPr>
              <w:t>of consumer protection related industry codes</w:t>
            </w:r>
          </w:p>
        </w:tc>
        <w:tc>
          <w:tcPr>
            <w:tcW w:w="1190" w:type="dxa"/>
            <w:shd w:val="clear" w:color="auto" w:fill="auto"/>
          </w:tcPr>
          <w:p w14:paraId="12A71AF3" w14:textId="77777777" w:rsidR="00DA61EF" w:rsidRPr="00C06581" w:rsidRDefault="00DF4E1A" w:rsidP="00DA61EF">
            <w:pPr>
              <w:spacing w:after="0" w:line="240" w:lineRule="auto"/>
              <w:jc w:val="right"/>
              <w:rPr>
                <w:rFonts w:cs="Arial"/>
                <w:color w:val="000000"/>
                <w:szCs w:val="20"/>
              </w:rPr>
            </w:pPr>
            <w:r>
              <w:rPr>
                <w:rFonts w:cs="Arial"/>
                <w:color w:val="000000"/>
                <w:szCs w:val="20"/>
              </w:rPr>
              <w:t>0.086</w:t>
            </w:r>
          </w:p>
        </w:tc>
        <w:tc>
          <w:tcPr>
            <w:tcW w:w="1191" w:type="dxa"/>
            <w:shd w:val="clear" w:color="auto" w:fill="auto"/>
          </w:tcPr>
          <w:p w14:paraId="2FC1A675" w14:textId="77777777" w:rsidR="00DA61EF" w:rsidRPr="00C06581" w:rsidRDefault="00DA61EF" w:rsidP="00DA61EF">
            <w:pPr>
              <w:spacing w:after="0" w:line="240" w:lineRule="auto"/>
              <w:jc w:val="right"/>
              <w:rPr>
                <w:rFonts w:cs="Arial"/>
                <w:color w:val="000000"/>
                <w:szCs w:val="20"/>
              </w:rPr>
            </w:pPr>
            <w:r>
              <w:rPr>
                <w:rFonts w:cs="Arial"/>
                <w:color w:val="000000"/>
                <w:szCs w:val="20"/>
              </w:rPr>
              <w:t>0</w:t>
            </w:r>
          </w:p>
        </w:tc>
        <w:tc>
          <w:tcPr>
            <w:tcW w:w="1191" w:type="dxa"/>
            <w:shd w:val="clear" w:color="auto" w:fill="auto"/>
          </w:tcPr>
          <w:p w14:paraId="331BA99A" w14:textId="77777777" w:rsidR="00DA61EF" w:rsidRPr="00C06581" w:rsidRDefault="00DA61EF" w:rsidP="00DA61EF">
            <w:pPr>
              <w:spacing w:after="0" w:line="240" w:lineRule="auto"/>
              <w:jc w:val="right"/>
              <w:rPr>
                <w:rFonts w:cs="Arial"/>
                <w:color w:val="000000"/>
                <w:szCs w:val="20"/>
              </w:rPr>
            </w:pPr>
            <w:r>
              <w:rPr>
                <w:rFonts w:cs="Arial"/>
                <w:color w:val="000000"/>
                <w:szCs w:val="20"/>
              </w:rPr>
              <w:t>0</w:t>
            </w:r>
          </w:p>
        </w:tc>
        <w:tc>
          <w:tcPr>
            <w:tcW w:w="1191" w:type="dxa"/>
            <w:shd w:val="clear" w:color="auto" w:fill="auto"/>
          </w:tcPr>
          <w:p w14:paraId="47463D48" w14:textId="77777777" w:rsidR="00DA61EF" w:rsidRPr="00C06581" w:rsidRDefault="00DA61EF" w:rsidP="00DA61EF">
            <w:pPr>
              <w:spacing w:after="0" w:line="240" w:lineRule="auto"/>
              <w:jc w:val="right"/>
              <w:rPr>
                <w:rFonts w:cs="Arial"/>
                <w:color w:val="000000"/>
                <w:szCs w:val="20"/>
              </w:rPr>
            </w:pPr>
            <w:r>
              <w:rPr>
                <w:rFonts w:cs="Arial"/>
                <w:color w:val="000000"/>
                <w:szCs w:val="20"/>
              </w:rPr>
              <w:t>0.321</w:t>
            </w:r>
          </w:p>
        </w:tc>
        <w:tc>
          <w:tcPr>
            <w:tcW w:w="1191" w:type="dxa"/>
            <w:shd w:val="clear" w:color="auto" w:fill="auto"/>
          </w:tcPr>
          <w:p w14:paraId="6CA9BFCE" w14:textId="77777777" w:rsidR="00DA61EF" w:rsidRPr="00C06581" w:rsidRDefault="00DA61EF" w:rsidP="00DA61EF">
            <w:pPr>
              <w:spacing w:after="0" w:line="240" w:lineRule="auto"/>
              <w:jc w:val="right"/>
              <w:rPr>
                <w:rFonts w:cs="Arial"/>
                <w:color w:val="000000"/>
                <w:szCs w:val="20"/>
              </w:rPr>
            </w:pPr>
            <w:r>
              <w:rPr>
                <w:rFonts w:cs="Arial"/>
                <w:color w:val="000000"/>
                <w:szCs w:val="20"/>
              </w:rPr>
              <w:t>0.210</w:t>
            </w:r>
          </w:p>
        </w:tc>
      </w:tr>
      <w:tr w:rsidR="00DA61EF" w:rsidRPr="001431D5" w14:paraId="413D0567" w14:textId="77777777" w:rsidTr="00144A3A">
        <w:trPr>
          <w:cantSplit/>
          <w:trHeight w:val="525"/>
          <w:tblHeader/>
        </w:trPr>
        <w:tc>
          <w:tcPr>
            <w:tcW w:w="955" w:type="dxa"/>
            <w:shd w:val="clear" w:color="auto" w:fill="auto"/>
            <w:hideMark/>
          </w:tcPr>
          <w:p w14:paraId="2056F77C" w14:textId="77777777" w:rsidR="00DA61EF" w:rsidRPr="00687A04" w:rsidRDefault="00DA61EF" w:rsidP="00DA61EF">
            <w:pPr>
              <w:spacing w:after="0" w:line="240" w:lineRule="auto"/>
              <w:rPr>
                <w:rFonts w:cs="Arial"/>
                <w:color w:val="000000"/>
                <w:szCs w:val="20"/>
              </w:rPr>
            </w:pPr>
            <w:r w:rsidRPr="00687A04">
              <w:rPr>
                <w:rFonts w:cs="Arial"/>
                <w:color w:val="000000"/>
                <w:szCs w:val="20"/>
              </w:rPr>
              <w:t>15(1)(d)</w:t>
            </w:r>
          </w:p>
        </w:tc>
        <w:tc>
          <w:tcPr>
            <w:tcW w:w="2551" w:type="dxa"/>
            <w:shd w:val="clear" w:color="auto" w:fill="auto"/>
            <w:hideMark/>
          </w:tcPr>
          <w:p w14:paraId="436110A3" w14:textId="77777777" w:rsidR="00DA61EF" w:rsidRPr="00120B54" w:rsidRDefault="00DA61EF" w:rsidP="00DA61EF">
            <w:pPr>
              <w:spacing w:after="0" w:line="240" w:lineRule="auto"/>
              <w:rPr>
                <w:rFonts w:cs="Arial"/>
                <w:color w:val="000000"/>
                <w:szCs w:val="20"/>
              </w:rPr>
            </w:pPr>
            <w:r w:rsidRPr="00120B54">
              <w:rPr>
                <w:rFonts w:cs="Arial"/>
                <w:color w:val="000000"/>
                <w:szCs w:val="20"/>
              </w:rPr>
              <w:t>Government grants—consumer representation and research</w:t>
            </w:r>
          </w:p>
        </w:tc>
        <w:tc>
          <w:tcPr>
            <w:tcW w:w="1190" w:type="dxa"/>
            <w:shd w:val="clear" w:color="auto" w:fill="auto"/>
          </w:tcPr>
          <w:p w14:paraId="7DC806B7" w14:textId="77777777" w:rsidR="00DA61EF" w:rsidRPr="00C06581" w:rsidRDefault="000E6FA6" w:rsidP="00DA61EF">
            <w:pPr>
              <w:spacing w:after="0" w:line="240" w:lineRule="auto"/>
              <w:jc w:val="right"/>
              <w:rPr>
                <w:rFonts w:cs="Arial"/>
                <w:color w:val="000000"/>
                <w:szCs w:val="20"/>
              </w:rPr>
            </w:pPr>
            <w:r>
              <w:rPr>
                <w:rFonts w:cs="Arial"/>
                <w:color w:val="000000"/>
                <w:szCs w:val="20"/>
              </w:rPr>
              <w:t>2.230</w:t>
            </w:r>
          </w:p>
        </w:tc>
        <w:tc>
          <w:tcPr>
            <w:tcW w:w="1191" w:type="dxa"/>
            <w:shd w:val="clear" w:color="auto" w:fill="auto"/>
          </w:tcPr>
          <w:p w14:paraId="7DB6A1F3" w14:textId="77777777" w:rsidR="00DA61EF" w:rsidRPr="00C06581" w:rsidRDefault="00DA61EF" w:rsidP="00DA61EF">
            <w:pPr>
              <w:spacing w:after="0" w:line="240" w:lineRule="auto"/>
              <w:jc w:val="right"/>
              <w:rPr>
                <w:rFonts w:cs="Arial"/>
                <w:color w:val="000000"/>
                <w:szCs w:val="20"/>
              </w:rPr>
            </w:pPr>
            <w:r>
              <w:rPr>
                <w:rFonts w:cs="Arial"/>
                <w:color w:val="000000"/>
                <w:szCs w:val="20"/>
              </w:rPr>
              <w:t>2.196</w:t>
            </w:r>
          </w:p>
        </w:tc>
        <w:tc>
          <w:tcPr>
            <w:tcW w:w="1191" w:type="dxa"/>
            <w:shd w:val="clear" w:color="auto" w:fill="auto"/>
          </w:tcPr>
          <w:p w14:paraId="626FD0B3" w14:textId="77777777" w:rsidR="00DA61EF" w:rsidRPr="00C06581" w:rsidRDefault="00DA61EF" w:rsidP="00DA61EF">
            <w:pPr>
              <w:spacing w:after="0" w:line="240" w:lineRule="auto"/>
              <w:jc w:val="right"/>
              <w:rPr>
                <w:rFonts w:cs="Arial"/>
                <w:color w:val="000000"/>
                <w:szCs w:val="20"/>
              </w:rPr>
            </w:pPr>
            <w:r>
              <w:rPr>
                <w:rFonts w:cs="Arial"/>
                <w:color w:val="000000"/>
                <w:szCs w:val="20"/>
              </w:rPr>
              <w:t>2.164</w:t>
            </w:r>
          </w:p>
        </w:tc>
        <w:tc>
          <w:tcPr>
            <w:tcW w:w="1191" w:type="dxa"/>
            <w:shd w:val="clear" w:color="auto" w:fill="auto"/>
          </w:tcPr>
          <w:p w14:paraId="76A652BE" w14:textId="77777777" w:rsidR="00DA61EF" w:rsidRPr="00C06581" w:rsidRDefault="00DA61EF" w:rsidP="00DA61EF">
            <w:pPr>
              <w:spacing w:after="0" w:line="240" w:lineRule="auto"/>
              <w:jc w:val="right"/>
              <w:rPr>
                <w:rFonts w:cs="Arial"/>
                <w:color w:val="000000"/>
                <w:szCs w:val="20"/>
              </w:rPr>
            </w:pPr>
            <w:r>
              <w:rPr>
                <w:rFonts w:cs="Arial"/>
                <w:color w:val="000000"/>
                <w:szCs w:val="20"/>
              </w:rPr>
              <w:t>2.166</w:t>
            </w:r>
          </w:p>
        </w:tc>
        <w:tc>
          <w:tcPr>
            <w:tcW w:w="1191" w:type="dxa"/>
            <w:shd w:val="clear" w:color="auto" w:fill="auto"/>
          </w:tcPr>
          <w:p w14:paraId="65C13C8E" w14:textId="77777777" w:rsidR="00DA61EF" w:rsidRPr="00C06581" w:rsidRDefault="00DA61EF" w:rsidP="00DA61EF">
            <w:pPr>
              <w:spacing w:after="0" w:line="240" w:lineRule="auto"/>
              <w:jc w:val="right"/>
              <w:rPr>
                <w:rFonts w:cs="Arial"/>
                <w:color w:val="000000"/>
                <w:szCs w:val="20"/>
              </w:rPr>
            </w:pPr>
            <w:r>
              <w:rPr>
                <w:rFonts w:cs="Arial"/>
                <w:color w:val="000000"/>
                <w:szCs w:val="20"/>
              </w:rPr>
              <w:t>2.127</w:t>
            </w:r>
          </w:p>
        </w:tc>
      </w:tr>
      <w:tr w:rsidR="00DA61EF" w:rsidRPr="001431D5" w14:paraId="004C71BF" w14:textId="77777777" w:rsidTr="00C32914">
        <w:trPr>
          <w:cantSplit/>
          <w:trHeight w:val="134"/>
          <w:tblHeader/>
        </w:trPr>
        <w:tc>
          <w:tcPr>
            <w:tcW w:w="3506" w:type="dxa"/>
            <w:gridSpan w:val="2"/>
            <w:shd w:val="clear" w:color="auto" w:fill="D9D9D9" w:themeFill="background1" w:themeFillShade="D9"/>
            <w:hideMark/>
          </w:tcPr>
          <w:p w14:paraId="5D0516E2" w14:textId="77777777" w:rsidR="00DA61EF" w:rsidRPr="00687A04" w:rsidRDefault="00DA61EF" w:rsidP="00DA61EF">
            <w:pPr>
              <w:spacing w:after="0" w:line="240" w:lineRule="auto"/>
              <w:rPr>
                <w:rFonts w:cs="Arial"/>
                <w:b/>
                <w:bCs/>
                <w:color w:val="000000"/>
                <w:szCs w:val="20"/>
              </w:rPr>
            </w:pPr>
            <w:r w:rsidRPr="00687A04">
              <w:rPr>
                <w:rFonts w:cs="Arial"/>
                <w:b/>
                <w:bCs/>
                <w:color w:val="000000"/>
                <w:szCs w:val="20"/>
              </w:rPr>
              <w:t>Total revenue</w:t>
            </w:r>
          </w:p>
        </w:tc>
        <w:tc>
          <w:tcPr>
            <w:tcW w:w="1190" w:type="dxa"/>
            <w:shd w:val="clear" w:color="auto" w:fill="D9D9D9" w:themeFill="background1" w:themeFillShade="D9"/>
          </w:tcPr>
          <w:p w14:paraId="274BCD78" w14:textId="77777777" w:rsidR="00DA61EF" w:rsidRPr="00C06581" w:rsidRDefault="00C4527D" w:rsidP="00DA61EF">
            <w:pPr>
              <w:spacing w:after="0" w:line="240" w:lineRule="auto"/>
              <w:jc w:val="right"/>
              <w:rPr>
                <w:rFonts w:cs="Arial"/>
                <w:b/>
                <w:bCs/>
                <w:color w:val="000000"/>
                <w:szCs w:val="20"/>
              </w:rPr>
            </w:pPr>
            <w:r>
              <w:rPr>
                <w:rFonts w:cs="Arial"/>
                <w:b/>
                <w:bCs/>
                <w:color w:val="000000"/>
                <w:szCs w:val="20"/>
              </w:rPr>
              <w:t>32.624</w:t>
            </w:r>
          </w:p>
        </w:tc>
        <w:tc>
          <w:tcPr>
            <w:tcW w:w="1191" w:type="dxa"/>
            <w:shd w:val="clear" w:color="auto" w:fill="D9D9D9" w:themeFill="background1" w:themeFillShade="D9"/>
          </w:tcPr>
          <w:p w14:paraId="2216479E" w14:textId="77777777" w:rsidR="00DA61EF" w:rsidRPr="00C06581" w:rsidRDefault="00DA61EF" w:rsidP="00DA61EF">
            <w:pPr>
              <w:spacing w:after="0" w:line="240" w:lineRule="auto"/>
              <w:jc w:val="right"/>
              <w:rPr>
                <w:rFonts w:cs="Arial"/>
                <w:b/>
                <w:bCs/>
                <w:color w:val="000000"/>
                <w:szCs w:val="20"/>
              </w:rPr>
            </w:pPr>
            <w:r>
              <w:rPr>
                <w:rFonts w:cs="Arial"/>
                <w:b/>
                <w:bCs/>
                <w:color w:val="000000"/>
                <w:szCs w:val="20"/>
              </w:rPr>
              <w:t>36.736</w:t>
            </w:r>
          </w:p>
        </w:tc>
        <w:tc>
          <w:tcPr>
            <w:tcW w:w="1191" w:type="dxa"/>
            <w:shd w:val="clear" w:color="auto" w:fill="D9D9D9" w:themeFill="background1" w:themeFillShade="D9"/>
          </w:tcPr>
          <w:p w14:paraId="4BC635C4" w14:textId="77777777" w:rsidR="00DA61EF" w:rsidRPr="00C06581" w:rsidRDefault="00DA61EF" w:rsidP="00DA61EF">
            <w:pPr>
              <w:spacing w:after="0" w:line="240" w:lineRule="auto"/>
              <w:jc w:val="right"/>
              <w:rPr>
                <w:rFonts w:cs="Arial"/>
                <w:b/>
                <w:bCs/>
                <w:color w:val="000000"/>
                <w:szCs w:val="20"/>
              </w:rPr>
            </w:pPr>
            <w:r>
              <w:rPr>
                <w:rFonts w:cs="Arial"/>
                <w:b/>
                <w:bCs/>
                <w:color w:val="000000"/>
                <w:szCs w:val="20"/>
              </w:rPr>
              <w:t>38.653</w:t>
            </w:r>
          </w:p>
        </w:tc>
        <w:tc>
          <w:tcPr>
            <w:tcW w:w="1191" w:type="dxa"/>
            <w:shd w:val="clear" w:color="auto" w:fill="D9D9D9" w:themeFill="background1" w:themeFillShade="D9"/>
          </w:tcPr>
          <w:p w14:paraId="0E0970FB" w14:textId="77777777" w:rsidR="00DA61EF" w:rsidRPr="00C06581" w:rsidRDefault="00DA61EF" w:rsidP="00DA61EF">
            <w:pPr>
              <w:spacing w:after="0" w:line="240" w:lineRule="auto"/>
              <w:jc w:val="right"/>
              <w:rPr>
                <w:rFonts w:cs="Arial"/>
                <w:b/>
                <w:bCs/>
                <w:color w:val="000000"/>
                <w:szCs w:val="20"/>
              </w:rPr>
            </w:pPr>
            <w:r>
              <w:rPr>
                <w:rFonts w:cs="Arial"/>
                <w:b/>
                <w:bCs/>
                <w:color w:val="000000"/>
                <w:szCs w:val="20"/>
              </w:rPr>
              <w:t>38.303</w:t>
            </w:r>
          </w:p>
        </w:tc>
        <w:tc>
          <w:tcPr>
            <w:tcW w:w="1191" w:type="dxa"/>
            <w:shd w:val="clear" w:color="auto" w:fill="D9D9D9" w:themeFill="background1" w:themeFillShade="D9"/>
          </w:tcPr>
          <w:p w14:paraId="1B3FF952" w14:textId="77777777" w:rsidR="00DA61EF" w:rsidRPr="00C06581" w:rsidRDefault="00DA61EF" w:rsidP="00DA61EF">
            <w:pPr>
              <w:spacing w:after="0" w:line="240" w:lineRule="auto"/>
              <w:jc w:val="right"/>
              <w:rPr>
                <w:rFonts w:cs="Arial"/>
                <w:b/>
                <w:bCs/>
                <w:color w:val="000000"/>
                <w:szCs w:val="20"/>
              </w:rPr>
            </w:pPr>
            <w:r>
              <w:rPr>
                <w:rFonts w:cs="Arial"/>
                <w:b/>
                <w:bCs/>
                <w:color w:val="000000"/>
                <w:szCs w:val="20"/>
              </w:rPr>
              <w:t>38.885</w:t>
            </w:r>
          </w:p>
        </w:tc>
      </w:tr>
      <w:tr w:rsidR="00DA61EF" w:rsidRPr="001431D5" w14:paraId="4295BA00" w14:textId="77777777" w:rsidTr="00C32914">
        <w:trPr>
          <w:cantSplit/>
          <w:trHeight w:val="196"/>
          <w:tblHeader/>
        </w:trPr>
        <w:tc>
          <w:tcPr>
            <w:tcW w:w="3506" w:type="dxa"/>
            <w:gridSpan w:val="2"/>
            <w:shd w:val="clear" w:color="auto" w:fill="D9D9D9" w:themeFill="background1" w:themeFillShade="D9"/>
            <w:hideMark/>
          </w:tcPr>
          <w:p w14:paraId="0FB44D49" w14:textId="77777777" w:rsidR="00DA61EF" w:rsidRPr="00687A04" w:rsidRDefault="00DA61EF" w:rsidP="00DA61EF">
            <w:pPr>
              <w:spacing w:after="0" w:line="240" w:lineRule="auto"/>
              <w:rPr>
                <w:rFonts w:cs="Arial"/>
                <w:b/>
                <w:bCs/>
                <w:color w:val="000000"/>
                <w:szCs w:val="20"/>
              </w:rPr>
            </w:pPr>
            <w:r w:rsidRPr="00687A04">
              <w:rPr>
                <w:rFonts w:cs="Arial"/>
                <w:b/>
                <w:bCs/>
                <w:color w:val="000000"/>
                <w:szCs w:val="20"/>
              </w:rPr>
              <w:t>Balance</w:t>
            </w:r>
          </w:p>
        </w:tc>
        <w:tc>
          <w:tcPr>
            <w:tcW w:w="1190" w:type="dxa"/>
            <w:shd w:val="clear" w:color="auto" w:fill="D9D9D9" w:themeFill="background1" w:themeFillShade="D9"/>
          </w:tcPr>
          <w:p w14:paraId="13059309" w14:textId="77777777" w:rsidR="00DA61EF" w:rsidRPr="00C06581" w:rsidRDefault="00C4527D" w:rsidP="00DA61EF">
            <w:pPr>
              <w:spacing w:after="0" w:line="240" w:lineRule="auto"/>
              <w:jc w:val="right"/>
              <w:rPr>
                <w:rFonts w:cs="Arial"/>
                <w:b/>
                <w:bCs/>
                <w:szCs w:val="20"/>
              </w:rPr>
            </w:pPr>
            <w:r>
              <w:rPr>
                <w:rFonts w:cs="Arial"/>
                <w:b/>
                <w:bCs/>
                <w:szCs w:val="20"/>
              </w:rPr>
              <w:t>0.977</w:t>
            </w:r>
          </w:p>
        </w:tc>
        <w:tc>
          <w:tcPr>
            <w:tcW w:w="1191" w:type="dxa"/>
            <w:shd w:val="clear" w:color="auto" w:fill="D9D9D9" w:themeFill="background1" w:themeFillShade="D9"/>
          </w:tcPr>
          <w:p w14:paraId="57E673E0" w14:textId="77777777" w:rsidR="00DA61EF" w:rsidRPr="00C06581" w:rsidRDefault="00DA61EF" w:rsidP="00DA61EF">
            <w:pPr>
              <w:spacing w:after="0" w:line="240" w:lineRule="auto"/>
              <w:jc w:val="right"/>
              <w:rPr>
                <w:rFonts w:cs="Arial"/>
                <w:b/>
                <w:bCs/>
                <w:szCs w:val="20"/>
              </w:rPr>
            </w:pPr>
            <w:r>
              <w:rPr>
                <w:rFonts w:cs="Arial"/>
                <w:b/>
                <w:bCs/>
                <w:szCs w:val="20"/>
              </w:rPr>
              <w:t>4.346</w:t>
            </w:r>
          </w:p>
        </w:tc>
        <w:tc>
          <w:tcPr>
            <w:tcW w:w="1191" w:type="dxa"/>
            <w:shd w:val="clear" w:color="auto" w:fill="D9D9D9" w:themeFill="background1" w:themeFillShade="D9"/>
          </w:tcPr>
          <w:p w14:paraId="3EF83FD5" w14:textId="77777777" w:rsidR="00DA61EF" w:rsidRPr="00C06581" w:rsidRDefault="00DA61EF" w:rsidP="00DA61EF">
            <w:pPr>
              <w:spacing w:after="0" w:line="240" w:lineRule="auto"/>
              <w:jc w:val="right"/>
              <w:rPr>
                <w:rFonts w:cs="Arial"/>
                <w:b/>
                <w:bCs/>
                <w:szCs w:val="20"/>
              </w:rPr>
            </w:pPr>
            <w:r>
              <w:rPr>
                <w:rFonts w:cs="Arial"/>
                <w:b/>
                <w:bCs/>
                <w:szCs w:val="20"/>
              </w:rPr>
              <w:t>1.949</w:t>
            </w:r>
          </w:p>
        </w:tc>
        <w:tc>
          <w:tcPr>
            <w:tcW w:w="1191" w:type="dxa"/>
            <w:shd w:val="clear" w:color="auto" w:fill="D9D9D9" w:themeFill="background1" w:themeFillShade="D9"/>
          </w:tcPr>
          <w:p w14:paraId="54B5AA2A" w14:textId="77777777" w:rsidR="00DA61EF" w:rsidRPr="00C06581" w:rsidRDefault="00DA61EF" w:rsidP="00DA61EF">
            <w:pPr>
              <w:spacing w:after="0" w:line="240" w:lineRule="auto"/>
              <w:jc w:val="right"/>
              <w:rPr>
                <w:rFonts w:cs="Arial"/>
                <w:b/>
                <w:bCs/>
                <w:szCs w:val="20"/>
              </w:rPr>
            </w:pPr>
            <w:r>
              <w:rPr>
                <w:rFonts w:cs="Arial"/>
                <w:b/>
                <w:bCs/>
                <w:szCs w:val="20"/>
              </w:rPr>
              <w:t>(0.223)</w:t>
            </w:r>
          </w:p>
        </w:tc>
        <w:tc>
          <w:tcPr>
            <w:tcW w:w="1191" w:type="dxa"/>
            <w:shd w:val="clear" w:color="auto" w:fill="D9D9D9" w:themeFill="background1" w:themeFillShade="D9"/>
          </w:tcPr>
          <w:p w14:paraId="584DFAA7" w14:textId="77777777" w:rsidR="00DA61EF" w:rsidRPr="00C06581" w:rsidRDefault="00DA61EF" w:rsidP="00DA61EF">
            <w:pPr>
              <w:spacing w:after="0" w:line="240" w:lineRule="auto"/>
              <w:jc w:val="right"/>
              <w:rPr>
                <w:rFonts w:cs="Arial"/>
                <w:b/>
                <w:bCs/>
                <w:szCs w:val="20"/>
              </w:rPr>
            </w:pPr>
            <w:r>
              <w:rPr>
                <w:rFonts w:cs="Arial"/>
                <w:b/>
                <w:bCs/>
                <w:szCs w:val="20"/>
              </w:rPr>
              <w:t>0.581</w:t>
            </w:r>
          </w:p>
        </w:tc>
      </w:tr>
    </w:tbl>
    <w:p w14:paraId="050D69F8" w14:textId="77777777" w:rsidR="003F4664" w:rsidRDefault="003F4664" w:rsidP="00593B36">
      <w:pPr>
        <w:spacing w:before="120" w:line="240" w:lineRule="auto"/>
        <w:rPr>
          <w:sz w:val="16"/>
        </w:rPr>
      </w:pPr>
      <w:r w:rsidRPr="002976D3">
        <w:rPr>
          <w:sz w:val="16"/>
        </w:rPr>
        <w:t>Note</w:t>
      </w:r>
      <w:r>
        <w:rPr>
          <w:sz w:val="16"/>
        </w:rPr>
        <w:t xml:space="preserve">: the revenues for 15(1)(a), 15(1)(b) and 15(1)(ca) are based on the previous year’s expenditure. The revenue for 15(1)(c) is derived by averaging the expenditure for the year in which the charges are made and the previous year. The revenue for 15(1)(d) is based on the same year’s expenditure. Further details can be obtained </w:t>
      </w:r>
      <w:r w:rsidR="00250900">
        <w:rPr>
          <w:sz w:val="16"/>
        </w:rPr>
        <w:t>in Section</w:t>
      </w:r>
      <w:r w:rsidRPr="00144A3A">
        <w:rPr>
          <w:sz w:val="16"/>
        </w:rPr>
        <w:t xml:space="preserve"> 6.</w:t>
      </w:r>
    </w:p>
    <w:p w14:paraId="6EA70C02" w14:textId="77777777" w:rsidR="009E783D" w:rsidRDefault="009E783D" w:rsidP="00D567BE">
      <w:r w:rsidRPr="00A84CBD">
        <w:t xml:space="preserve">As the ACLC is set on an annual basis, the </w:t>
      </w:r>
      <w:r>
        <w:t>a</w:t>
      </w:r>
      <w:r w:rsidRPr="00A84CBD">
        <w:t xml:space="preserve">ctual costs of activities </w:t>
      </w:r>
      <w:r>
        <w:t xml:space="preserve">are ascertained </w:t>
      </w:r>
      <w:r w:rsidRPr="00A84CBD">
        <w:t xml:space="preserve">before they translate into the charges for the applicable period. This </w:t>
      </w:r>
      <w:r>
        <w:t>reduces</w:t>
      </w:r>
      <w:r w:rsidRPr="00A84CBD">
        <w:t xml:space="preserve"> the risk of over or under recovery from the telecommunications industry.</w:t>
      </w:r>
      <w:r>
        <w:t xml:space="preserve"> The balance reflects the surplus or deficit </w:t>
      </w:r>
      <w:r w:rsidR="001F572C">
        <w:t xml:space="preserve">that </w:t>
      </w:r>
      <w:r>
        <w:t>occurred due to the lag between the actual expenses incurred and the recognition of the corresponding revenu</w:t>
      </w:r>
      <w:r w:rsidR="00D567BE">
        <w:t>e</w:t>
      </w:r>
      <w:r w:rsidR="001F572C">
        <w:t>,</w:t>
      </w:r>
      <w:r w:rsidR="00D567BE">
        <w:t xml:space="preserve"> as noted in </w:t>
      </w:r>
      <w:r w:rsidR="00250900">
        <w:t>Section</w:t>
      </w:r>
      <w:r w:rsidR="00D567BE">
        <w:t xml:space="preserve"> 6 above. </w:t>
      </w:r>
    </w:p>
    <w:p w14:paraId="19849C6B" w14:textId="07D92C7A" w:rsidR="009E783D" w:rsidRPr="00D567BE" w:rsidRDefault="00730201" w:rsidP="00C06F10">
      <w:r>
        <w:t>In 2014</w:t>
      </w:r>
      <w:r w:rsidR="00B327BF">
        <w:t>–</w:t>
      </w:r>
      <w:r>
        <w:t>15</w:t>
      </w:r>
      <w:r w:rsidR="00796C7D">
        <w:t>,</w:t>
      </w:r>
      <w:r>
        <w:t xml:space="preserve"> the ACMA’s component decreased by 10.6 per cent</w:t>
      </w:r>
      <w:r w:rsidR="00796C7D">
        <w:t>,</w:t>
      </w:r>
      <w:r>
        <w:t xml:space="preserve"> largely due to </w:t>
      </w:r>
      <w:r w:rsidR="009E783D" w:rsidRPr="00B815BC">
        <w:t>the reduction in budget for the ACMA’s telecommunications activit</w:t>
      </w:r>
      <w:r w:rsidR="00D567BE" w:rsidRPr="00B815BC">
        <w:t>ies</w:t>
      </w:r>
      <w:r>
        <w:t xml:space="preserve"> and the adoption of </w:t>
      </w:r>
      <w:r w:rsidR="00A35DCB">
        <w:t xml:space="preserve">the </w:t>
      </w:r>
      <w:r w:rsidRPr="008E0DB6">
        <w:t>government’s deregulation policy</w:t>
      </w:r>
      <w:r w:rsidR="00D567BE" w:rsidRPr="008E0DB6">
        <w:t>.</w:t>
      </w:r>
      <w:r w:rsidR="002219BD" w:rsidRPr="008E0DB6">
        <w:t xml:space="preserve"> </w:t>
      </w:r>
      <w:r w:rsidR="00250900" w:rsidRPr="008E0DB6">
        <w:t>T</w:t>
      </w:r>
      <w:r w:rsidR="00B815BC" w:rsidRPr="008E0DB6">
        <w:t xml:space="preserve">he ACMA’s component </w:t>
      </w:r>
      <w:r w:rsidRPr="008E0DB6">
        <w:t xml:space="preserve">further </w:t>
      </w:r>
      <w:r w:rsidR="00B815BC" w:rsidRPr="008E0DB6">
        <w:t xml:space="preserve">decreased by </w:t>
      </w:r>
      <w:r w:rsidR="0039435F" w:rsidRPr="008E0DB6">
        <w:t>1</w:t>
      </w:r>
      <w:r w:rsidRPr="008E0DB6">
        <w:t>8</w:t>
      </w:r>
      <w:r w:rsidR="0039435F" w:rsidRPr="008E0DB6">
        <w:t xml:space="preserve"> per cent</w:t>
      </w:r>
      <w:r w:rsidRPr="008E0DB6">
        <w:t xml:space="preserve"> in 2015</w:t>
      </w:r>
      <w:r w:rsidR="001F572C" w:rsidRPr="008E0DB6">
        <w:t>–</w:t>
      </w:r>
      <w:r w:rsidRPr="008E0DB6">
        <w:t>16</w:t>
      </w:r>
      <w:r w:rsidR="00796C7D">
        <w:t>,</w:t>
      </w:r>
      <w:r w:rsidR="00C06F10" w:rsidRPr="008E0DB6">
        <w:t xml:space="preserve"> which was mainly attributable to lapsed funding for </w:t>
      </w:r>
      <w:r w:rsidR="00796C7D">
        <w:t xml:space="preserve">the </w:t>
      </w:r>
      <w:r w:rsidR="00C06F10" w:rsidRPr="008E0DB6">
        <w:t xml:space="preserve">NBN regulatory framework and a reduction in numbering management costs </w:t>
      </w:r>
      <w:r w:rsidR="00796C7D">
        <w:t>due</w:t>
      </w:r>
      <w:r w:rsidR="00C06F10" w:rsidRPr="008E0DB6">
        <w:t xml:space="preserve"> to outsourcing the ACMA’s numbering allocation activities.</w:t>
      </w:r>
    </w:p>
    <w:p w14:paraId="0F7179BC" w14:textId="77777777" w:rsidR="009E783D" w:rsidRPr="00CC3F4B" w:rsidRDefault="009E783D" w:rsidP="009E783D">
      <w:pPr>
        <w:pStyle w:val="Heading1"/>
      </w:pPr>
      <w:bookmarkStart w:id="118" w:name="_Toc417990966"/>
      <w:bookmarkStart w:id="119" w:name="_Toc511634408"/>
      <w:bookmarkStart w:id="120" w:name="_Toc532543415"/>
      <w:r>
        <w:t xml:space="preserve">7B. </w:t>
      </w:r>
      <w:r w:rsidR="00CB3D67">
        <w:tab/>
      </w:r>
      <w:r>
        <w:t>Non-f</w:t>
      </w:r>
      <w:r w:rsidRPr="00CC3F4B">
        <w:t xml:space="preserve">inancial </w:t>
      </w:r>
      <w:r>
        <w:t>performance</w:t>
      </w:r>
      <w:bookmarkEnd w:id="118"/>
      <w:bookmarkEnd w:id="119"/>
      <w:bookmarkEnd w:id="120"/>
    </w:p>
    <w:p w14:paraId="0F57D201" w14:textId="77777777" w:rsidR="002219BD" w:rsidRPr="008757E2" w:rsidRDefault="002219BD" w:rsidP="00C32914">
      <w:pPr>
        <w:pStyle w:val="Heading2"/>
      </w:pPr>
      <w:bookmarkStart w:id="121" w:name="_Toc511634409"/>
      <w:bookmarkStart w:id="122" w:name="_Toc532543416"/>
      <w:r w:rsidRPr="008757E2">
        <w:t>ACMA’s cost component</w:t>
      </w:r>
      <w:bookmarkEnd w:id="121"/>
      <w:bookmarkEnd w:id="122"/>
    </w:p>
    <w:p w14:paraId="37202663" w14:textId="75D29E73" w:rsidR="009E783D" w:rsidRDefault="003C7C8A" w:rsidP="009E783D">
      <w:pPr>
        <w:spacing w:line="240" w:lineRule="auto"/>
      </w:pPr>
      <w:r w:rsidRPr="001D062D">
        <w:t>The ACMA’s performanc</w:t>
      </w:r>
      <w:r w:rsidR="003D7152" w:rsidRPr="001D062D">
        <w:t xml:space="preserve">e measures for its deliverables </w:t>
      </w:r>
      <w:r w:rsidR="00796C7D">
        <w:t>for</w:t>
      </w:r>
      <w:r w:rsidR="001D062D" w:rsidRPr="001D062D">
        <w:t xml:space="preserve"> telecommunications services </w:t>
      </w:r>
      <w:r w:rsidRPr="001D062D">
        <w:t>are provided in Table 1</w:t>
      </w:r>
      <w:r w:rsidR="00FA02BF">
        <w:t>5</w:t>
      </w:r>
      <w:r w:rsidRPr="001D062D">
        <w:t>.</w:t>
      </w:r>
    </w:p>
    <w:p w14:paraId="676D7C61" w14:textId="77777777" w:rsidR="003C7C8A" w:rsidRPr="006A56FD" w:rsidRDefault="00FA02BF" w:rsidP="00FA02BF">
      <w:pPr>
        <w:pStyle w:val="ACMATableHeader"/>
        <w:numPr>
          <w:ilvl w:val="0"/>
          <w:numId w:val="0"/>
        </w:numPr>
      </w:pPr>
      <w:r>
        <w:t>Table 15:</w:t>
      </w:r>
      <w:r>
        <w:tab/>
      </w:r>
      <w:r w:rsidR="003C7C8A" w:rsidRPr="006A56FD">
        <w:t>Deliverables and key performance indicators</w:t>
      </w:r>
      <w:r w:rsidR="000C7CC9" w:rsidRPr="006A56FD">
        <w:t xml:space="preserve"> (KPIs)</w:t>
      </w:r>
    </w:p>
    <w:tbl>
      <w:tblPr>
        <w:tblW w:w="5654"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57" w:type="dxa"/>
          <w:bottom w:w="57" w:type="dxa"/>
        </w:tblCellMar>
        <w:tblLook w:val="04A0" w:firstRow="1" w:lastRow="0" w:firstColumn="1" w:lastColumn="0" w:noHBand="0" w:noVBand="1"/>
        <w:tblCaption w:val="Deliverables and key performance indicators (KPIs)"/>
      </w:tblPr>
      <w:tblGrid>
        <w:gridCol w:w="3694"/>
        <w:gridCol w:w="4962"/>
      </w:tblGrid>
      <w:tr w:rsidR="000C7CC9" w:rsidRPr="000D6F80" w14:paraId="7FB9ACEB" w14:textId="77777777" w:rsidTr="0014060A">
        <w:trPr>
          <w:cantSplit/>
          <w:trHeight w:val="270"/>
          <w:tblHeader/>
        </w:trPr>
        <w:tc>
          <w:tcPr>
            <w:tcW w:w="2134" w:type="pct"/>
            <w:shd w:val="clear" w:color="auto" w:fill="404040" w:themeFill="text1" w:themeFillTint="BF"/>
          </w:tcPr>
          <w:p w14:paraId="6E497BF6" w14:textId="77777777" w:rsidR="000C7CC9" w:rsidRPr="00D72139" w:rsidRDefault="000C7CC9" w:rsidP="00D72139">
            <w:pPr>
              <w:pStyle w:val="TableHeading"/>
              <w:rPr>
                <w:b w:val="0"/>
                <w:color w:val="FFFFFF" w:themeColor="background1"/>
                <w:highlight w:val="yellow"/>
              </w:rPr>
            </w:pPr>
            <w:r w:rsidRPr="00D72139">
              <w:rPr>
                <w:color w:val="FFFFFF" w:themeColor="background1"/>
              </w:rPr>
              <w:t>Deliverable</w:t>
            </w:r>
          </w:p>
        </w:tc>
        <w:tc>
          <w:tcPr>
            <w:tcW w:w="2866" w:type="pct"/>
            <w:tcBorders>
              <w:top w:val="single" w:sz="6" w:space="0" w:color="auto"/>
            </w:tcBorders>
            <w:shd w:val="clear" w:color="auto" w:fill="404040" w:themeFill="text1" w:themeFillTint="BF"/>
          </w:tcPr>
          <w:p w14:paraId="14258DB2" w14:textId="77777777" w:rsidR="000C7CC9" w:rsidRPr="00D72139" w:rsidRDefault="000C7CC9" w:rsidP="00D72139">
            <w:pPr>
              <w:pStyle w:val="TableHeading"/>
              <w:rPr>
                <w:b w:val="0"/>
                <w:color w:val="FFFFFF" w:themeColor="background1"/>
              </w:rPr>
            </w:pPr>
            <w:r w:rsidRPr="00D72139">
              <w:rPr>
                <w:color w:val="FFFFFF" w:themeColor="background1"/>
              </w:rPr>
              <w:t>KPI</w:t>
            </w:r>
          </w:p>
        </w:tc>
      </w:tr>
      <w:tr w:rsidR="000C7CC9" w:rsidRPr="000D6F80" w14:paraId="23D5CE94" w14:textId="77777777" w:rsidTr="0014060A">
        <w:trPr>
          <w:cantSplit/>
          <w:trHeight w:val="344"/>
          <w:tblHeader/>
        </w:trPr>
        <w:tc>
          <w:tcPr>
            <w:tcW w:w="2134" w:type="pct"/>
          </w:tcPr>
          <w:p w14:paraId="112BA99C" w14:textId="77777777" w:rsidR="000C7CC9" w:rsidRDefault="00DE47AB" w:rsidP="00DE47AB">
            <w:pPr>
              <w:spacing w:after="0"/>
              <w:ind w:right="-142"/>
              <w:rPr>
                <w:rFonts w:cs="Arial"/>
                <w:szCs w:val="20"/>
              </w:rPr>
            </w:pPr>
            <w:r>
              <w:rPr>
                <w:rFonts w:cs="Arial"/>
                <w:szCs w:val="20"/>
              </w:rPr>
              <w:t xml:space="preserve">Administration of </w:t>
            </w:r>
            <w:r w:rsidRPr="00DE47AB">
              <w:rPr>
                <w:rFonts w:cs="Arial"/>
                <w:szCs w:val="20"/>
              </w:rPr>
              <w:t>licensing and number allocation arrangements promotes efficiency, innovation and competition in the Australian telecommunications industry</w:t>
            </w:r>
          </w:p>
        </w:tc>
        <w:tc>
          <w:tcPr>
            <w:tcW w:w="2866" w:type="pct"/>
          </w:tcPr>
          <w:p w14:paraId="5316916C" w14:textId="77777777" w:rsidR="000C7CC9" w:rsidRDefault="00784C47" w:rsidP="00142961">
            <w:pPr>
              <w:spacing w:after="0"/>
              <w:ind w:right="35"/>
              <w:rPr>
                <w:rFonts w:cs="Arial"/>
                <w:szCs w:val="20"/>
              </w:rPr>
            </w:pPr>
            <w:r w:rsidRPr="00784C47">
              <w:rPr>
                <w:rFonts w:cs="Arial"/>
                <w:szCs w:val="20"/>
              </w:rPr>
              <w:t>Administration of numbering allocation and licensing arrangements is efficient; allocation of 90 per cent of licences is within statutory time frames and the numbering provider meets 100 per cent of contractual milestone</w:t>
            </w:r>
            <w:r w:rsidR="00447B41">
              <w:rPr>
                <w:rFonts w:cs="Arial"/>
                <w:szCs w:val="20"/>
              </w:rPr>
              <w:t>s</w:t>
            </w:r>
          </w:p>
        </w:tc>
      </w:tr>
      <w:tr w:rsidR="00C1008E" w:rsidRPr="000D6F80" w14:paraId="2BBC1447" w14:textId="77777777" w:rsidTr="0014060A">
        <w:trPr>
          <w:cantSplit/>
          <w:trHeight w:val="344"/>
          <w:tblHeader/>
        </w:trPr>
        <w:tc>
          <w:tcPr>
            <w:tcW w:w="2134" w:type="pct"/>
          </w:tcPr>
          <w:p w14:paraId="5C62BE49" w14:textId="77777777" w:rsidR="00C1008E" w:rsidRDefault="00C1008E" w:rsidP="00142961">
            <w:pPr>
              <w:spacing w:after="0"/>
              <w:ind w:right="-142"/>
              <w:rPr>
                <w:rFonts w:cs="Arial"/>
                <w:szCs w:val="20"/>
              </w:rPr>
            </w:pPr>
            <w:r>
              <w:rPr>
                <w:rFonts w:cs="Arial"/>
                <w:szCs w:val="20"/>
              </w:rPr>
              <w:t>F</w:t>
            </w:r>
            <w:r w:rsidR="006051F5">
              <w:rPr>
                <w:rFonts w:cs="Arial"/>
                <w:szCs w:val="20"/>
              </w:rPr>
              <w:t>acilitation of</w:t>
            </w:r>
            <w:r w:rsidRPr="00C1008E">
              <w:rPr>
                <w:rFonts w:cs="Arial"/>
                <w:szCs w:val="20"/>
              </w:rPr>
              <w:t xml:space="preserve"> the efficient review of telecommunications operational codes </w:t>
            </w:r>
            <w:r>
              <w:rPr>
                <w:rFonts w:cs="Arial"/>
                <w:szCs w:val="20"/>
              </w:rPr>
              <w:t>to ensure effective operation.</w:t>
            </w:r>
          </w:p>
        </w:tc>
        <w:tc>
          <w:tcPr>
            <w:tcW w:w="2866" w:type="pct"/>
          </w:tcPr>
          <w:p w14:paraId="532ACB0A" w14:textId="77777777" w:rsidR="00C1008E" w:rsidRDefault="00C1008E" w:rsidP="00C1008E">
            <w:pPr>
              <w:spacing w:after="0"/>
              <w:ind w:right="35"/>
              <w:rPr>
                <w:rFonts w:cs="Arial"/>
                <w:szCs w:val="20"/>
              </w:rPr>
            </w:pPr>
            <w:r w:rsidRPr="00C1008E">
              <w:rPr>
                <w:rFonts w:cs="Arial"/>
                <w:szCs w:val="20"/>
              </w:rPr>
              <w:t>Decision to register all operational codes ma</w:t>
            </w:r>
            <w:r>
              <w:rPr>
                <w:rFonts w:cs="Arial"/>
                <w:szCs w:val="20"/>
              </w:rPr>
              <w:t>de within two months of receipt</w:t>
            </w:r>
          </w:p>
        </w:tc>
      </w:tr>
      <w:tr w:rsidR="000C7CC9" w:rsidRPr="000D6F80" w14:paraId="0156D645" w14:textId="77777777" w:rsidTr="0014060A">
        <w:trPr>
          <w:cantSplit/>
          <w:trHeight w:val="344"/>
          <w:tblHeader/>
        </w:trPr>
        <w:tc>
          <w:tcPr>
            <w:tcW w:w="2134" w:type="pct"/>
          </w:tcPr>
          <w:p w14:paraId="6962B2DE" w14:textId="77777777" w:rsidR="000C7CC9" w:rsidRDefault="006051F5" w:rsidP="00142961">
            <w:pPr>
              <w:spacing w:after="0"/>
              <w:ind w:right="-142"/>
              <w:rPr>
                <w:rFonts w:cs="Arial"/>
                <w:szCs w:val="20"/>
              </w:rPr>
            </w:pPr>
            <w:r w:rsidRPr="006051F5">
              <w:rPr>
                <w:rFonts w:cs="Arial"/>
                <w:szCs w:val="20"/>
              </w:rPr>
              <w:t>In partnership with industry, working to improve the performance of Australia’s emergency call service, ensuring the security and reliability of critical infrastructure, and facilitating collaboration between law enforcement, industry and government stakeholders</w:t>
            </w:r>
          </w:p>
        </w:tc>
        <w:tc>
          <w:tcPr>
            <w:tcW w:w="2866" w:type="pct"/>
          </w:tcPr>
          <w:p w14:paraId="0A74EF01" w14:textId="2C158E20" w:rsidR="006051F5" w:rsidRDefault="009B074B" w:rsidP="00C32914">
            <w:pPr>
              <w:spacing w:after="80"/>
              <w:ind w:right="35"/>
              <w:rPr>
                <w:rFonts w:cs="Arial"/>
                <w:szCs w:val="20"/>
              </w:rPr>
            </w:pPr>
            <w:r>
              <w:rPr>
                <w:rFonts w:cs="Arial"/>
                <w:szCs w:val="20"/>
              </w:rPr>
              <w:t>Law enforcement, emergency and national security service providers are appropriately and reasonabl</w:t>
            </w:r>
            <w:r w:rsidR="00F65B5E">
              <w:rPr>
                <w:rFonts w:cs="Arial"/>
                <w:szCs w:val="20"/>
              </w:rPr>
              <w:t>y</w:t>
            </w:r>
            <w:r>
              <w:rPr>
                <w:rFonts w:cs="Arial"/>
                <w:szCs w:val="20"/>
              </w:rPr>
              <w:t xml:space="preserve"> supported by the ACMA and telecommunications industry</w:t>
            </w:r>
          </w:p>
          <w:p w14:paraId="332DDBD2" w14:textId="51FA2E47" w:rsidR="000C7CC9" w:rsidRDefault="006051F5" w:rsidP="006051F5">
            <w:pPr>
              <w:spacing w:after="0"/>
              <w:ind w:right="35"/>
              <w:rPr>
                <w:rFonts w:cs="Arial"/>
                <w:szCs w:val="20"/>
              </w:rPr>
            </w:pPr>
            <w:r w:rsidRPr="006051F5">
              <w:rPr>
                <w:rFonts w:cs="Arial"/>
                <w:szCs w:val="20"/>
              </w:rPr>
              <w:t>Facilitation of emergency call service obligations is efficient, with 100 per cent of investigations into compliance and other activities completed w</w:t>
            </w:r>
            <w:r>
              <w:rPr>
                <w:rFonts w:cs="Arial"/>
                <w:szCs w:val="20"/>
              </w:rPr>
              <w:t>ithin an average of six months</w:t>
            </w:r>
          </w:p>
        </w:tc>
      </w:tr>
      <w:tr w:rsidR="000C7CC9" w:rsidRPr="000D6F80" w14:paraId="78BB0761" w14:textId="77777777" w:rsidTr="0014060A">
        <w:trPr>
          <w:cantSplit/>
          <w:trHeight w:val="344"/>
          <w:tblHeader/>
        </w:trPr>
        <w:tc>
          <w:tcPr>
            <w:tcW w:w="2134" w:type="pct"/>
          </w:tcPr>
          <w:p w14:paraId="7B66B369" w14:textId="77777777" w:rsidR="000C7CC9" w:rsidRDefault="009B074B" w:rsidP="00142961">
            <w:pPr>
              <w:spacing w:after="0"/>
              <w:ind w:right="-142"/>
              <w:rPr>
                <w:rFonts w:cs="Arial"/>
                <w:szCs w:val="20"/>
              </w:rPr>
            </w:pPr>
            <w:r>
              <w:rPr>
                <w:rFonts w:cs="Arial"/>
                <w:szCs w:val="20"/>
              </w:rPr>
              <w:t>Maintain effective telecommunications safeguards</w:t>
            </w:r>
          </w:p>
        </w:tc>
        <w:tc>
          <w:tcPr>
            <w:tcW w:w="2866" w:type="pct"/>
          </w:tcPr>
          <w:p w14:paraId="2DFDB2A4" w14:textId="77777777" w:rsidR="000C7CC9" w:rsidRDefault="009B074B" w:rsidP="00142961">
            <w:pPr>
              <w:spacing w:after="0"/>
              <w:ind w:right="35"/>
              <w:rPr>
                <w:rFonts w:cs="Arial"/>
                <w:szCs w:val="20"/>
              </w:rPr>
            </w:pPr>
            <w:r>
              <w:rPr>
                <w:rFonts w:cs="Arial"/>
                <w:szCs w:val="20"/>
              </w:rPr>
              <w:t>Consumer interest</w:t>
            </w:r>
            <w:r w:rsidR="00F65B5E">
              <w:rPr>
                <w:rFonts w:cs="Arial"/>
                <w:szCs w:val="20"/>
              </w:rPr>
              <w:t>s</w:t>
            </w:r>
            <w:r>
              <w:rPr>
                <w:rFonts w:cs="Arial"/>
                <w:szCs w:val="20"/>
              </w:rPr>
              <w:t xml:space="preserve"> are protected and promoted when telecommunications services are purchased and used</w:t>
            </w:r>
          </w:p>
        </w:tc>
      </w:tr>
      <w:tr w:rsidR="000C7CC9" w:rsidRPr="000D6F80" w14:paraId="6B863D4C" w14:textId="77777777" w:rsidTr="0014060A">
        <w:trPr>
          <w:cantSplit/>
          <w:trHeight w:val="344"/>
          <w:tblHeader/>
        </w:trPr>
        <w:tc>
          <w:tcPr>
            <w:tcW w:w="2134" w:type="pct"/>
          </w:tcPr>
          <w:p w14:paraId="3A171138" w14:textId="77777777" w:rsidR="000C7CC9" w:rsidRDefault="009B074B" w:rsidP="00142961">
            <w:pPr>
              <w:spacing w:after="0"/>
              <w:ind w:right="-142"/>
              <w:rPr>
                <w:rFonts w:cs="Arial"/>
                <w:szCs w:val="20"/>
              </w:rPr>
            </w:pPr>
            <w:r>
              <w:rPr>
                <w:rFonts w:cs="Arial"/>
                <w:szCs w:val="20"/>
              </w:rPr>
              <w:t>Develop and maintain appropriate regulatory settings for an information economy and network society</w:t>
            </w:r>
          </w:p>
        </w:tc>
        <w:tc>
          <w:tcPr>
            <w:tcW w:w="2866" w:type="pct"/>
          </w:tcPr>
          <w:p w14:paraId="21FC6A49" w14:textId="77777777" w:rsidR="000C7CC9" w:rsidRDefault="00293B75" w:rsidP="00142961">
            <w:pPr>
              <w:spacing w:after="0"/>
              <w:ind w:right="35"/>
              <w:rPr>
                <w:rFonts w:cs="Arial"/>
                <w:szCs w:val="20"/>
              </w:rPr>
            </w:pPr>
            <w:r>
              <w:rPr>
                <w:rFonts w:cs="Arial"/>
                <w:szCs w:val="20"/>
              </w:rPr>
              <w:t>Industry and business have sufficient confidence in regulatory settings to continue development of innovative communications</w:t>
            </w:r>
          </w:p>
        </w:tc>
      </w:tr>
    </w:tbl>
    <w:p w14:paraId="17EA7117" w14:textId="77777777" w:rsidR="006051F5" w:rsidRDefault="006051F5" w:rsidP="009E783D">
      <w:pPr>
        <w:spacing w:line="240" w:lineRule="auto"/>
      </w:pPr>
    </w:p>
    <w:p w14:paraId="1801492A" w14:textId="77777777" w:rsidR="003C7C8A" w:rsidRDefault="00293B75" w:rsidP="009E783D">
      <w:pPr>
        <w:spacing w:line="240" w:lineRule="auto"/>
      </w:pPr>
      <w:r w:rsidRPr="001D062D">
        <w:t xml:space="preserve">The actual performance </w:t>
      </w:r>
      <w:r w:rsidR="000A40F6" w:rsidRPr="001D062D">
        <w:t xml:space="preserve">for </w:t>
      </w:r>
      <w:r w:rsidRPr="001D062D">
        <w:t xml:space="preserve">the </w:t>
      </w:r>
      <w:r w:rsidR="00730201">
        <w:t>ACMA’s deliverable</w:t>
      </w:r>
      <w:r w:rsidR="006051F5">
        <w:t>s for the 2016</w:t>
      </w:r>
      <w:r w:rsidR="001F572C">
        <w:t>–</w:t>
      </w:r>
      <w:r w:rsidR="006051F5">
        <w:t>17</w:t>
      </w:r>
      <w:r w:rsidRPr="001D062D">
        <w:t xml:space="preserve"> financial year is published in </w:t>
      </w:r>
      <w:r w:rsidR="006051F5">
        <w:t xml:space="preserve">Chapter 3 of </w:t>
      </w:r>
      <w:r w:rsidRPr="001D062D">
        <w:t xml:space="preserve">the ACMA’s </w:t>
      </w:r>
      <w:r w:rsidRPr="00D72139">
        <w:rPr>
          <w:i/>
        </w:rPr>
        <w:t xml:space="preserve">Annual </w:t>
      </w:r>
      <w:r w:rsidR="001F572C" w:rsidRPr="00D72139">
        <w:rPr>
          <w:i/>
        </w:rPr>
        <w:t>r</w:t>
      </w:r>
      <w:r w:rsidRPr="00D72139">
        <w:rPr>
          <w:i/>
        </w:rPr>
        <w:t>eport</w:t>
      </w:r>
      <w:r w:rsidR="001F572C" w:rsidRPr="00D72139">
        <w:rPr>
          <w:i/>
        </w:rPr>
        <w:t xml:space="preserve"> </w:t>
      </w:r>
      <w:r w:rsidR="006051F5">
        <w:rPr>
          <w:i/>
        </w:rPr>
        <w:t>2016</w:t>
      </w:r>
      <w:r w:rsidR="001F572C">
        <w:rPr>
          <w:i/>
        </w:rPr>
        <w:t>–</w:t>
      </w:r>
      <w:r w:rsidR="006051F5">
        <w:rPr>
          <w:i/>
        </w:rPr>
        <w:t>17</w:t>
      </w:r>
      <w:r w:rsidRPr="001D062D">
        <w:t>.</w:t>
      </w:r>
      <w:r w:rsidRPr="001D062D">
        <w:rPr>
          <w:rStyle w:val="FootnoteReference"/>
        </w:rPr>
        <w:footnoteReference w:id="18"/>
      </w:r>
      <w:r>
        <w:t xml:space="preserve"> </w:t>
      </w:r>
    </w:p>
    <w:p w14:paraId="04608084" w14:textId="77777777" w:rsidR="002219BD" w:rsidRPr="002219BD" w:rsidRDefault="002219BD" w:rsidP="00C32914">
      <w:pPr>
        <w:pStyle w:val="Heading2"/>
      </w:pPr>
      <w:bookmarkStart w:id="123" w:name="_Toc511634410"/>
      <w:bookmarkStart w:id="124" w:name="_Toc532543417"/>
      <w:r w:rsidRPr="0014060A">
        <w:t>ACCC’s cost component</w:t>
      </w:r>
      <w:bookmarkEnd w:id="123"/>
      <w:bookmarkEnd w:id="124"/>
    </w:p>
    <w:p w14:paraId="052EFA89" w14:textId="77777777" w:rsidR="00364C70" w:rsidRPr="00A74556" w:rsidRDefault="00364C70" w:rsidP="00D72139">
      <w:pPr>
        <w:spacing w:after="80" w:line="240" w:lineRule="auto"/>
      </w:pPr>
      <w:r w:rsidRPr="00A74556">
        <w:t xml:space="preserve">The ACCC is responsible for the economic regulation of the communications sector, </w:t>
      </w:r>
      <w:r w:rsidR="00B327BF">
        <w:t>which</w:t>
      </w:r>
      <w:r w:rsidRPr="00A74556">
        <w:t xml:space="preserve"> includes:</w:t>
      </w:r>
    </w:p>
    <w:p w14:paraId="764DFE2F" w14:textId="77777777" w:rsidR="00364C70" w:rsidRPr="001F572C" w:rsidRDefault="00364C70" w:rsidP="001F572C">
      <w:pPr>
        <w:pStyle w:val="ListBullet"/>
      </w:pPr>
      <w:r w:rsidRPr="001F572C">
        <w:t>assessing and enforcing terms of access to the NBN in a SAU from NBN Co</w:t>
      </w:r>
    </w:p>
    <w:p w14:paraId="291D358E" w14:textId="77777777" w:rsidR="00364C70" w:rsidRPr="001F572C" w:rsidRDefault="00364C70" w:rsidP="001F572C">
      <w:pPr>
        <w:pStyle w:val="ListBullet"/>
      </w:pPr>
      <w:r w:rsidRPr="001F572C">
        <w:t>assessing and enforcing Telstra’s SSU and plan to migrate its customers to the NBN</w:t>
      </w:r>
    </w:p>
    <w:p w14:paraId="609C5263" w14:textId="614466A3" w:rsidR="00364C70" w:rsidRPr="001F572C" w:rsidRDefault="00364C70" w:rsidP="001F572C">
      <w:pPr>
        <w:pStyle w:val="ListBullet"/>
      </w:pPr>
      <w:r w:rsidRPr="001F572C">
        <w:t>setting wholesale prices and terms of access for declared services</w:t>
      </w:r>
    </w:p>
    <w:p w14:paraId="68119CF1" w14:textId="77777777" w:rsidR="00364C70" w:rsidRPr="001F572C" w:rsidRDefault="00364C70" w:rsidP="009679A4">
      <w:pPr>
        <w:pStyle w:val="ListBullet"/>
        <w:keepNext/>
        <w:keepLines/>
      </w:pPr>
      <w:r w:rsidRPr="001F572C">
        <w:t>monitoring and reporting on prices and competition in the communications sector</w:t>
      </w:r>
    </w:p>
    <w:p w14:paraId="06BEC8DC" w14:textId="77777777" w:rsidR="00364C70" w:rsidRDefault="00364C70" w:rsidP="009679A4">
      <w:pPr>
        <w:pStyle w:val="ListBulletLast"/>
        <w:keepNext/>
        <w:keepLines/>
      </w:pPr>
      <w:r w:rsidRPr="00534F91">
        <w:t xml:space="preserve">investigating claims of anti-competitive conduct in the communications sector. </w:t>
      </w:r>
    </w:p>
    <w:p w14:paraId="602C4456" w14:textId="77777777" w:rsidR="00364C70" w:rsidRPr="00A74556" w:rsidRDefault="009B074B" w:rsidP="006A56FD">
      <w:pPr>
        <w:keepNext/>
        <w:spacing w:after="80" w:line="240" w:lineRule="auto"/>
      </w:pPr>
      <w:r>
        <w:t>The ACCC’s p</w:t>
      </w:r>
      <w:r w:rsidR="00364C70" w:rsidRPr="00A74556">
        <w:t xml:space="preserve">erformance measures for these deliverables include: </w:t>
      </w:r>
    </w:p>
    <w:p w14:paraId="1D467BB9" w14:textId="62D6C3E2" w:rsidR="00364C70" w:rsidRPr="00534F91" w:rsidRDefault="00364C70" w:rsidP="006A56FD">
      <w:pPr>
        <w:pStyle w:val="ListBullet"/>
        <w:keepNext/>
      </w:pPr>
      <w:r w:rsidRPr="00534F91">
        <w:t>completing inquiries within statutory time</w:t>
      </w:r>
      <w:r w:rsidR="00073157">
        <w:t xml:space="preserve"> </w:t>
      </w:r>
      <w:r w:rsidRPr="00534F91">
        <w:t>frames</w:t>
      </w:r>
    </w:p>
    <w:p w14:paraId="340531F0" w14:textId="77777777" w:rsidR="00364C70" w:rsidRPr="00534F91" w:rsidRDefault="00364C70" w:rsidP="006A56FD">
      <w:pPr>
        <w:pStyle w:val="ListBullet"/>
        <w:keepNext/>
      </w:pPr>
      <w:r w:rsidRPr="00534F91">
        <w:t>providing outcomes that improve consume</w:t>
      </w:r>
      <w:r w:rsidR="00B327BF">
        <w:t>r</w:t>
      </w:r>
      <w:r w:rsidRPr="00534F91">
        <w:t xml:space="preserve"> welfare, are in the long</w:t>
      </w:r>
      <w:r w:rsidR="00B327BF">
        <w:t>-</w:t>
      </w:r>
      <w:r w:rsidRPr="00534F91">
        <w:t>term interests of telecommunications end users, protect competition</w:t>
      </w:r>
      <w:r w:rsidR="00B327BF">
        <w:t>,</w:t>
      </w:r>
      <w:r w:rsidRPr="00534F91">
        <w:t xml:space="preserve"> and open markets to competition </w:t>
      </w:r>
    </w:p>
    <w:p w14:paraId="465993D6" w14:textId="7B8FA470" w:rsidR="00364C70" w:rsidRPr="00534F91" w:rsidRDefault="00364C70" w:rsidP="00364C70">
      <w:pPr>
        <w:pStyle w:val="ListBullet"/>
      </w:pPr>
      <w:r w:rsidRPr="00534F91">
        <w:t>contributing to market and competition analysis and investigations (especially under Part IV</w:t>
      </w:r>
      <w:r w:rsidR="00F65B5E">
        <w:t xml:space="preserve"> of the </w:t>
      </w:r>
      <w:r w:rsidR="00F65B5E" w:rsidRPr="00391111">
        <w:t>Competition and Consumer Act</w:t>
      </w:r>
      <w:r w:rsidRPr="00534F91">
        <w:t xml:space="preserve">) </w:t>
      </w:r>
      <w:r w:rsidR="00073157">
        <w:t>for</w:t>
      </w:r>
      <w:r w:rsidRPr="00534F91">
        <w:t xml:space="preserve"> content, media and application services delivered over telecommunications networks  </w:t>
      </w:r>
    </w:p>
    <w:p w14:paraId="758955CD" w14:textId="77777777" w:rsidR="00364C70" w:rsidRPr="00534F91" w:rsidRDefault="00364C70" w:rsidP="00364C70">
      <w:pPr>
        <w:pStyle w:val="ListBullet"/>
      </w:pPr>
      <w:r w:rsidRPr="00534F91">
        <w:t>advising other areas of the ACCC on implications of convergent technologies in the context of mergers, adjudication and enforcement activities</w:t>
      </w:r>
    </w:p>
    <w:p w14:paraId="30AD8A3E" w14:textId="77777777" w:rsidR="0039435F" w:rsidRPr="00D72139" w:rsidRDefault="00364C70" w:rsidP="00D72139">
      <w:pPr>
        <w:pStyle w:val="ListBulletLast"/>
        <w:rPr>
          <w:szCs w:val="20"/>
          <w:u w:val="single"/>
        </w:rPr>
      </w:pPr>
      <w:r w:rsidRPr="00534F91">
        <w:t>formulating briefing material and submissions to major government reviews, such as inquiries regarding the N</w:t>
      </w:r>
      <w:r w:rsidR="00F65B5E">
        <w:t>BN</w:t>
      </w:r>
      <w:r w:rsidRPr="00534F91">
        <w:t xml:space="preserve">, </w:t>
      </w:r>
      <w:r w:rsidRPr="001071EB">
        <w:t>Senate</w:t>
      </w:r>
      <w:r w:rsidRPr="00534F91">
        <w:t xml:space="preserve"> estimates and other public inquiries.</w:t>
      </w:r>
    </w:p>
    <w:p w14:paraId="0C9D2E3D" w14:textId="77777777" w:rsidR="002219BD" w:rsidRPr="002219BD" w:rsidRDefault="002219BD" w:rsidP="00C32914">
      <w:pPr>
        <w:pStyle w:val="Heading2"/>
      </w:pPr>
      <w:bookmarkStart w:id="125" w:name="_Toc511634411"/>
      <w:bookmarkStart w:id="126" w:name="_Toc532543418"/>
      <w:r w:rsidRPr="002219BD">
        <w:t>ITU contribution</w:t>
      </w:r>
      <w:bookmarkEnd w:id="125"/>
      <w:bookmarkEnd w:id="126"/>
    </w:p>
    <w:p w14:paraId="0503991B" w14:textId="1A49AAB7" w:rsidR="00142961" w:rsidRDefault="00DC53C1" w:rsidP="009E783D">
      <w:pPr>
        <w:spacing w:line="240" w:lineRule="auto"/>
      </w:pPr>
      <w:r w:rsidRPr="001D062D">
        <w:t>As th</w:t>
      </w:r>
      <w:r w:rsidR="003D7152" w:rsidRPr="001D062D">
        <w:t xml:space="preserve">e ITU is responsible for </w:t>
      </w:r>
      <w:r w:rsidR="00596FD7" w:rsidRPr="001D062D">
        <w:t>t</w:t>
      </w:r>
      <w:r w:rsidR="003D7152" w:rsidRPr="001D062D">
        <w:t>he Internationa</w:t>
      </w:r>
      <w:r w:rsidR="00596FD7" w:rsidRPr="001D062D">
        <w:t xml:space="preserve">l Telecommunication Regulations, </w:t>
      </w:r>
      <w:r w:rsidRPr="001D062D">
        <w:t>its main deliverables are to p</w:t>
      </w:r>
      <w:r w:rsidR="003D7152" w:rsidRPr="001D062D">
        <w:t>romote international cooperation, collaboratio</w:t>
      </w:r>
      <w:r w:rsidRPr="001D062D">
        <w:t>n and regulation as appropriate</w:t>
      </w:r>
      <w:r w:rsidR="00073157">
        <w:t>,</w:t>
      </w:r>
      <w:r w:rsidRPr="001D062D">
        <w:t xml:space="preserve"> and</w:t>
      </w:r>
      <w:r w:rsidR="003D7152" w:rsidRPr="001D062D">
        <w:t xml:space="preserve"> to support domestic priorities in the telecommunications industry</w:t>
      </w:r>
      <w:r w:rsidRPr="001D062D">
        <w:t>, so that i</w:t>
      </w:r>
      <w:r w:rsidR="003D7152" w:rsidRPr="001D062D">
        <w:t>ndustry, business and government can effectively engage in the international telecommunications landscape</w:t>
      </w:r>
      <w:r w:rsidR="00F24FB7">
        <w:t>.</w:t>
      </w:r>
    </w:p>
    <w:p w14:paraId="76154419" w14:textId="77777777" w:rsidR="002219BD" w:rsidRPr="0023358A" w:rsidRDefault="002219BD" w:rsidP="00C32914">
      <w:pPr>
        <w:pStyle w:val="Heading2"/>
        <w:rPr>
          <w:lang w:val="en-GB"/>
        </w:rPr>
      </w:pPr>
      <w:bookmarkStart w:id="127" w:name="_Toc511634412"/>
      <w:bookmarkStart w:id="128" w:name="_Toc532543419"/>
      <w:r w:rsidRPr="0023358A">
        <w:t xml:space="preserve">Government </w:t>
      </w:r>
      <w:r w:rsidR="001F572C" w:rsidRPr="0023358A">
        <w:t>g</w:t>
      </w:r>
      <w:r w:rsidRPr="0023358A">
        <w:t>rants—</w:t>
      </w:r>
      <w:r w:rsidR="00136A92">
        <w:t>c</w:t>
      </w:r>
      <w:r w:rsidRPr="0023358A">
        <w:t xml:space="preserve">onsumer </w:t>
      </w:r>
      <w:r w:rsidR="00136A92">
        <w:t>r</w:t>
      </w:r>
      <w:r w:rsidRPr="0023358A">
        <w:t xml:space="preserve">epresentation and </w:t>
      </w:r>
      <w:r w:rsidR="00136A92">
        <w:t>r</w:t>
      </w:r>
      <w:r w:rsidRPr="0023358A">
        <w:t>esearch</w:t>
      </w:r>
      <w:bookmarkEnd w:id="127"/>
      <w:bookmarkEnd w:id="128"/>
    </w:p>
    <w:p w14:paraId="28E26221" w14:textId="77777777" w:rsidR="008B038C" w:rsidRPr="00B817EC" w:rsidRDefault="008B038C" w:rsidP="00142961">
      <w:pPr>
        <w:spacing w:line="240" w:lineRule="auto"/>
      </w:pPr>
      <w:r>
        <w:rPr>
          <w:lang w:val="en-GB"/>
        </w:rPr>
        <w:t>S</w:t>
      </w:r>
      <w:r w:rsidRPr="0023358A">
        <w:rPr>
          <w:lang w:val="en-GB"/>
        </w:rPr>
        <w:t xml:space="preserve">ection 593 </w:t>
      </w:r>
      <w:r>
        <w:t xml:space="preserve">of the </w:t>
      </w:r>
      <w:r w:rsidR="009B7744" w:rsidRPr="00391111">
        <w:t>Telco Act</w:t>
      </w:r>
      <w:r w:rsidR="009B7744" w:rsidRPr="000F3887">
        <w:rPr>
          <w:i/>
        </w:rPr>
        <w:t xml:space="preserve"> </w:t>
      </w:r>
      <w:r>
        <w:t xml:space="preserve">enables the </w:t>
      </w:r>
      <w:r w:rsidR="00837568">
        <w:t>M</w:t>
      </w:r>
      <w:r>
        <w:t>inister</w:t>
      </w:r>
      <w:r w:rsidR="00AB62C6">
        <w:t xml:space="preserve"> for Communications and the Arts</w:t>
      </w:r>
      <w:r>
        <w:t xml:space="preserve"> to make </w:t>
      </w:r>
      <w:r w:rsidRPr="0023358A">
        <w:rPr>
          <w:lang w:val="en-GB"/>
        </w:rPr>
        <w:t>grant</w:t>
      </w:r>
      <w:r>
        <w:rPr>
          <w:lang w:val="en-GB"/>
        </w:rPr>
        <w:t>s of financial assistance</w:t>
      </w:r>
      <w:r w:rsidRPr="0023358A">
        <w:rPr>
          <w:lang w:val="en-GB"/>
        </w:rPr>
        <w:t xml:space="preserve"> to consumer bod</w:t>
      </w:r>
      <w:r>
        <w:rPr>
          <w:lang w:val="en-GB"/>
        </w:rPr>
        <w:t>ies</w:t>
      </w:r>
      <w:r w:rsidRPr="0023358A">
        <w:rPr>
          <w:lang w:val="en-GB"/>
        </w:rPr>
        <w:t xml:space="preserve"> </w:t>
      </w:r>
      <w:r>
        <w:rPr>
          <w:lang w:val="en-GB"/>
        </w:rPr>
        <w:t xml:space="preserve">to support </w:t>
      </w:r>
      <w:r w:rsidRPr="0023358A">
        <w:rPr>
          <w:lang w:val="en-GB"/>
        </w:rPr>
        <w:t>consumer</w:t>
      </w:r>
      <w:r>
        <w:rPr>
          <w:lang w:val="en-GB"/>
        </w:rPr>
        <w:t xml:space="preserve"> representation</w:t>
      </w:r>
      <w:r w:rsidRPr="0023358A">
        <w:rPr>
          <w:lang w:val="en-GB"/>
        </w:rPr>
        <w:t xml:space="preserve"> in </w:t>
      </w:r>
      <w:r>
        <w:rPr>
          <w:lang w:val="en-GB"/>
        </w:rPr>
        <w:t>the</w:t>
      </w:r>
      <w:r w:rsidRPr="0023358A">
        <w:rPr>
          <w:lang w:val="en-GB"/>
        </w:rPr>
        <w:t xml:space="preserve"> telecommunications </w:t>
      </w:r>
      <w:r>
        <w:rPr>
          <w:lang w:val="en-GB"/>
        </w:rPr>
        <w:t xml:space="preserve">sector. </w:t>
      </w:r>
      <w:r w:rsidRPr="0023358A">
        <w:rPr>
          <w:lang w:val="en-GB"/>
        </w:rPr>
        <w:t>ACCAN</w:t>
      </w:r>
      <w:r>
        <w:rPr>
          <w:lang w:val="en-GB"/>
        </w:rPr>
        <w:t>, the sole recipient of the grant since 2009</w:t>
      </w:r>
      <w:r w:rsidR="00B327BF">
        <w:rPr>
          <w:lang w:val="en-GB"/>
        </w:rPr>
        <w:t>–</w:t>
      </w:r>
      <w:r>
        <w:rPr>
          <w:lang w:val="en-GB"/>
        </w:rPr>
        <w:t>10,</w:t>
      </w:r>
      <w:r w:rsidRPr="0023358A">
        <w:rPr>
          <w:lang w:val="en-GB"/>
        </w:rPr>
        <w:t xml:space="preserve"> will continue to be resourced to a level that will enable it to conduct activities necessary for an effective peak communications consumer advocate, including representation, research, consumer education and participation in self-regulatory activities. </w:t>
      </w:r>
      <w:r w:rsidR="00142961" w:rsidRPr="0023358A">
        <w:rPr>
          <w:lang w:val="en-GB"/>
        </w:rPr>
        <w:t xml:space="preserve"> </w:t>
      </w:r>
    </w:p>
    <w:p w14:paraId="0FDB46F6" w14:textId="77777777" w:rsidR="00142961" w:rsidRPr="0023358A" w:rsidRDefault="00142961" w:rsidP="00142961">
      <w:pPr>
        <w:spacing w:line="240" w:lineRule="auto"/>
        <w:rPr>
          <w:lang w:val="en-GB"/>
        </w:rPr>
      </w:pPr>
      <w:r w:rsidRPr="0023358A">
        <w:rPr>
          <w:lang w:val="en-GB"/>
        </w:rPr>
        <w:t xml:space="preserve">ACCAN also operates a competitive </w:t>
      </w:r>
      <w:r w:rsidRPr="00120B54">
        <w:rPr>
          <w:lang w:val="en-GB"/>
        </w:rPr>
        <w:t xml:space="preserve">Independent Grants </w:t>
      </w:r>
      <w:r w:rsidR="000E6FA6" w:rsidRPr="00120B54">
        <w:rPr>
          <w:lang w:val="en-GB"/>
        </w:rPr>
        <w:t>Program,</w:t>
      </w:r>
      <w:r w:rsidRPr="0023358A">
        <w:rPr>
          <w:lang w:val="en-GB"/>
        </w:rPr>
        <w:t xml:space="preserve"> which allows individuals and organisations to undertake research or representation projects in the interest of the telecommunications consumer. </w:t>
      </w:r>
    </w:p>
    <w:p w14:paraId="6A3DFCF8" w14:textId="77777777" w:rsidR="009E783D" w:rsidRPr="00CC3F4B" w:rsidRDefault="00CD31CE" w:rsidP="009E783D">
      <w:pPr>
        <w:pStyle w:val="Heading1"/>
      </w:pPr>
      <w:bookmarkStart w:id="129" w:name="_Toc417990967"/>
      <w:bookmarkStart w:id="130" w:name="_Toc511634413"/>
      <w:bookmarkStart w:id="131" w:name="_Toc532543420"/>
      <w:r>
        <w:t>8</w:t>
      </w:r>
      <w:r w:rsidR="009E783D" w:rsidRPr="00CC3F4B">
        <w:t>.</w:t>
      </w:r>
      <w:r w:rsidR="009E783D" w:rsidRPr="00CC3F4B">
        <w:tab/>
      </w:r>
      <w:bookmarkEnd w:id="113"/>
      <w:r w:rsidR="009E783D">
        <w:t>K</w:t>
      </w:r>
      <w:r w:rsidR="009E783D" w:rsidRPr="00CC3F4B">
        <w:t>ey forward dates and events</w:t>
      </w:r>
      <w:bookmarkEnd w:id="114"/>
      <w:bookmarkEnd w:id="129"/>
      <w:bookmarkEnd w:id="130"/>
      <w:bookmarkEnd w:id="131"/>
    </w:p>
    <w:p w14:paraId="671E995F" w14:textId="77777777" w:rsidR="009E783D" w:rsidRDefault="009E783D" w:rsidP="009E783D">
      <w:r w:rsidRPr="00A84CBD">
        <w:t>Reflecting the annual nature of the ACLC, the CRIS is also updated on an annual basis. The key forward events and dates f</w:t>
      </w:r>
      <w:r w:rsidR="0081186A">
        <w:t>or the ACLC process for the 201</w:t>
      </w:r>
      <w:r w:rsidR="00DE47AB">
        <w:t>8</w:t>
      </w:r>
      <w:r w:rsidRPr="00A84CBD">
        <w:t>–</w:t>
      </w:r>
      <w:r w:rsidR="0081186A">
        <w:t>1</w:t>
      </w:r>
      <w:r w:rsidR="00DE47AB">
        <w:t>9</w:t>
      </w:r>
      <w:r w:rsidRPr="00A84CBD">
        <w:t xml:space="preserve"> financial year are provided</w:t>
      </w:r>
      <w:r w:rsidR="00AD6427">
        <w:t xml:space="preserve"> in Table 1</w:t>
      </w:r>
      <w:r w:rsidR="00FA02BF">
        <w:t>6</w:t>
      </w:r>
      <w:r w:rsidRPr="00A84CBD">
        <w:t xml:space="preserve">.  </w:t>
      </w:r>
    </w:p>
    <w:p w14:paraId="1BEEC534" w14:textId="77777777" w:rsidR="003F4664" w:rsidRPr="006A56FD" w:rsidRDefault="00FA02BF" w:rsidP="00FA02BF">
      <w:pPr>
        <w:pStyle w:val="ACMATableHeader"/>
        <w:numPr>
          <w:ilvl w:val="0"/>
          <w:numId w:val="0"/>
        </w:numPr>
      </w:pPr>
      <w:r>
        <w:t>Table 16:</w:t>
      </w:r>
      <w:r>
        <w:tab/>
      </w:r>
      <w:r w:rsidR="003F4664" w:rsidRPr="006A56FD">
        <w:t>Key forward dates and events</w:t>
      </w:r>
    </w:p>
    <w:tbl>
      <w:tblPr>
        <w:tblW w:w="4821"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57" w:type="dxa"/>
          <w:bottom w:w="57" w:type="dxa"/>
        </w:tblCellMar>
        <w:tblLook w:val="04A0" w:firstRow="1" w:lastRow="0" w:firstColumn="1" w:lastColumn="0" w:noHBand="0" w:noVBand="1"/>
        <w:tblCaption w:val="Key forward dates and events"/>
        <w:tblDescription w:val="Update of forward financial estimates (section 6) in Dec 2016; Update of actual costs in May 2017."/>
      </w:tblPr>
      <w:tblGrid>
        <w:gridCol w:w="5255"/>
        <w:gridCol w:w="2126"/>
      </w:tblGrid>
      <w:tr w:rsidR="00222E46" w:rsidRPr="000D6F80" w14:paraId="3CBAFA50" w14:textId="77777777" w:rsidTr="00C9249E">
        <w:trPr>
          <w:cantSplit/>
          <w:trHeight w:val="85"/>
          <w:tblHeader/>
        </w:trPr>
        <w:tc>
          <w:tcPr>
            <w:tcW w:w="3560" w:type="pct"/>
            <w:shd w:val="clear" w:color="auto" w:fill="404040" w:themeFill="text1" w:themeFillTint="BF"/>
          </w:tcPr>
          <w:p w14:paraId="321020C0" w14:textId="77777777" w:rsidR="00222E46" w:rsidRPr="00E50A27" w:rsidRDefault="00222E46" w:rsidP="00E50A27">
            <w:pPr>
              <w:pStyle w:val="TableHeading"/>
              <w:rPr>
                <w:b w:val="0"/>
                <w:color w:val="FFFFFF" w:themeColor="background1"/>
                <w:highlight w:val="yellow"/>
              </w:rPr>
            </w:pPr>
            <w:r w:rsidRPr="00E50A27">
              <w:rPr>
                <w:color w:val="FFFFFF" w:themeColor="background1"/>
              </w:rPr>
              <w:t>Key events</w:t>
            </w:r>
          </w:p>
        </w:tc>
        <w:tc>
          <w:tcPr>
            <w:tcW w:w="1440" w:type="pct"/>
            <w:tcBorders>
              <w:top w:val="single" w:sz="6" w:space="0" w:color="auto"/>
            </w:tcBorders>
            <w:shd w:val="clear" w:color="auto" w:fill="404040" w:themeFill="text1" w:themeFillTint="BF"/>
          </w:tcPr>
          <w:p w14:paraId="2FC53CD1" w14:textId="77777777" w:rsidR="00222E46" w:rsidRPr="00E50A27" w:rsidRDefault="00222E46" w:rsidP="00E50A27">
            <w:pPr>
              <w:pStyle w:val="TableHeading"/>
              <w:rPr>
                <w:b w:val="0"/>
                <w:color w:val="FFFFFF" w:themeColor="background1"/>
              </w:rPr>
            </w:pPr>
            <w:r w:rsidRPr="00E50A27">
              <w:rPr>
                <w:color w:val="FFFFFF" w:themeColor="background1"/>
              </w:rPr>
              <w:t>Date</w:t>
            </w:r>
          </w:p>
        </w:tc>
      </w:tr>
      <w:tr w:rsidR="008B6B01" w:rsidRPr="000D6F80" w14:paraId="6E13D965" w14:textId="77777777" w:rsidTr="00C9249E">
        <w:trPr>
          <w:cantSplit/>
          <w:trHeight w:val="247"/>
          <w:tblHeader/>
        </w:trPr>
        <w:tc>
          <w:tcPr>
            <w:tcW w:w="3560" w:type="pct"/>
          </w:tcPr>
          <w:p w14:paraId="6C21A77A" w14:textId="77777777" w:rsidR="008B6B01" w:rsidRDefault="00DE088A" w:rsidP="00DE088A">
            <w:pPr>
              <w:spacing w:after="0"/>
              <w:ind w:right="-142"/>
              <w:rPr>
                <w:rFonts w:cs="Arial"/>
                <w:szCs w:val="20"/>
              </w:rPr>
            </w:pPr>
            <w:r>
              <w:rPr>
                <w:rFonts w:cs="Arial"/>
                <w:szCs w:val="20"/>
              </w:rPr>
              <w:t>Update of forward estimates</w:t>
            </w:r>
          </w:p>
        </w:tc>
        <w:tc>
          <w:tcPr>
            <w:tcW w:w="1440" w:type="pct"/>
          </w:tcPr>
          <w:p w14:paraId="6222DA0C" w14:textId="77777777" w:rsidR="008B6B01" w:rsidRPr="0039435F" w:rsidRDefault="00DE47AB" w:rsidP="00DE088A">
            <w:pPr>
              <w:spacing w:after="0"/>
              <w:rPr>
                <w:rFonts w:cs="Arial"/>
                <w:szCs w:val="20"/>
              </w:rPr>
            </w:pPr>
            <w:r>
              <w:rPr>
                <w:rFonts w:cs="Arial"/>
                <w:szCs w:val="20"/>
              </w:rPr>
              <w:t>December 2018</w:t>
            </w:r>
          </w:p>
        </w:tc>
      </w:tr>
      <w:tr w:rsidR="00222E46" w:rsidRPr="000D6F80" w14:paraId="484C0F95" w14:textId="77777777" w:rsidTr="00C9249E">
        <w:trPr>
          <w:cantSplit/>
          <w:trHeight w:val="197"/>
          <w:tblHeader/>
        </w:trPr>
        <w:tc>
          <w:tcPr>
            <w:tcW w:w="3560" w:type="pct"/>
          </w:tcPr>
          <w:p w14:paraId="0A87EC22" w14:textId="77777777" w:rsidR="00222E46" w:rsidRDefault="00222E46" w:rsidP="00593B36">
            <w:pPr>
              <w:spacing w:after="0"/>
              <w:ind w:right="-142"/>
              <w:rPr>
                <w:rFonts w:cs="Arial"/>
                <w:szCs w:val="20"/>
              </w:rPr>
            </w:pPr>
            <w:r>
              <w:rPr>
                <w:rFonts w:cs="Arial"/>
                <w:szCs w:val="20"/>
              </w:rPr>
              <w:t xml:space="preserve">Update of actual </w:t>
            </w:r>
            <w:r w:rsidR="00F65B5E">
              <w:rPr>
                <w:rFonts w:cs="Arial"/>
                <w:szCs w:val="20"/>
              </w:rPr>
              <w:t>costs</w:t>
            </w:r>
          </w:p>
        </w:tc>
        <w:tc>
          <w:tcPr>
            <w:tcW w:w="1440" w:type="pct"/>
          </w:tcPr>
          <w:p w14:paraId="1B7A9252" w14:textId="77777777" w:rsidR="00222E46" w:rsidRDefault="00222E46" w:rsidP="00681F59">
            <w:pPr>
              <w:spacing w:after="0"/>
              <w:rPr>
                <w:rFonts w:cs="Arial"/>
                <w:szCs w:val="20"/>
                <w:highlight w:val="yellow"/>
              </w:rPr>
            </w:pPr>
            <w:r w:rsidRPr="0039435F">
              <w:rPr>
                <w:rFonts w:cs="Arial"/>
                <w:szCs w:val="20"/>
              </w:rPr>
              <w:t>May 201</w:t>
            </w:r>
            <w:r w:rsidR="00DE47AB">
              <w:rPr>
                <w:rFonts w:cs="Arial"/>
                <w:szCs w:val="20"/>
              </w:rPr>
              <w:t>9</w:t>
            </w:r>
          </w:p>
        </w:tc>
      </w:tr>
    </w:tbl>
    <w:p w14:paraId="28FE9F06" w14:textId="77777777" w:rsidR="009E783D" w:rsidRDefault="00CD31CE" w:rsidP="009E783D">
      <w:pPr>
        <w:pStyle w:val="Heading1"/>
      </w:pPr>
      <w:bookmarkStart w:id="132" w:name="_Toc355953995"/>
      <w:bookmarkStart w:id="133" w:name="_Toc385256324"/>
      <w:bookmarkStart w:id="134" w:name="_Toc417990968"/>
      <w:bookmarkStart w:id="135" w:name="_Toc511634414"/>
      <w:bookmarkStart w:id="136" w:name="_Toc532543421"/>
      <w:bookmarkEnd w:id="88"/>
      <w:r>
        <w:t>9</w:t>
      </w:r>
      <w:r w:rsidR="009E783D" w:rsidRPr="00CC3F4B">
        <w:t xml:space="preserve">. </w:t>
      </w:r>
      <w:r w:rsidR="009E783D" w:rsidRPr="00CC3F4B">
        <w:tab/>
      </w:r>
      <w:bookmarkEnd w:id="132"/>
      <w:r w:rsidR="009E783D">
        <w:t>CRIS</w:t>
      </w:r>
      <w:r w:rsidR="009E783D" w:rsidRPr="00CC3F4B">
        <w:t xml:space="preserve"> approval and change register</w:t>
      </w:r>
      <w:bookmarkEnd w:id="133"/>
      <w:bookmarkEnd w:id="134"/>
      <w:bookmarkEnd w:id="135"/>
      <w:bookmarkEnd w:id="136"/>
    </w:p>
    <w:p w14:paraId="4B275F21" w14:textId="77777777" w:rsidR="009E783D" w:rsidRPr="006A56FD" w:rsidRDefault="00FA02BF" w:rsidP="00FA02BF">
      <w:pPr>
        <w:pStyle w:val="ACMATableHeader"/>
        <w:numPr>
          <w:ilvl w:val="0"/>
          <w:numId w:val="0"/>
        </w:numPr>
      </w:pPr>
      <w:r>
        <w:t>Table 17:</w:t>
      </w:r>
      <w:r>
        <w:tab/>
      </w:r>
      <w:r w:rsidR="009E783D" w:rsidRPr="006A56FD">
        <w:t>Change register</w:t>
      </w:r>
    </w:p>
    <w:tbl>
      <w:tblPr>
        <w:tblStyle w:val="TableGrid"/>
        <w:tblW w:w="0" w:type="auto"/>
        <w:tblCellMar>
          <w:top w:w="57" w:type="dxa"/>
          <w:left w:w="57" w:type="dxa"/>
          <w:bottom w:w="57" w:type="dxa"/>
          <w:right w:w="57" w:type="dxa"/>
        </w:tblCellMar>
        <w:tblLook w:val="04A0" w:firstRow="1" w:lastRow="0" w:firstColumn="1" w:lastColumn="0" w:noHBand="0" w:noVBand="1"/>
        <w:tblCaption w:val="CRIS approval and change register"/>
      </w:tblPr>
      <w:tblGrid>
        <w:gridCol w:w="1850"/>
        <w:gridCol w:w="1911"/>
        <w:gridCol w:w="1946"/>
        <w:gridCol w:w="1904"/>
        <w:gridCol w:w="50"/>
      </w:tblGrid>
      <w:tr w:rsidR="009E783D" w14:paraId="5036BC73" w14:textId="77777777" w:rsidTr="00C9249E">
        <w:trPr>
          <w:tblHeader/>
        </w:trPr>
        <w:tc>
          <w:tcPr>
            <w:tcW w:w="1850" w:type="dxa"/>
            <w:shd w:val="clear" w:color="auto" w:fill="404040" w:themeFill="text1" w:themeFillTint="BF"/>
            <w:vAlign w:val="center"/>
          </w:tcPr>
          <w:p w14:paraId="40794670" w14:textId="77777777" w:rsidR="009E783D" w:rsidRPr="00E50A27" w:rsidRDefault="009E783D" w:rsidP="00E50A27">
            <w:pPr>
              <w:pStyle w:val="TableHeading"/>
              <w:rPr>
                <w:b w:val="0"/>
                <w:color w:val="FFFFFF" w:themeColor="background1"/>
              </w:rPr>
            </w:pPr>
            <w:r w:rsidRPr="00E50A27">
              <w:rPr>
                <w:color w:val="FFFFFF" w:themeColor="background1"/>
              </w:rPr>
              <w:t>Date</w:t>
            </w:r>
          </w:p>
        </w:tc>
        <w:tc>
          <w:tcPr>
            <w:tcW w:w="1911" w:type="dxa"/>
            <w:shd w:val="clear" w:color="auto" w:fill="404040" w:themeFill="text1" w:themeFillTint="BF"/>
            <w:vAlign w:val="center"/>
          </w:tcPr>
          <w:p w14:paraId="078FFB2D" w14:textId="77777777" w:rsidR="009E783D" w:rsidRPr="00E50A27" w:rsidRDefault="009E783D" w:rsidP="00E50A27">
            <w:pPr>
              <w:pStyle w:val="TableHeading"/>
              <w:rPr>
                <w:b w:val="0"/>
                <w:color w:val="FFFFFF" w:themeColor="background1"/>
              </w:rPr>
            </w:pPr>
            <w:r w:rsidRPr="00E50A27">
              <w:rPr>
                <w:color w:val="FFFFFF" w:themeColor="background1"/>
              </w:rPr>
              <w:t>Description</w:t>
            </w:r>
          </w:p>
        </w:tc>
        <w:tc>
          <w:tcPr>
            <w:tcW w:w="1946" w:type="dxa"/>
            <w:shd w:val="clear" w:color="auto" w:fill="404040" w:themeFill="text1" w:themeFillTint="BF"/>
            <w:vAlign w:val="center"/>
          </w:tcPr>
          <w:p w14:paraId="39A3A193" w14:textId="77777777" w:rsidR="009E783D" w:rsidRPr="00E50A27" w:rsidRDefault="009E783D" w:rsidP="00E50A27">
            <w:pPr>
              <w:pStyle w:val="TableHeading"/>
              <w:rPr>
                <w:b w:val="0"/>
                <w:color w:val="FFFFFF" w:themeColor="background1"/>
              </w:rPr>
            </w:pPr>
            <w:r w:rsidRPr="00E50A27">
              <w:rPr>
                <w:color w:val="FFFFFF" w:themeColor="background1"/>
              </w:rPr>
              <w:t>Approved by</w:t>
            </w:r>
          </w:p>
        </w:tc>
        <w:tc>
          <w:tcPr>
            <w:tcW w:w="1954" w:type="dxa"/>
            <w:gridSpan w:val="2"/>
            <w:shd w:val="clear" w:color="auto" w:fill="404040" w:themeFill="text1" w:themeFillTint="BF"/>
            <w:vAlign w:val="center"/>
          </w:tcPr>
          <w:p w14:paraId="557A4F08" w14:textId="77777777" w:rsidR="009E783D" w:rsidRPr="00E50A27" w:rsidRDefault="009E783D" w:rsidP="00E50A27">
            <w:pPr>
              <w:pStyle w:val="TableHeading"/>
              <w:rPr>
                <w:b w:val="0"/>
                <w:color w:val="FFFFFF" w:themeColor="background1"/>
              </w:rPr>
            </w:pPr>
            <w:r w:rsidRPr="00E50A27">
              <w:rPr>
                <w:color w:val="FFFFFF" w:themeColor="background1"/>
              </w:rPr>
              <w:t>Comments</w:t>
            </w:r>
          </w:p>
        </w:tc>
      </w:tr>
      <w:tr w:rsidR="00BC1A45" w14:paraId="4EB7FB03" w14:textId="77777777" w:rsidTr="00B60999">
        <w:trPr>
          <w:gridAfter w:val="1"/>
          <w:wAfter w:w="50" w:type="dxa"/>
        </w:trPr>
        <w:tc>
          <w:tcPr>
            <w:tcW w:w="1850" w:type="dxa"/>
          </w:tcPr>
          <w:p w14:paraId="61479751" w14:textId="3B6D8004" w:rsidR="00BC1A45" w:rsidRDefault="00FC4391" w:rsidP="00BC1A45">
            <w:pPr>
              <w:spacing w:after="0"/>
            </w:pPr>
            <w:r>
              <w:t xml:space="preserve">13 </w:t>
            </w:r>
            <w:r w:rsidR="007B13C2">
              <w:t>December</w:t>
            </w:r>
            <w:r w:rsidR="005664E6">
              <w:t xml:space="preserve"> </w:t>
            </w:r>
            <w:r w:rsidR="00BC1A45">
              <w:t>2018</w:t>
            </w:r>
          </w:p>
        </w:tc>
        <w:tc>
          <w:tcPr>
            <w:tcW w:w="1911" w:type="dxa"/>
          </w:tcPr>
          <w:p w14:paraId="1284DA84" w14:textId="48257F68" w:rsidR="00BC1A45" w:rsidRDefault="00BC1A45" w:rsidP="00BC1A45">
            <w:pPr>
              <w:spacing w:after="0"/>
            </w:pPr>
            <w:r>
              <w:t>Approval of the 2017</w:t>
            </w:r>
            <w:r w:rsidR="006123EF">
              <w:t>–</w:t>
            </w:r>
            <w:r>
              <w:t>18 CRIS—Version 4</w:t>
            </w:r>
            <w:r w:rsidRPr="001C0BCF">
              <w:t>.1</w:t>
            </w:r>
          </w:p>
        </w:tc>
        <w:tc>
          <w:tcPr>
            <w:tcW w:w="1946" w:type="dxa"/>
          </w:tcPr>
          <w:p w14:paraId="0DBFB680" w14:textId="07547B08" w:rsidR="00BC1A45" w:rsidRPr="00004D91" w:rsidRDefault="00BC1A45" w:rsidP="00BC1A45">
            <w:pPr>
              <w:spacing w:after="0"/>
            </w:pPr>
            <w:r w:rsidRPr="001C0BCF">
              <w:t>The Minister for Communications and the Arts</w:t>
            </w:r>
          </w:p>
        </w:tc>
        <w:tc>
          <w:tcPr>
            <w:tcW w:w="1904" w:type="dxa"/>
            <w:vAlign w:val="center"/>
          </w:tcPr>
          <w:p w14:paraId="0EC8F6FD" w14:textId="77777777" w:rsidR="00BC1A45" w:rsidRDefault="00BC1A45" w:rsidP="00BC1A45">
            <w:pPr>
              <w:rPr>
                <w:b/>
                <w:i/>
              </w:rPr>
            </w:pPr>
          </w:p>
        </w:tc>
      </w:tr>
      <w:tr w:rsidR="00BC1A45" w14:paraId="52DFD97C" w14:textId="77777777" w:rsidTr="00B60999">
        <w:trPr>
          <w:gridAfter w:val="1"/>
          <w:wAfter w:w="50" w:type="dxa"/>
        </w:trPr>
        <w:tc>
          <w:tcPr>
            <w:tcW w:w="1850" w:type="dxa"/>
          </w:tcPr>
          <w:p w14:paraId="05FB9F2F" w14:textId="71C923A7" w:rsidR="00BC1A45" w:rsidRDefault="007B13C2" w:rsidP="00A10472">
            <w:pPr>
              <w:spacing w:after="0"/>
            </w:pPr>
            <w:r>
              <w:t>8 November</w:t>
            </w:r>
            <w:r w:rsidR="005664E6">
              <w:t xml:space="preserve"> </w:t>
            </w:r>
            <w:r w:rsidR="00BC1A45">
              <w:t>2018</w:t>
            </w:r>
          </w:p>
        </w:tc>
        <w:tc>
          <w:tcPr>
            <w:tcW w:w="1911" w:type="dxa"/>
          </w:tcPr>
          <w:p w14:paraId="2116829A" w14:textId="7D1C6C66" w:rsidR="00BC1A45" w:rsidRDefault="00BC1A45" w:rsidP="00BC1A45">
            <w:pPr>
              <w:spacing w:after="0"/>
            </w:pPr>
            <w:r w:rsidRPr="00226DDB">
              <w:t>Certificati</w:t>
            </w:r>
            <w:r>
              <w:t xml:space="preserve">on of the </w:t>
            </w:r>
            <w:r w:rsidRPr="002A6A5D">
              <w:t>201</w:t>
            </w:r>
            <w:r w:rsidR="00A575B2" w:rsidRPr="002A6A5D">
              <w:t>7</w:t>
            </w:r>
            <w:r w:rsidR="006123EF">
              <w:t>–</w:t>
            </w:r>
            <w:r w:rsidRPr="002A6A5D">
              <w:t>1</w:t>
            </w:r>
            <w:r w:rsidR="00A575B2" w:rsidRPr="002A6A5D">
              <w:t>8</w:t>
            </w:r>
            <w:r>
              <w:t xml:space="preserve"> CRIS—Version 4</w:t>
            </w:r>
            <w:r w:rsidRPr="00226DDB">
              <w:t>.1</w:t>
            </w:r>
          </w:p>
        </w:tc>
        <w:tc>
          <w:tcPr>
            <w:tcW w:w="1946" w:type="dxa"/>
          </w:tcPr>
          <w:p w14:paraId="779D2513" w14:textId="4585012F" w:rsidR="00BC1A45" w:rsidRPr="00004D91" w:rsidRDefault="00BC1A45" w:rsidP="00BC1A45">
            <w:pPr>
              <w:spacing w:after="0"/>
            </w:pPr>
            <w:r>
              <w:t>ACMA</w:t>
            </w:r>
            <w:r w:rsidRPr="00226DDB">
              <w:t xml:space="preserve"> Chair</w:t>
            </w:r>
          </w:p>
        </w:tc>
        <w:tc>
          <w:tcPr>
            <w:tcW w:w="1904" w:type="dxa"/>
            <w:vAlign w:val="center"/>
          </w:tcPr>
          <w:p w14:paraId="62A4445F" w14:textId="77777777" w:rsidR="00BC1A45" w:rsidRDefault="00BC1A45" w:rsidP="00BC1A45">
            <w:pPr>
              <w:rPr>
                <w:b/>
                <w:i/>
              </w:rPr>
            </w:pPr>
          </w:p>
        </w:tc>
      </w:tr>
      <w:tr w:rsidR="00DE47AB" w14:paraId="361A3CF2" w14:textId="77777777" w:rsidTr="00B60999">
        <w:trPr>
          <w:gridAfter w:val="1"/>
          <w:wAfter w:w="50" w:type="dxa"/>
        </w:trPr>
        <w:tc>
          <w:tcPr>
            <w:tcW w:w="1850" w:type="dxa"/>
          </w:tcPr>
          <w:p w14:paraId="5EE859BF" w14:textId="77777777" w:rsidR="00DE47AB" w:rsidRDefault="00DE47AB" w:rsidP="00DD7517">
            <w:pPr>
              <w:spacing w:after="0"/>
            </w:pPr>
            <w:r>
              <w:t>1</w:t>
            </w:r>
            <w:r w:rsidR="00DD7517">
              <w:t>2</w:t>
            </w:r>
            <w:r w:rsidRPr="00004D91">
              <w:t xml:space="preserve"> April 201</w:t>
            </w:r>
            <w:r w:rsidR="00837568">
              <w:t>8</w:t>
            </w:r>
          </w:p>
        </w:tc>
        <w:tc>
          <w:tcPr>
            <w:tcW w:w="1911" w:type="dxa"/>
          </w:tcPr>
          <w:p w14:paraId="12C7E9A7" w14:textId="72A4C146" w:rsidR="00DE47AB" w:rsidRDefault="00DE47AB" w:rsidP="00103628">
            <w:pPr>
              <w:spacing w:after="0"/>
            </w:pPr>
            <w:r>
              <w:t xml:space="preserve">Consultation </w:t>
            </w:r>
            <w:r w:rsidR="00103628">
              <w:t xml:space="preserve">for six weeks </w:t>
            </w:r>
            <w:r>
              <w:t>o</w:t>
            </w:r>
            <w:r w:rsidR="00103628">
              <w:t>n</w:t>
            </w:r>
            <w:r>
              <w:t xml:space="preserve"> the 2017</w:t>
            </w:r>
            <w:r w:rsidR="00103628">
              <w:t>–</w:t>
            </w:r>
            <w:r>
              <w:t>18 draft CRIS—Version 4</w:t>
            </w:r>
            <w:r w:rsidRPr="00004D91">
              <w:t xml:space="preserve">.0 </w:t>
            </w:r>
          </w:p>
        </w:tc>
        <w:tc>
          <w:tcPr>
            <w:tcW w:w="1946" w:type="dxa"/>
          </w:tcPr>
          <w:p w14:paraId="1A5B6969" w14:textId="77777777" w:rsidR="00DE47AB" w:rsidRPr="00F93ACB" w:rsidRDefault="00DE47AB" w:rsidP="00DE47AB">
            <w:pPr>
              <w:spacing w:after="0"/>
            </w:pPr>
            <w:r w:rsidRPr="00004D91">
              <w:t>ACMA Authority</w:t>
            </w:r>
          </w:p>
        </w:tc>
        <w:tc>
          <w:tcPr>
            <w:tcW w:w="1904" w:type="dxa"/>
            <w:vAlign w:val="center"/>
          </w:tcPr>
          <w:p w14:paraId="3FE7AE65" w14:textId="77777777" w:rsidR="00DE47AB" w:rsidRDefault="00DE47AB" w:rsidP="00DE47AB">
            <w:pPr>
              <w:rPr>
                <w:b/>
                <w:i/>
              </w:rPr>
            </w:pPr>
          </w:p>
        </w:tc>
      </w:tr>
      <w:tr w:rsidR="00E704C9" w14:paraId="60AEF0E8" w14:textId="77777777" w:rsidTr="00C9249E">
        <w:trPr>
          <w:gridAfter w:val="1"/>
          <w:wAfter w:w="50" w:type="dxa"/>
        </w:trPr>
        <w:tc>
          <w:tcPr>
            <w:tcW w:w="1850" w:type="dxa"/>
            <w:vAlign w:val="center"/>
          </w:tcPr>
          <w:p w14:paraId="27A0EB1B" w14:textId="77777777" w:rsidR="00E704C9" w:rsidRDefault="002C5439" w:rsidP="00E704C9">
            <w:pPr>
              <w:spacing w:after="0"/>
            </w:pPr>
            <w:r>
              <w:t>17 July</w:t>
            </w:r>
            <w:r w:rsidR="00E704C9">
              <w:t xml:space="preserve"> 2017</w:t>
            </w:r>
          </w:p>
        </w:tc>
        <w:tc>
          <w:tcPr>
            <w:tcW w:w="1911" w:type="dxa"/>
          </w:tcPr>
          <w:p w14:paraId="63682075" w14:textId="35977CA9" w:rsidR="00E704C9" w:rsidRDefault="00E704C9" w:rsidP="00E704C9">
            <w:pPr>
              <w:spacing w:after="0"/>
            </w:pPr>
            <w:r>
              <w:t>Approval of the 2016</w:t>
            </w:r>
            <w:r w:rsidR="00103628">
              <w:t>–</w:t>
            </w:r>
            <w:r>
              <w:t>17 CRIS—Version 3.1</w:t>
            </w:r>
          </w:p>
        </w:tc>
        <w:tc>
          <w:tcPr>
            <w:tcW w:w="1946" w:type="dxa"/>
          </w:tcPr>
          <w:p w14:paraId="2CB20471" w14:textId="77777777" w:rsidR="00E704C9" w:rsidRDefault="00E704C9" w:rsidP="00E704C9">
            <w:pPr>
              <w:spacing w:after="0"/>
            </w:pPr>
            <w:r w:rsidRPr="00F93ACB">
              <w:t>The Minister for Communications and the Arts</w:t>
            </w:r>
          </w:p>
        </w:tc>
        <w:tc>
          <w:tcPr>
            <w:tcW w:w="1904" w:type="dxa"/>
            <w:vAlign w:val="center"/>
          </w:tcPr>
          <w:p w14:paraId="44613805" w14:textId="77777777" w:rsidR="00E704C9" w:rsidRDefault="00E704C9" w:rsidP="00E704C9">
            <w:pPr>
              <w:rPr>
                <w:b/>
                <w:i/>
              </w:rPr>
            </w:pPr>
          </w:p>
        </w:tc>
      </w:tr>
      <w:tr w:rsidR="00E704C9" w14:paraId="6CFA7078" w14:textId="77777777" w:rsidTr="00C9249E">
        <w:trPr>
          <w:gridAfter w:val="1"/>
          <w:wAfter w:w="50" w:type="dxa"/>
        </w:trPr>
        <w:tc>
          <w:tcPr>
            <w:tcW w:w="1850" w:type="dxa"/>
            <w:vAlign w:val="center"/>
          </w:tcPr>
          <w:p w14:paraId="325CCCFF" w14:textId="77777777" w:rsidR="00E704C9" w:rsidRDefault="002C5439" w:rsidP="002C5439">
            <w:pPr>
              <w:spacing w:after="0"/>
            </w:pPr>
            <w:r>
              <w:t>29 June</w:t>
            </w:r>
            <w:r w:rsidR="00E704C9">
              <w:t xml:space="preserve"> 2017</w:t>
            </w:r>
          </w:p>
        </w:tc>
        <w:tc>
          <w:tcPr>
            <w:tcW w:w="1911" w:type="dxa"/>
          </w:tcPr>
          <w:p w14:paraId="2D312EE0" w14:textId="0F963E55" w:rsidR="00E704C9" w:rsidRDefault="00E704C9" w:rsidP="00E704C9">
            <w:pPr>
              <w:spacing w:after="0"/>
            </w:pPr>
            <w:r>
              <w:t>Certification of the 2016</w:t>
            </w:r>
            <w:r w:rsidR="00103628">
              <w:t>–</w:t>
            </w:r>
            <w:r>
              <w:t>17 CRIS—Version 3.1</w:t>
            </w:r>
          </w:p>
        </w:tc>
        <w:tc>
          <w:tcPr>
            <w:tcW w:w="1946" w:type="dxa"/>
          </w:tcPr>
          <w:p w14:paraId="52E011DA" w14:textId="77777777" w:rsidR="00E704C9" w:rsidRDefault="00E704C9" w:rsidP="00E704C9">
            <w:pPr>
              <w:spacing w:after="0"/>
            </w:pPr>
            <w:r w:rsidRPr="00F93ACB">
              <w:t>ACMA Acting Chair</w:t>
            </w:r>
          </w:p>
        </w:tc>
        <w:tc>
          <w:tcPr>
            <w:tcW w:w="1904" w:type="dxa"/>
            <w:vAlign w:val="center"/>
          </w:tcPr>
          <w:p w14:paraId="7919C729" w14:textId="77777777" w:rsidR="00E704C9" w:rsidRDefault="00E704C9" w:rsidP="00E704C9">
            <w:pPr>
              <w:rPr>
                <w:b/>
                <w:i/>
              </w:rPr>
            </w:pPr>
          </w:p>
        </w:tc>
      </w:tr>
      <w:tr w:rsidR="00DE009E" w14:paraId="22D1B6E3" w14:textId="77777777" w:rsidTr="00C9249E">
        <w:trPr>
          <w:gridAfter w:val="1"/>
          <w:wAfter w:w="50" w:type="dxa"/>
        </w:trPr>
        <w:tc>
          <w:tcPr>
            <w:tcW w:w="1850" w:type="dxa"/>
            <w:vAlign w:val="center"/>
          </w:tcPr>
          <w:p w14:paraId="5EB9A01B" w14:textId="77777777" w:rsidR="00DE009E" w:rsidRDefault="00E6490A" w:rsidP="008F7A47">
            <w:pPr>
              <w:spacing w:after="0"/>
            </w:pPr>
            <w:r>
              <w:t>1</w:t>
            </w:r>
            <w:r w:rsidR="008B6B01">
              <w:t>8</w:t>
            </w:r>
            <w:r>
              <w:t xml:space="preserve"> April 2017</w:t>
            </w:r>
          </w:p>
        </w:tc>
        <w:tc>
          <w:tcPr>
            <w:tcW w:w="1911" w:type="dxa"/>
          </w:tcPr>
          <w:p w14:paraId="12401709" w14:textId="7B68C730" w:rsidR="00DE009E" w:rsidRDefault="00E6490A" w:rsidP="00103628">
            <w:pPr>
              <w:spacing w:after="0"/>
            </w:pPr>
            <w:r>
              <w:t>Consultat</w:t>
            </w:r>
            <w:r w:rsidR="00C9249E">
              <w:t xml:space="preserve">ion </w:t>
            </w:r>
            <w:r w:rsidR="00103628">
              <w:t xml:space="preserve">for four weeks </w:t>
            </w:r>
            <w:r w:rsidR="00C9249E">
              <w:t>o</w:t>
            </w:r>
            <w:r w:rsidR="00103628">
              <w:t>n</w:t>
            </w:r>
            <w:r w:rsidR="00C9249E">
              <w:t xml:space="preserve"> the 2016</w:t>
            </w:r>
            <w:r w:rsidR="00103628">
              <w:t>–</w:t>
            </w:r>
            <w:r w:rsidR="00C9249E">
              <w:t>17 draft CRIS—</w:t>
            </w:r>
            <w:r>
              <w:t xml:space="preserve">Version 3.0 </w:t>
            </w:r>
          </w:p>
        </w:tc>
        <w:tc>
          <w:tcPr>
            <w:tcW w:w="1946" w:type="dxa"/>
          </w:tcPr>
          <w:p w14:paraId="3FC064F9" w14:textId="77777777" w:rsidR="00DE009E" w:rsidRPr="005D0BC8" w:rsidRDefault="00E6490A" w:rsidP="008F7A47">
            <w:pPr>
              <w:spacing w:after="0"/>
            </w:pPr>
            <w:r>
              <w:t>ACMA Authority</w:t>
            </w:r>
          </w:p>
        </w:tc>
        <w:tc>
          <w:tcPr>
            <w:tcW w:w="1904" w:type="dxa"/>
            <w:vAlign w:val="center"/>
          </w:tcPr>
          <w:p w14:paraId="52EE80D8" w14:textId="77777777" w:rsidR="00DE009E" w:rsidRDefault="00DE009E" w:rsidP="008F7A47">
            <w:pPr>
              <w:rPr>
                <w:b/>
                <w:i/>
              </w:rPr>
            </w:pPr>
          </w:p>
        </w:tc>
      </w:tr>
      <w:tr w:rsidR="008F7A47" w14:paraId="11F8A2EC" w14:textId="77777777" w:rsidTr="00C9249E">
        <w:trPr>
          <w:gridAfter w:val="1"/>
          <w:wAfter w:w="50" w:type="dxa"/>
        </w:trPr>
        <w:tc>
          <w:tcPr>
            <w:tcW w:w="1850" w:type="dxa"/>
            <w:vAlign w:val="center"/>
          </w:tcPr>
          <w:p w14:paraId="6261E2D4" w14:textId="77777777" w:rsidR="008F7A47" w:rsidRDefault="000B304E" w:rsidP="008F7A47">
            <w:pPr>
              <w:spacing w:after="0"/>
            </w:pPr>
            <w:r>
              <w:t xml:space="preserve">30 </w:t>
            </w:r>
            <w:r w:rsidR="008F7A47">
              <w:t>May 2016</w:t>
            </w:r>
          </w:p>
        </w:tc>
        <w:tc>
          <w:tcPr>
            <w:tcW w:w="1911" w:type="dxa"/>
          </w:tcPr>
          <w:p w14:paraId="6047B9FA" w14:textId="3A0A3EB4" w:rsidR="008F7A47" w:rsidRPr="005D0BC8" w:rsidRDefault="008F7A47" w:rsidP="0023358A">
            <w:pPr>
              <w:spacing w:after="0"/>
            </w:pPr>
            <w:r>
              <w:t>Approval of the 2015</w:t>
            </w:r>
            <w:r w:rsidR="00103628">
              <w:t>–</w:t>
            </w:r>
            <w:r>
              <w:t>16 CRIS</w:t>
            </w:r>
            <w:r w:rsidR="0023358A">
              <w:t>—</w:t>
            </w:r>
            <w:r w:rsidR="00076712">
              <w:t>Version 2.0</w:t>
            </w:r>
          </w:p>
        </w:tc>
        <w:tc>
          <w:tcPr>
            <w:tcW w:w="1946" w:type="dxa"/>
          </w:tcPr>
          <w:p w14:paraId="3AB6994B" w14:textId="77777777" w:rsidR="008F7A47" w:rsidRPr="005D0BC8" w:rsidRDefault="008F7A47" w:rsidP="008F7A47">
            <w:pPr>
              <w:spacing w:after="0"/>
            </w:pPr>
            <w:r w:rsidRPr="005D0BC8">
              <w:t>The Minister for Communications</w:t>
            </w:r>
            <w:r>
              <w:t xml:space="preserve"> and the Arts</w:t>
            </w:r>
          </w:p>
        </w:tc>
        <w:tc>
          <w:tcPr>
            <w:tcW w:w="1904" w:type="dxa"/>
            <w:vAlign w:val="center"/>
          </w:tcPr>
          <w:p w14:paraId="0A239430" w14:textId="77777777" w:rsidR="008F7A47" w:rsidRDefault="008F7A47" w:rsidP="008F7A47">
            <w:pPr>
              <w:rPr>
                <w:b/>
                <w:i/>
              </w:rPr>
            </w:pPr>
          </w:p>
        </w:tc>
      </w:tr>
      <w:tr w:rsidR="00295E8B" w14:paraId="35B34520" w14:textId="77777777" w:rsidTr="00C9249E">
        <w:trPr>
          <w:gridAfter w:val="1"/>
          <w:wAfter w:w="50" w:type="dxa"/>
        </w:trPr>
        <w:tc>
          <w:tcPr>
            <w:tcW w:w="1850" w:type="dxa"/>
            <w:vAlign w:val="center"/>
          </w:tcPr>
          <w:p w14:paraId="0A8EF508" w14:textId="77777777" w:rsidR="00295E8B" w:rsidRDefault="000B304E" w:rsidP="00295E8B">
            <w:pPr>
              <w:spacing w:after="0"/>
            </w:pPr>
            <w:r>
              <w:t xml:space="preserve">18 </w:t>
            </w:r>
            <w:r w:rsidR="00F65B5E">
              <w:t>May</w:t>
            </w:r>
            <w:r w:rsidR="00295E8B">
              <w:t xml:space="preserve"> 2016</w:t>
            </w:r>
          </w:p>
        </w:tc>
        <w:tc>
          <w:tcPr>
            <w:tcW w:w="1911" w:type="dxa"/>
          </w:tcPr>
          <w:p w14:paraId="295AD759" w14:textId="36145FC0" w:rsidR="00295E8B" w:rsidRPr="005D0BC8" w:rsidRDefault="00295E8B" w:rsidP="0023358A">
            <w:pPr>
              <w:spacing w:after="0"/>
            </w:pPr>
            <w:r w:rsidRPr="005D0BC8">
              <w:t xml:space="preserve">Certification of the </w:t>
            </w:r>
            <w:r>
              <w:t>2015</w:t>
            </w:r>
            <w:r w:rsidR="00103628">
              <w:t>–</w:t>
            </w:r>
            <w:r>
              <w:t xml:space="preserve">16 </w:t>
            </w:r>
            <w:r w:rsidRPr="005D0BC8">
              <w:t>CRIS</w:t>
            </w:r>
            <w:r w:rsidR="0023358A">
              <w:t>—</w:t>
            </w:r>
            <w:r w:rsidR="00076712">
              <w:t>Version 2.0</w:t>
            </w:r>
          </w:p>
        </w:tc>
        <w:tc>
          <w:tcPr>
            <w:tcW w:w="1946" w:type="dxa"/>
          </w:tcPr>
          <w:p w14:paraId="1D0447F4" w14:textId="77777777" w:rsidR="00295E8B" w:rsidRPr="005D0BC8" w:rsidRDefault="00295E8B" w:rsidP="0023358A">
            <w:pPr>
              <w:spacing w:after="0"/>
            </w:pPr>
            <w:r w:rsidRPr="005D0BC8">
              <w:t xml:space="preserve">ACMA </w:t>
            </w:r>
            <w:r>
              <w:t>A</w:t>
            </w:r>
            <w:r w:rsidR="0023358A">
              <w:t>cting</w:t>
            </w:r>
            <w:r>
              <w:t xml:space="preserve"> </w:t>
            </w:r>
            <w:r w:rsidRPr="005D0BC8">
              <w:t>C</w:t>
            </w:r>
            <w:r w:rsidR="00F65B5E">
              <w:t>hair</w:t>
            </w:r>
          </w:p>
        </w:tc>
        <w:tc>
          <w:tcPr>
            <w:tcW w:w="1904" w:type="dxa"/>
            <w:vAlign w:val="center"/>
          </w:tcPr>
          <w:p w14:paraId="48490E38" w14:textId="77777777" w:rsidR="00295E8B" w:rsidRDefault="00295E8B" w:rsidP="00295E8B">
            <w:pPr>
              <w:rPr>
                <w:b/>
                <w:i/>
              </w:rPr>
            </w:pPr>
          </w:p>
        </w:tc>
      </w:tr>
      <w:tr w:rsidR="00295E8B" w14:paraId="14DAE079" w14:textId="77777777" w:rsidTr="00C9249E">
        <w:trPr>
          <w:gridAfter w:val="1"/>
          <w:wAfter w:w="50" w:type="dxa"/>
        </w:trPr>
        <w:tc>
          <w:tcPr>
            <w:tcW w:w="1850" w:type="dxa"/>
            <w:vAlign w:val="center"/>
          </w:tcPr>
          <w:p w14:paraId="396F9ABE" w14:textId="77777777" w:rsidR="00295E8B" w:rsidRDefault="00295E8B" w:rsidP="00295E8B">
            <w:pPr>
              <w:spacing w:after="0"/>
            </w:pPr>
            <w:r>
              <w:t>24 June 2015</w:t>
            </w:r>
          </w:p>
        </w:tc>
        <w:tc>
          <w:tcPr>
            <w:tcW w:w="1911" w:type="dxa"/>
          </w:tcPr>
          <w:p w14:paraId="099034C2" w14:textId="46AA12DB" w:rsidR="00295E8B" w:rsidRPr="005D0BC8" w:rsidRDefault="00295E8B" w:rsidP="0023358A">
            <w:pPr>
              <w:spacing w:after="0"/>
            </w:pPr>
            <w:r w:rsidRPr="005D0BC8">
              <w:t>A</w:t>
            </w:r>
            <w:r>
              <w:t>pproval</w:t>
            </w:r>
            <w:r w:rsidRPr="005D0BC8">
              <w:t xml:space="preserve"> o</w:t>
            </w:r>
            <w:r>
              <w:t>f</w:t>
            </w:r>
            <w:r w:rsidRPr="005D0BC8">
              <w:t xml:space="preserve"> the </w:t>
            </w:r>
            <w:r>
              <w:t>2014</w:t>
            </w:r>
            <w:r w:rsidR="00103628">
              <w:t>–</w:t>
            </w:r>
            <w:r>
              <w:t xml:space="preserve">15 </w:t>
            </w:r>
            <w:r w:rsidRPr="005D0BC8">
              <w:t>CRIS</w:t>
            </w:r>
            <w:r w:rsidR="0023358A">
              <w:t>—</w:t>
            </w:r>
            <w:r w:rsidR="00076712">
              <w:t>Version 1.0</w:t>
            </w:r>
          </w:p>
        </w:tc>
        <w:tc>
          <w:tcPr>
            <w:tcW w:w="1946" w:type="dxa"/>
          </w:tcPr>
          <w:p w14:paraId="7C449FC2" w14:textId="77777777" w:rsidR="00295E8B" w:rsidRPr="005D0BC8" w:rsidRDefault="00295E8B" w:rsidP="00295E8B">
            <w:pPr>
              <w:spacing w:after="0"/>
            </w:pPr>
            <w:r w:rsidRPr="005D0BC8">
              <w:t>The Minister for Communications</w:t>
            </w:r>
          </w:p>
        </w:tc>
        <w:tc>
          <w:tcPr>
            <w:tcW w:w="1904" w:type="dxa"/>
            <w:vAlign w:val="center"/>
          </w:tcPr>
          <w:p w14:paraId="6FB1D8E6" w14:textId="77777777" w:rsidR="00295E8B" w:rsidRDefault="00295E8B" w:rsidP="00295E8B">
            <w:pPr>
              <w:rPr>
                <w:b/>
                <w:i/>
              </w:rPr>
            </w:pPr>
          </w:p>
        </w:tc>
      </w:tr>
      <w:tr w:rsidR="008F7A47" w14:paraId="011DEA11" w14:textId="77777777" w:rsidTr="00C9249E">
        <w:trPr>
          <w:gridAfter w:val="1"/>
          <w:wAfter w:w="50" w:type="dxa"/>
        </w:trPr>
        <w:tc>
          <w:tcPr>
            <w:tcW w:w="1850" w:type="dxa"/>
            <w:vAlign w:val="center"/>
          </w:tcPr>
          <w:p w14:paraId="2BE2519B" w14:textId="77777777" w:rsidR="008F7A47" w:rsidRDefault="008F7A47" w:rsidP="008F7A47">
            <w:pPr>
              <w:spacing w:after="0"/>
              <w:rPr>
                <w:b/>
                <w:i/>
              </w:rPr>
            </w:pPr>
            <w:r>
              <w:t>29 May 2015</w:t>
            </w:r>
          </w:p>
        </w:tc>
        <w:tc>
          <w:tcPr>
            <w:tcW w:w="1911" w:type="dxa"/>
          </w:tcPr>
          <w:p w14:paraId="2461845F" w14:textId="05A227B1" w:rsidR="008F7A47" w:rsidRDefault="008F7A47" w:rsidP="0023358A">
            <w:pPr>
              <w:spacing w:after="0"/>
              <w:rPr>
                <w:b/>
                <w:i/>
              </w:rPr>
            </w:pPr>
            <w:r w:rsidRPr="005D0BC8">
              <w:t xml:space="preserve">Certification of the </w:t>
            </w:r>
            <w:r>
              <w:t>2014</w:t>
            </w:r>
            <w:r w:rsidR="00103628">
              <w:t>–</w:t>
            </w:r>
            <w:r>
              <w:t xml:space="preserve">15 </w:t>
            </w:r>
            <w:r w:rsidRPr="005D0BC8">
              <w:t>CRIS</w:t>
            </w:r>
            <w:r w:rsidR="0023358A">
              <w:t>—</w:t>
            </w:r>
            <w:r w:rsidR="00076712">
              <w:t>Version 1.0</w:t>
            </w:r>
          </w:p>
        </w:tc>
        <w:tc>
          <w:tcPr>
            <w:tcW w:w="1946" w:type="dxa"/>
          </w:tcPr>
          <w:p w14:paraId="4C1FFAEA" w14:textId="77777777" w:rsidR="008F7A47" w:rsidRDefault="008F7A47" w:rsidP="008F7A47">
            <w:pPr>
              <w:spacing w:after="0"/>
              <w:rPr>
                <w:b/>
                <w:i/>
              </w:rPr>
            </w:pPr>
            <w:r w:rsidRPr="005D0BC8">
              <w:t>ACMA C</w:t>
            </w:r>
            <w:r w:rsidR="00F65B5E">
              <w:t>hair</w:t>
            </w:r>
          </w:p>
        </w:tc>
        <w:tc>
          <w:tcPr>
            <w:tcW w:w="1904" w:type="dxa"/>
            <w:vAlign w:val="center"/>
          </w:tcPr>
          <w:p w14:paraId="01E9CB03" w14:textId="77777777" w:rsidR="008F7A47" w:rsidRDefault="008F7A47" w:rsidP="008F7A47">
            <w:pPr>
              <w:rPr>
                <w:b/>
                <w:i/>
              </w:rPr>
            </w:pPr>
          </w:p>
        </w:tc>
      </w:tr>
    </w:tbl>
    <w:p w14:paraId="73A93596" w14:textId="77777777" w:rsidR="009E783D" w:rsidRPr="00242066" w:rsidRDefault="009E783D" w:rsidP="00E50A27">
      <w:pPr>
        <w:pStyle w:val="ACMASpaceaftertable"/>
      </w:pPr>
    </w:p>
    <w:p w14:paraId="1EAADB56" w14:textId="20F0F2E7" w:rsidR="00623154" w:rsidRDefault="00623154" w:rsidP="00295E8B">
      <w:pPr>
        <w:pStyle w:val="ACMABodyText"/>
        <w:tabs>
          <w:tab w:val="left" w:pos="1843"/>
        </w:tabs>
        <w:spacing w:after="80"/>
        <w:ind w:right="-142"/>
        <w:rPr>
          <w:rFonts w:cs="Arial"/>
          <w:sz w:val="20"/>
          <w:szCs w:val="20"/>
        </w:rPr>
      </w:pPr>
    </w:p>
    <w:p w14:paraId="1BAD2904" w14:textId="37067C47" w:rsidR="009E783D" w:rsidRPr="007336F4" w:rsidRDefault="009E783D" w:rsidP="009E783D">
      <w:pPr>
        <w:pStyle w:val="Heading1"/>
        <w:ind w:right="-142"/>
      </w:pPr>
      <w:bookmarkStart w:id="137" w:name="_Toc385256327"/>
      <w:bookmarkStart w:id="138" w:name="_Toc417990972"/>
      <w:bookmarkStart w:id="139" w:name="_Toc511634415"/>
      <w:bookmarkStart w:id="140" w:name="_Toc532543422"/>
      <w:r w:rsidRPr="007336F4">
        <w:t xml:space="preserve">Attachment </w:t>
      </w:r>
      <w:bookmarkEnd w:id="137"/>
      <w:bookmarkEnd w:id="138"/>
      <w:r w:rsidR="00F773AA">
        <w:t>A</w:t>
      </w:r>
      <w:r w:rsidR="009E3A91">
        <w:t xml:space="preserve">: </w:t>
      </w:r>
      <w:r w:rsidR="00120B54" w:rsidRPr="00120B54">
        <w:t>Telecommunications activities not included in the ACLC</w:t>
      </w:r>
      <w:bookmarkEnd w:id="139"/>
      <w:bookmarkEnd w:id="140"/>
    </w:p>
    <w:p w14:paraId="16023589" w14:textId="77777777" w:rsidR="009E783D" w:rsidRPr="001B69DC" w:rsidRDefault="009E783D" w:rsidP="00D567BE">
      <w:pPr>
        <w:pStyle w:val="Bodysubheader0"/>
      </w:pPr>
      <w:proofErr w:type="spellStart"/>
      <w:r w:rsidRPr="001B69DC">
        <w:t>Smartnumber</w:t>
      </w:r>
      <w:proofErr w:type="spellEnd"/>
      <w:r w:rsidRPr="001B69DC">
        <w:t xml:space="preserve"> a</w:t>
      </w:r>
      <w:r w:rsidR="00E704C9">
        <w:t>llo</w:t>
      </w:r>
      <w:r w:rsidRPr="001B69DC">
        <w:t>c</w:t>
      </w:r>
      <w:r w:rsidR="00E704C9">
        <w:t>a</w:t>
      </w:r>
      <w:r w:rsidRPr="001B69DC">
        <w:t>tion activities</w:t>
      </w:r>
    </w:p>
    <w:p w14:paraId="6DCC811D" w14:textId="77777777" w:rsidR="009E783D" w:rsidRPr="00C320F6" w:rsidRDefault="009E783D" w:rsidP="00D567BE">
      <w:bookmarkStart w:id="141" w:name="_Toc260128306"/>
      <w:bookmarkStart w:id="142" w:name="_Toc261431675"/>
      <w:bookmarkStart w:id="143" w:name="_Toc261431807"/>
      <w:bookmarkStart w:id="144" w:name="_Toc316465912"/>
      <w:r w:rsidRPr="00C320F6">
        <w:t xml:space="preserve">The costs associated with </w:t>
      </w:r>
      <w:r w:rsidR="00E704C9">
        <w:t xml:space="preserve">the allocation of </w:t>
      </w:r>
      <w:proofErr w:type="spellStart"/>
      <w:r w:rsidR="00E704C9">
        <w:t>smart</w:t>
      </w:r>
      <w:r w:rsidRPr="00C320F6">
        <w:t>numbers</w:t>
      </w:r>
      <w:proofErr w:type="spellEnd"/>
      <w:r w:rsidRPr="00C320F6">
        <w:t xml:space="preserve"> </w:t>
      </w:r>
      <w:r w:rsidR="00E704C9">
        <w:t xml:space="preserve">in the numbering </w:t>
      </w:r>
      <w:r w:rsidRPr="00C320F6">
        <w:t xml:space="preserve">system are not recovered from industry on the basis that costs would be offset by </w:t>
      </w:r>
      <w:r w:rsidR="00E704C9">
        <w:t>allocation</w:t>
      </w:r>
      <w:r w:rsidRPr="00C320F6">
        <w:t xml:space="preserve"> proceeds</w:t>
      </w:r>
      <w:bookmarkEnd w:id="141"/>
      <w:bookmarkEnd w:id="142"/>
      <w:bookmarkEnd w:id="143"/>
      <w:r w:rsidRPr="00C320F6">
        <w:t xml:space="preserve">, except for a </w:t>
      </w:r>
      <w:r w:rsidR="00E704C9">
        <w:t>registration</w:t>
      </w:r>
      <w:r w:rsidRPr="00C320F6">
        <w:t xml:space="preserve"> charge</w:t>
      </w:r>
      <w:r w:rsidR="00FE0CE7">
        <w:t>,</w:t>
      </w:r>
      <w:r w:rsidRPr="00C320F6">
        <w:t xml:space="preserve"> </w:t>
      </w:r>
      <w:r w:rsidR="00FE0CE7">
        <w:t xml:space="preserve">which </w:t>
      </w:r>
      <w:r w:rsidRPr="00C320F6">
        <w:t>is cost recovered on a fee basis</w:t>
      </w:r>
      <w:r w:rsidR="00FE0CE7">
        <w:t xml:space="preserve"> for the use of the numbering system</w:t>
      </w:r>
      <w:r w:rsidRPr="00C320F6">
        <w:t>.</w:t>
      </w:r>
      <w:bookmarkEnd w:id="144"/>
    </w:p>
    <w:p w14:paraId="59822627" w14:textId="77777777" w:rsidR="009E783D" w:rsidRPr="001B69DC" w:rsidRDefault="009E783D" w:rsidP="00D567BE">
      <w:pPr>
        <w:pStyle w:val="Bodysubheader0"/>
        <w:rPr>
          <w:rFonts w:cs="Arial"/>
          <w:i w:val="0"/>
          <w:u w:val="single"/>
        </w:rPr>
      </w:pPr>
      <w:r w:rsidRPr="00D567BE">
        <w:t>Spam and e-security activities</w:t>
      </w:r>
    </w:p>
    <w:p w14:paraId="70FE804E" w14:textId="77777777" w:rsidR="009E783D" w:rsidRPr="00C320F6" w:rsidRDefault="009E783D" w:rsidP="007B57F4">
      <w:bookmarkStart w:id="145" w:name="_Toc260128307"/>
      <w:bookmarkStart w:id="146" w:name="_Toc261431676"/>
      <w:bookmarkStart w:id="147" w:name="_Toc261431808"/>
      <w:bookmarkStart w:id="148" w:name="_Toc316465913"/>
      <w:r w:rsidRPr="00C320F6">
        <w:t xml:space="preserve">These activities include anti-spam activities carried out in accordance with the </w:t>
      </w:r>
      <w:r w:rsidRPr="000E0EFD">
        <w:rPr>
          <w:i/>
        </w:rPr>
        <w:t>Spam Act 2003</w:t>
      </w:r>
      <w:r w:rsidRPr="00C320F6">
        <w:t xml:space="preserve"> and e-security </w:t>
      </w:r>
      <w:r w:rsidRPr="00D567BE">
        <w:t>activities</w:t>
      </w:r>
      <w:r w:rsidRPr="00C320F6">
        <w:t xml:space="preserve">. The costs associated with these activities are considered not appropriate to recover from the telecommunications </w:t>
      </w:r>
      <w:r w:rsidR="008F54DA" w:rsidRPr="00C320F6">
        <w:t>carriers,</w:t>
      </w:r>
      <w:r w:rsidRPr="00C320F6">
        <w:t xml:space="preserve"> as the direct beneficiaries are the members of the public. </w:t>
      </w:r>
      <w:bookmarkEnd w:id="145"/>
      <w:bookmarkEnd w:id="146"/>
      <w:bookmarkEnd w:id="147"/>
      <w:bookmarkEnd w:id="148"/>
    </w:p>
    <w:p w14:paraId="6E8D1DE1" w14:textId="77777777" w:rsidR="009E783D" w:rsidRPr="00D567BE" w:rsidRDefault="009E783D" w:rsidP="00D567BE">
      <w:pPr>
        <w:pStyle w:val="Bodysubheader0"/>
      </w:pPr>
      <w:r w:rsidRPr="00D567BE">
        <w:t>Do Not Call Register and telemarketing related activities</w:t>
      </w:r>
    </w:p>
    <w:p w14:paraId="36C03028" w14:textId="77777777" w:rsidR="009E783D" w:rsidRPr="00D567BE" w:rsidRDefault="009E783D" w:rsidP="00D567BE">
      <w:pPr>
        <w:rPr>
          <w:rFonts w:cs="Arial"/>
        </w:rPr>
      </w:pPr>
      <w:r w:rsidRPr="00D567BE">
        <w:rPr>
          <w:rFonts w:cs="Arial"/>
        </w:rPr>
        <w:t xml:space="preserve">In accordance with subsection 15(4) of </w:t>
      </w:r>
      <w:r w:rsidRPr="00817409">
        <w:rPr>
          <w:rFonts w:cs="Arial"/>
        </w:rPr>
        <w:t>the</w:t>
      </w:r>
      <w:r w:rsidR="00EB5D8C">
        <w:rPr>
          <w:rFonts w:cs="Arial"/>
        </w:rPr>
        <w:t xml:space="preserve"> Act</w:t>
      </w:r>
      <w:r w:rsidRPr="00817409">
        <w:rPr>
          <w:rFonts w:cs="Arial"/>
        </w:rPr>
        <w:t xml:space="preserve">, the activities conducted under the </w:t>
      </w:r>
      <w:r w:rsidRPr="00391111">
        <w:rPr>
          <w:rFonts w:cs="Arial"/>
        </w:rPr>
        <w:t>Do Not Call Register Act</w:t>
      </w:r>
      <w:r w:rsidRPr="00817409">
        <w:rPr>
          <w:rFonts w:cs="Arial"/>
        </w:rPr>
        <w:t xml:space="preserve"> and the </w:t>
      </w:r>
      <w:r w:rsidR="009B7744" w:rsidRPr="00391111">
        <w:rPr>
          <w:rFonts w:cs="Arial"/>
        </w:rPr>
        <w:t>Telco Act</w:t>
      </w:r>
      <w:r w:rsidR="00B327BF" w:rsidRPr="00817409">
        <w:rPr>
          <w:rFonts w:cs="Arial"/>
        </w:rPr>
        <w:t>,</w:t>
      </w:r>
      <w:r w:rsidRPr="00D567BE">
        <w:rPr>
          <w:rFonts w:cs="Arial"/>
        </w:rPr>
        <w:t xml:space="preserve"> to the extent that they relate to telemarketing</w:t>
      </w:r>
      <w:r w:rsidR="00B327BF">
        <w:rPr>
          <w:rFonts w:cs="Arial"/>
        </w:rPr>
        <w:t>,</w:t>
      </w:r>
      <w:r w:rsidRPr="00D567BE">
        <w:rPr>
          <w:rFonts w:cs="Arial"/>
        </w:rPr>
        <w:t xml:space="preserve"> do not form part of </w:t>
      </w:r>
      <w:r w:rsidRPr="00D567BE">
        <w:t>the</w:t>
      </w:r>
      <w:r w:rsidRPr="00D567BE">
        <w:rPr>
          <w:rFonts w:cs="Arial"/>
        </w:rPr>
        <w:t xml:space="preserve"> ACMA’s telecommu</w:t>
      </w:r>
      <w:r w:rsidR="00D567BE">
        <w:rPr>
          <w:rFonts w:cs="Arial"/>
        </w:rPr>
        <w:t>nications functions and powers.</w:t>
      </w:r>
    </w:p>
    <w:p w14:paraId="06044C45" w14:textId="77777777" w:rsidR="009E783D" w:rsidRPr="00D567BE" w:rsidRDefault="009E783D" w:rsidP="00D567BE">
      <w:pPr>
        <w:pStyle w:val="Bodysubheader0"/>
      </w:pPr>
      <w:r w:rsidRPr="00D567BE">
        <w:t>Public information activities</w:t>
      </w:r>
    </w:p>
    <w:p w14:paraId="6DEEAF75" w14:textId="77777777" w:rsidR="009E783D" w:rsidRPr="00D567BE" w:rsidRDefault="009E783D" w:rsidP="00D567BE">
      <w:pPr>
        <w:rPr>
          <w:rFonts w:cs="Arial"/>
        </w:rPr>
      </w:pPr>
      <w:r w:rsidRPr="00D567BE">
        <w:rPr>
          <w:rFonts w:cs="Arial"/>
        </w:rPr>
        <w:t>These activities include the production of information for the public on consumer awareness. The costs of these activities are considered to be more appropriately met through budget funding.</w:t>
      </w:r>
      <w:r w:rsidR="00D567BE">
        <w:rPr>
          <w:rFonts w:cs="Arial"/>
        </w:rPr>
        <w:t xml:space="preserve">  </w:t>
      </w:r>
    </w:p>
    <w:p w14:paraId="78CE04C6" w14:textId="77777777" w:rsidR="009E783D" w:rsidRPr="00D567BE" w:rsidRDefault="009E783D" w:rsidP="00D567BE">
      <w:pPr>
        <w:pStyle w:val="Bodysubheader0"/>
      </w:pPr>
      <w:r w:rsidRPr="00D567BE">
        <w:t>Other telecommunications activities</w:t>
      </w:r>
    </w:p>
    <w:p w14:paraId="129A2814" w14:textId="77777777" w:rsidR="009E783D" w:rsidRPr="00C320F6" w:rsidRDefault="009E783D" w:rsidP="009E783D">
      <w:pPr>
        <w:pStyle w:val="BodyText"/>
        <w:spacing w:after="80" w:line="240" w:lineRule="atLeast"/>
        <w:ind w:right="-142"/>
        <w:rPr>
          <w:rFonts w:cs="Arial"/>
          <w:i w:val="0"/>
          <w:color w:val="auto"/>
        </w:rPr>
      </w:pPr>
      <w:r w:rsidRPr="00C320F6">
        <w:rPr>
          <w:rFonts w:cs="Arial"/>
          <w:i w:val="0"/>
          <w:color w:val="auto"/>
        </w:rPr>
        <w:t>The following activities are delivered on a fee</w:t>
      </w:r>
      <w:r>
        <w:rPr>
          <w:rFonts w:cs="Arial"/>
          <w:i w:val="0"/>
          <w:color w:val="auto"/>
        </w:rPr>
        <w:t>-</w:t>
      </w:r>
      <w:r w:rsidRPr="00C320F6">
        <w:rPr>
          <w:rFonts w:cs="Arial"/>
          <w:i w:val="0"/>
          <w:color w:val="auto"/>
        </w:rPr>
        <w:t>for</w:t>
      </w:r>
      <w:r>
        <w:rPr>
          <w:rFonts w:cs="Arial"/>
          <w:i w:val="0"/>
          <w:color w:val="auto"/>
        </w:rPr>
        <w:t>-</w:t>
      </w:r>
      <w:r w:rsidRPr="00C320F6">
        <w:rPr>
          <w:rFonts w:cs="Arial"/>
          <w:i w:val="0"/>
          <w:color w:val="auto"/>
        </w:rPr>
        <w:t>service basis</w:t>
      </w:r>
      <w:r>
        <w:rPr>
          <w:rFonts w:cs="Arial"/>
          <w:i w:val="0"/>
          <w:color w:val="auto"/>
        </w:rPr>
        <w:t>:</w:t>
      </w:r>
    </w:p>
    <w:p w14:paraId="3F003C64" w14:textId="77777777" w:rsidR="009E783D" w:rsidRDefault="009E783D" w:rsidP="00D567BE">
      <w:pPr>
        <w:pStyle w:val="ListBullet"/>
      </w:pPr>
      <w:r>
        <w:t>c</w:t>
      </w:r>
      <w:r w:rsidRPr="00C320F6">
        <w:t xml:space="preserve">arrier </w:t>
      </w:r>
      <w:r>
        <w:t>l</w:t>
      </w:r>
      <w:r w:rsidRPr="00C320F6">
        <w:t xml:space="preserve">icence </w:t>
      </w:r>
      <w:r>
        <w:t>a</w:t>
      </w:r>
      <w:r w:rsidRPr="00C320F6">
        <w:t>pplications</w:t>
      </w:r>
    </w:p>
    <w:p w14:paraId="071999DB" w14:textId="77777777" w:rsidR="009E783D" w:rsidRDefault="009E783D" w:rsidP="00D567BE">
      <w:pPr>
        <w:pStyle w:val="ListBullet"/>
      </w:pPr>
      <w:r>
        <w:t>n</w:t>
      </w:r>
      <w:r w:rsidRPr="00C320F6">
        <w:t xml:space="preserve">ominated </w:t>
      </w:r>
      <w:r>
        <w:t>c</w:t>
      </w:r>
      <w:r w:rsidRPr="00C320F6">
        <w:t xml:space="preserve">arrier </w:t>
      </w:r>
      <w:r>
        <w:t>d</w:t>
      </w:r>
      <w:r w:rsidRPr="00C320F6">
        <w:t xml:space="preserve">eclaration </w:t>
      </w:r>
      <w:r>
        <w:t>l</w:t>
      </w:r>
      <w:r w:rsidRPr="00C320F6">
        <w:t xml:space="preserve">icence </w:t>
      </w:r>
      <w:r>
        <w:t>a</w:t>
      </w:r>
      <w:r w:rsidRPr="00C320F6">
        <w:t>pplications</w:t>
      </w:r>
    </w:p>
    <w:p w14:paraId="7C300BA5" w14:textId="77777777" w:rsidR="009E783D" w:rsidRDefault="009E783D" w:rsidP="00D567BE">
      <w:pPr>
        <w:pStyle w:val="ListBullet"/>
      </w:pPr>
      <w:r>
        <w:t>n</w:t>
      </w:r>
      <w:r w:rsidRPr="00C320F6">
        <w:t xml:space="preserve">umbering </w:t>
      </w:r>
      <w:r>
        <w:t>a</w:t>
      </w:r>
      <w:r w:rsidRPr="00C320F6">
        <w:t>pplications</w:t>
      </w:r>
    </w:p>
    <w:p w14:paraId="5A3BB5C5" w14:textId="77777777" w:rsidR="009E783D" w:rsidRDefault="009E783D" w:rsidP="00B327BF">
      <w:pPr>
        <w:pStyle w:val="ListBullet"/>
      </w:pPr>
      <w:r w:rsidRPr="00B327BF">
        <w:t>submarine</w:t>
      </w:r>
      <w:r w:rsidRPr="00C320F6">
        <w:t xml:space="preserve"> </w:t>
      </w:r>
      <w:r>
        <w:t>c</w:t>
      </w:r>
      <w:r w:rsidRPr="00C320F6">
        <w:t xml:space="preserve">able </w:t>
      </w:r>
      <w:r>
        <w:t>i</w:t>
      </w:r>
      <w:r w:rsidRPr="00C320F6">
        <w:t xml:space="preserve">nstallation </w:t>
      </w:r>
      <w:r>
        <w:t>p</w:t>
      </w:r>
      <w:r w:rsidRPr="00C320F6">
        <w:t xml:space="preserve">ermit </w:t>
      </w:r>
      <w:r>
        <w:t>a</w:t>
      </w:r>
      <w:r w:rsidRPr="00C320F6">
        <w:t>pplications</w:t>
      </w:r>
    </w:p>
    <w:p w14:paraId="3FA95E96" w14:textId="7755104B" w:rsidR="005333EC" w:rsidRDefault="009E783D" w:rsidP="00F34021">
      <w:pPr>
        <w:pStyle w:val="ListBulletLast"/>
      </w:pPr>
      <w:r>
        <w:t>c</w:t>
      </w:r>
      <w:r w:rsidRPr="00C320F6">
        <w:t xml:space="preserve">onnection </w:t>
      </w:r>
      <w:r>
        <w:t>p</w:t>
      </w:r>
      <w:r w:rsidRPr="00C320F6">
        <w:t xml:space="preserve">ermit </w:t>
      </w:r>
      <w:r>
        <w:t>a</w:t>
      </w:r>
      <w:r w:rsidRPr="00C320F6">
        <w:t>pplications.</w:t>
      </w:r>
    </w:p>
    <w:p w14:paraId="491B1F71" w14:textId="7E2CC726" w:rsidR="009E3A91" w:rsidRDefault="009E3A91" w:rsidP="009E3A91">
      <w:pPr>
        <w:pStyle w:val="Heading1"/>
      </w:pPr>
      <w:bookmarkStart w:id="149" w:name="_Toc511634416"/>
      <w:bookmarkStart w:id="150" w:name="_Toc532543423"/>
      <w:r>
        <w:t>Attachment B:</w:t>
      </w:r>
      <w:r>
        <w:br/>
        <w:t>Cost Recovery Implementation Statement—Addendum</w:t>
      </w:r>
      <w:r w:rsidR="00D52B96">
        <w:t>:</w:t>
      </w:r>
      <w:r>
        <w:br/>
        <w:t>Measuring Broadband Australia program</w:t>
      </w:r>
      <w:bookmarkEnd w:id="149"/>
      <w:bookmarkEnd w:id="150"/>
    </w:p>
    <w:p w14:paraId="36A38921" w14:textId="77777777" w:rsidR="009E3A91" w:rsidRPr="00CC3F4B" w:rsidRDefault="009E3A91" w:rsidP="009E3A91">
      <w:pPr>
        <w:pStyle w:val="Heading1"/>
      </w:pPr>
      <w:bookmarkStart w:id="151" w:name="_Toc511294482"/>
      <w:bookmarkStart w:id="152" w:name="_Toc511634417"/>
      <w:bookmarkStart w:id="153" w:name="_Toc532543424"/>
      <w:r w:rsidRPr="00CC3F4B">
        <w:t xml:space="preserve">1. </w:t>
      </w:r>
      <w:r w:rsidRPr="00CC3F4B">
        <w:tab/>
      </w:r>
      <w:r w:rsidRPr="00863C10">
        <w:t>Introduction</w:t>
      </w:r>
      <w:bookmarkEnd w:id="151"/>
      <w:bookmarkEnd w:id="152"/>
      <w:bookmarkEnd w:id="153"/>
    </w:p>
    <w:p w14:paraId="3AD092A0" w14:textId="77777777" w:rsidR="009E3A91" w:rsidRPr="00EA3B0D" w:rsidRDefault="009E3A91" w:rsidP="009E3A91">
      <w:pPr>
        <w:pStyle w:val="Heading2"/>
      </w:pPr>
      <w:bookmarkStart w:id="154" w:name="_Toc511294483"/>
      <w:bookmarkStart w:id="155" w:name="_Toc511634418"/>
      <w:bookmarkStart w:id="156" w:name="_Toc532543425"/>
      <w:r w:rsidRPr="00EA3B0D">
        <w:t xml:space="preserve">1.1 </w:t>
      </w:r>
      <w:r w:rsidRPr="00EA3B0D">
        <w:tab/>
        <w:t>Purpose of the Cost Recovery Implementation Statement</w:t>
      </w:r>
      <w:bookmarkEnd w:id="154"/>
      <w:bookmarkEnd w:id="155"/>
      <w:bookmarkEnd w:id="156"/>
    </w:p>
    <w:p w14:paraId="6E95E395" w14:textId="77777777" w:rsidR="009E3A91" w:rsidRDefault="009E3A91" w:rsidP="009E3A91">
      <w:r>
        <w:t xml:space="preserve">This addendum to the annual carrier licence charge (ACLC) cost recovery implementation statement (CRIS) provides information on how the Australian Communications and Media Authority (ACMA) will implement cost recovery for the Measuring Broadband Australia (MBA) program on behalf of the Australian Competition and Consumer Commission (ACCC). This addendum is required as the method for recovering MBA program costs differs from that used to recover the costs of other activities funded via the ACLC. </w:t>
      </w:r>
    </w:p>
    <w:p w14:paraId="0748B4B5" w14:textId="69005E05" w:rsidR="009E3A91" w:rsidRPr="00EA3B0D" w:rsidRDefault="009E3A91" w:rsidP="009E3A91">
      <w:r>
        <w:t>This addendum contains financial forecasts for 2017–18 financial year and three forward years. Once the MBA program has commenced, it will also report financial and non-financial performance information</w:t>
      </w:r>
      <w:r w:rsidRPr="000A33CA">
        <w:t xml:space="preserve">. The ACMA will maintain this CRIS </w:t>
      </w:r>
      <w:r>
        <w:t>from 2018</w:t>
      </w:r>
      <w:r w:rsidR="00FE167A">
        <w:noBreakHyphen/>
      </w:r>
      <w:r>
        <w:t xml:space="preserve">19 </w:t>
      </w:r>
      <w:r w:rsidRPr="000A33CA">
        <w:t>until the activity or cost recovery for the activity has been discontinued</w:t>
      </w:r>
      <w:r w:rsidRPr="005F084D">
        <w:t>.</w:t>
      </w:r>
    </w:p>
    <w:p w14:paraId="0B4934B0" w14:textId="77777777" w:rsidR="009E3A91" w:rsidRPr="00EA3B0D" w:rsidRDefault="009E3A91" w:rsidP="009E3A91">
      <w:pPr>
        <w:pStyle w:val="Heading2"/>
      </w:pPr>
      <w:bookmarkStart w:id="157" w:name="_Toc511294484"/>
      <w:bookmarkStart w:id="158" w:name="_Toc511634419"/>
      <w:bookmarkStart w:id="159" w:name="_Toc532543426"/>
      <w:r w:rsidRPr="00EA3B0D">
        <w:t>1.2</w:t>
      </w:r>
      <w:r w:rsidRPr="00EA3B0D">
        <w:tab/>
        <w:t>Background and description of activity</w:t>
      </w:r>
      <w:bookmarkEnd w:id="157"/>
      <w:bookmarkEnd w:id="158"/>
      <w:bookmarkEnd w:id="159"/>
    </w:p>
    <w:p w14:paraId="1276E881" w14:textId="77777777" w:rsidR="009E3A91" w:rsidRDefault="009E3A91" w:rsidP="009E3A91">
      <w:r>
        <w:t xml:space="preserve">Under the </w:t>
      </w:r>
      <w:r w:rsidRPr="00AB5A76">
        <w:rPr>
          <w:i/>
        </w:rPr>
        <w:t xml:space="preserve">Telecommunications (Carrier Licence Charges) Act 1997 </w:t>
      </w:r>
      <w:r>
        <w:t xml:space="preserve">(the Act), the ACLC is used to fund the exercise of the ACCC’s telecommunications functions and powers. Costs associated with the MBA program are to be recovered via the ACLC, consistent with the ACCC’s functions of monitoring the telecommunications industry and promoting competition and consumer benefits. </w:t>
      </w:r>
    </w:p>
    <w:p w14:paraId="76C268EA" w14:textId="77777777" w:rsidR="009E3A91" w:rsidRDefault="009E3A91" w:rsidP="009E3A91">
      <w:r>
        <w:t xml:space="preserve">The MBA program will monitor </w:t>
      </w:r>
      <w:r w:rsidRPr="00360F7E">
        <w:t xml:space="preserve">National Broadband Network (NBN) </w:t>
      </w:r>
      <w:r>
        <w:t>fixed-line services provided by carriers and carriage service providers with significant market presence, including resellers (which currently represent less than 10 per cent of NBN fixed-line access connections).</w:t>
      </w:r>
    </w:p>
    <w:p w14:paraId="1B3FC0DC" w14:textId="77777777" w:rsidR="009E3A91" w:rsidRPr="00192EE3" w:rsidRDefault="009E3A91" w:rsidP="009E3A91">
      <w:pPr>
        <w:rPr>
          <w:rFonts w:cs="Arial"/>
          <w:szCs w:val="20"/>
          <w:lang w:eastAsia="en-US"/>
        </w:rPr>
      </w:pPr>
      <w:r w:rsidRPr="00192EE3">
        <w:rPr>
          <w:rFonts w:cs="Arial"/>
          <w:szCs w:val="20"/>
          <w:lang w:eastAsia="en-US"/>
        </w:rPr>
        <w:t>The key output of the MBA program is public reporting of objective and reliable information of the performance and reliability of fixed-line broadband services to inform consumers.</w:t>
      </w:r>
    </w:p>
    <w:p w14:paraId="77D68877" w14:textId="77777777" w:rsidR="009E3A91" w:rsidRDefault="009E3A91" w:rsidP="009E3A91">
      <w:r w:rsidRPr="00192EE3">
        <w:t>Consistent with the Australian Government Charging Framework 2015, costs of the MBA program will be recovered in arrears from monitored carriers via the ACLC.</w:t>
      </w:r>
    </w:p>
    <w:p w14:paraId="7C3E478B" w14:textId="77777777" w:rsidR="009E3A91" w:rsidRDefault="009E3A91" w:rsidP="009E3A91">
      <w:r>
        <w:t xml:space="preserve">For more information of the MBA program, please refer to </w:t>
      </w:r>
      <w:hyperlink r:id="rId26" w:history="1">
        <w:r w:rsidRPr="00565F9A">
          <w:rPr>
            <w:rStyle w:val="Hyperlink"/>
          </w:rPr>
          <w:t>https://www.accc.gov.au/consumers/internet-phone/monitoring-broadband-performance</w:t>
        </w:r>
      </w:hyperlink>
      <w:r w:rsidRPr="00F37B15">
        <w:rPr>
          <w:rStyle w:val="Hyperlink"/>
          <w:color w:val="auto"/>
          <w:u w:val="none"/>
        </w:rPr>
        <w:t>.</w:t>
      </w:r>
    </w:p>
    <w:p w14:paraId="7C4BABAF" w14:textId="77777777" w:rsidR="009E3A91" w:rsidRPr="0008218E" w:rsidRDefault="009E3A91" w:rsidP="009E3A91">
      <w:pPr>
        <w:pStyle w:val="Heading2"/>
      </w:pPr>
      <w:bookmarkStart w:id="160" w:name="_Toc511294485"/>
      <w:bookmarkStart w:id="161" w:name="_Toc511634420"/>
      <w:bookmarkStart w:id="162" w:name="_Toc532543427"/>
      <w:r>
        <w:t>1.3</w:t>
      </w:r>
      <w:r>
        <w:tab/>
      </w:r>
      <w:r w:rsidRPr="0008218E">
        <w:t>Stakeholders</w:t>
      </w:r>
      <w:bookmarkEnd w:id="160"/>
      <w:bookmarkEnd w:id="161"/>
      <w:bookmarkEnd w:id="162"/>
    </w:p>
    <w:p w14:paraId="7E065314" w14:textId="77777777" w:rsidR="009E3A91" w:rsidRDefault="009E3A91" w:rsidP="009E3A91">
      <w:r>
        <w:t>The key stakeholders are the ACCC, telecommunications carriers, telecommunications carriage service providers, telecommunications industry bodies (for example, Communications Alliance), telecommunications consumers and consumer bodies (for example, the Australian Communications Consumer Action Network (ACCAN)).</w:t>
      </w:r>
      <w:r w:rsidDel="00863C10">
        <w:t xml:space="preserve"> </w:t>
      </w:r>
    </w:p>
    <w:p w14:paraId="25885CAB" w14:textId="77777777" w:rsidR="009E3A91" w:rsidRPr="00EA3B0D" w:rsidRDefault="009E3A91" w:rsidP="009E3A91">
      <w:pPr>
        <w:pStyle w:val="Heading1"/>
        <w:ind w:left="851" w:right="-551" w:hanging="852"/>
      </w:pPr>
      <w:bookmarkStart w:id="163" w:name="_Toc511294486"/>
      <w:bookmarkStart w:id="164" w:name="_Toc511634421"/>
      <w:bookmarkStart w:id="165" w:name="_Toc532543428"/>
      <w:r w:rsidRPr="0008218E">
        <w:t xml:space="preserve">2. </w:t>
      </w:r>
      <w:r w:rsidRPr="0008218E">
        <w:tab/>
        <w:t xml:space="preserve">Policy and statutory authority to </w:t>
      </w:r>
      <w:r>
        <w:t xml:space="preserve">undertake </w:t>
      </w:r>
      <w:r w:rsidRPr="0008218E">
        <w:t>cost recover</w:t>
      </w:r>
      <w:r>
        <w:t>y</w:t>
      </w:r>
      <w:bookmarkEnd w:id="163"/>
      <w:bookmarkEnd w:id="164"/>
      <w:bookmarkEnd w:id="165"/>
    </w:p>
    <w:p w14:paraId="7B57C9C9" w14:textId="77777777" w:rsidR="009E3A91" w:rsidRDefault="009E3A91" w:rsidP="009E3A91">
      <w:pPr>
        <w:pStyle w:val="Heading2"/>
      </w:pPr>
      <w:bookmarkStart w:id="166" w:name="_Toc454268359"/>
      <w:bookmarkStart w:id="167" w:name="_Toc511294487"/>
      <w:bookmarkStart w:id="168" w:name="_Toc511634422"/>
      <w:bookmarkStart w:id="169" w:name="_Toc532543429"/>
      <w:r>
        <w:t>2.1</w:t>
      </w:r>
      <w:r>
        <w:tab/>
        <w:t>Government policy approval to recover costs</w:t>
      </w:r>
      <w:bookmarkEnd w:id="166"/>
      <w:bookmarkEnd w:id="167"/>
      <w:bookmarkEnd w:id="168"/>
      <w:bookmarkEnd w:id="169"/>
      <w:r>
        <w:t xml:space="preserve"> </w:t>
      </w:r>
    </w:p>
    <w:p w14:paraId="71E510AA" w14:textId="77777777" w:rsidR="009E3A91" w:rsidRDefault="009E3A91" w:rsidP="009E3A91">
      <w:r w:rsidRPr="00C10586">
        <w:t>As an outcome of the Communications Portfolio Charging Review in the 2014–15</w:t>
      </w:r>
      <w:r>
        <w:t xml:space="preserve"> </w:t>
      </w:r>
      <w:r w:rsidRPr="00C10586">
        <w:t xml:space="preserve">financial year, the government confirmed the appropriateness of cost recovery </w:t>
      </w:r>
      <w:r w:rsidRPr="007A4E7E">
        <w:t xml:space="preserve">through the ACLC </w:t>
      </w:r>
      <w:r w:rsidRPr="00C10586">
        <w:t xml:space="preserve">for the </w:t>
      </w:r>
      <w:r>
        <w:t xml:space="preserve">exercise of the ACCC’s telecommunications functions and powers. The activities undertaken under the MBA program form part of the ACCC’s statutory responsibilities of monitoring industry and the providing information to consumers.  </w:t>
      </w:r>
    </w:p>
    <w:p w14:paraId="7BBD3248" w14:textId="77777777" w:rsidR="009E3A91" w:rsidRDefault="009E3A91" w:rsidP="009E3A91">
      <w:pPr>
        <w:spacing w:after="80"/>
        <w:rPr>
          <w:rFonts w:cs="Arial"/>
          <w:szCs w:val="20"/>
        </w:rPr>
      </w:pPr>
      <w:r w:rsidRPr="00333B45">
        <w:rPr>
          <w:rFonts w:cs="Arial"/>
          <w:szCs w:val="20"/>
        </w:rPr>
        <w:t>In April 2017</w:t>
      </w:r>
      <w:r>
        <w:rPr>
          <w:rFonts w:cs="Arial"/>
          <w:szCs w:val="20"/>
        </w:rPr>
        <w:t>,</w:t>
      </w:r>
      <w:r w:rsidRPr="00333B45">
        <w:rPr>
          <w:rFonts w:cs="Arial"/>
          <w:szCs w:val="20"/>
        </w:rPr>
        <w:t xml:space="preserve"> the </w:t>
      </w:r>
      <w:r>
        <w:rPr>
          <w:rFonts w:cs="Arial"/>
          <w:szCs w:val="20"/>
        </w:rPr>
        <w:t>g</w:t>
      </w:r>
      <w:r w:rsidRPr="00333B45">
        <w:rPr>
          <w:rFonts w:cs="Arial"/>
          <w:szCs w:val="20"/>
        </w:rPr>
        <w:t>overnment announced the introduction of the MBA program, to be administered by the ACCC</w:t>
      </w:r>
      <w:r>
        <w:rPr>
          <w:rFonts w:cs="Arial"/>
          <w:szCs w:val="20"/>
        </w:rPr>
        <w:t>.</w:t>
      </w:r>
      <w:r>
        <w:rPr>
          <w:rStyle w:val="FootnoteReference"/>
          <w:rFonts w:cs="Arial"/>
          <w:szCs w:val="20"/>
        </w:rPr>
        <w:footnoteReference w:id="19"/>
      </w:r>
      <w:r w:rsidRPr="00333B45">
        <w:rPr>
          <w:rFonts w:cs="Arial"/>
          <w:szCs w:val="20"/>
        </w:rPr>
        <w:t xml:space="preserve"> Funding of $7.0 million over four years (to 2020–21) was provided to the ACCC to establish the MBA program as part of the 2017–18 Budget</w:t>
      </w:r>
      <w:r>
        <w:rPr>
          <w:rFonts w:cs="Arial"/>
          <w:szCs w:val="20"/>
        </w:rPr>
        <w:t>.</w:t>
      </w:r>
      <w:r>
        <w:rPr>
          <w:rStyle w:val="FootnoteReference"/>
          <w:rFonts w:cs="Arial"/>
          <w:szCs w:val="20"/>
        </w:rPr>
        <w:footnoteReference w:id="20"/>
      </w:r>
      <w:r w:rsidRPr="00333B45">
        <w:rPr>
          <w:rFonts w:cs="Arial"/>
          <w:szCs w:val="20"/>
        </w:rPr>
        <w:t xml:space="preserve"> The ACMA’s role is to administer the </w:t>
      </w:r>
      <w:r>
        <w:rPr>
          <w:rFonts w:cs="Arial"/>
          <w:szCs w:val="20"/>
        </w:rPr>
        <w:t xml:space="preserve">cost recovery for the </w:t>
      </w:r>
      <w:r w:rsidRPr="00333B45">
        <w:rPr>
          <w:rFonts w:cs="Arial"/>
          <w:szCs w:val="20"/>
        </w:rPr>
        <w:t>MBA program as part of the existing ACLC cost</w:t>
      </w:r>
      <w:r>
        <w:rPr>
          <w:rFonts w:cs="Arial"/>
          <w:szCs w:val="20"/>
        </w:rPr>
        <w:t>-</w:t>
      </w:r>
      <w:r w:rsidRPr="00333B45">
        <w:rPr>
          <w:rFonts w:cs="Arial"/>
          <w:szCs w:val="20"/>
        </w:rPr>
        <w:t>recovery process</w:t>
      </w:r>
      <w:r>
        <w:rPr>
          <w:rFonts w:cs="Arial"/>
          <w:szCs w:val="20"/>
        </w:rPr>
        <w:t xml:space="preserve"> from the financial year 2018–19</w:t>
      </w:r>
      <w:r w:rsidRPr="00333B45">
        <w:rPr>
          <w:rFonts w:cs="Arial"/>
          <w:szCs w:val="20"/>
        </w:rPr>
        <w:t>.</w:t>
      </w:r>
    </w:p>
    <w:p w14:paraId="243EDCFC" w14:textId="77777777" w:rsidR="009E3A91" w:rsidRPr="00D207EA" w:rsidRDefault="009E3A91" w:rsidP="009E3A91">
      <w:pPr>
        <w:pStyle w:val="Heading2"/>
      </w:pPr>
      <w:bookmarkStart w:id="170" w:name="_Toc454268360"/>
      <w:bookmarkStart w:id="171" w:name="_Toc511294488"/>
      <w:bookmarkStart w:id="172" w:name="_Toc511634423"/>
      <w:bookmarkStart w:id="173" w:name="_Toc532543430"/>
      <w:r w:rsidRPr="00D207EA">
        <w:t>2.2</w:t>
      </w:r>
      <w:r w:rsidRPr="00D207EA">
        <w:tab/>
        <w:t>Statutory authority to impose cost recovery charges</w:t>
      </w:r>
      <w:bookmarkEnd w:id="170"/>
      <w:bookmarkEnd w:id="171"/>
      <w:bookmarkEnd w:id="172"/>
      <w:bookmarkEnd w:id="173"/>
    </w:p>
    <w:p w14:paraId="1AB06785" w14:textId="77777777" w:rsidR="009E3A91" w:rsidRDefault="009E3A91" w:rsidP="009E3A91">
      <w:r>
        <w:t>Section 12 of the Act imposes an annual charge on carrier licences that are in force at the beginning of a financial year (1 July 2017 for the purposes of this CRIS).</w:t>
      </w:r>
    </w:p>
    <w:p w14:paraId="7C802717" w14:textId="77777777" w:rsidR="009E3A91" w:rsidRDefault="009E3A91" w:rsidP="009E3A91">
      <w:r>
        <w:t>Subsection 14(1) of the Act specifies that the amount of the charge to be imposed on a carrier licence is the amount ascertained in accordance with a written determination made by the ACMA.</w:t>
      </w:r>
    </w:p>
    <w:p w14:paraId="5B688C06" w14:textId="77777777" w:rsidR="009E3A91" w:rsidRDefault="009E3A91" w:rsidP="009E3A91">
      <w:r>
        <w:t xml:space="preserve">Subsection 15(1) of the Act requires that the total of the charges that are imposed on carrier licences in force at the beginning of a financial year must not exceed the sum of the cost components identified in paragraphs 15(1)(a) to 15(1)(d) of the Act (see Table 1). </w:t>
      </w:r>
    </w:p>
    <w:p w14:paraId="54D0A6F5" w14:textId="77777777" w:rsidR="009E3A91" w:rsidRDefault="009E3A91" w:rsidP="009E3A91">
      <w:r>
        <w:t>The ACCC makes determinations in relation to the costs described in paragraph 15(1)(b) of the Act, which relates to the ACCC’s telecommunications powers and functions. The costs will incorporate the relevant costs applicable to the MBA program.</w:t>
      </w:r>
      <w:r w:rsidRPr="00F7627C">
        <w:t xml:space="preserve"> </w:t>
      </w:r>
      <w:r>
        <w:t>Further information on the contribution of the MBA program to these cost components is provided in Section 3.1 (below).</w:t>
      </w:r>
    </w:p>
    <w:p w14:paraId="63A1EA9B" w14:textId="77777777" w:rsidR="009E3A91" w:rsidRDefault="009E3A91" w:rsidP="009E3A91">
      <w:r>
        <w:t>All determinations are registered on the Federal Register of Legislation by the respective entities before the invoices are forwarded by the ACMA to the licensed carriers.</w:t>
      </w:r>
    </w:p>
    <w:p w14:paraId="55B221D6" w14:textId="77777777" w:rsidR="009E3A91" w:rsidRDefault="009E3A91" w:rsidP="009E3A91">
      <w:pPr>
        <w:pStyle w:val="ACMATableHeader"/>
        <w:keepNext/>
        <w:numPr>
          <w:ilvl w:val="0"/>
          <w:numId w:val="29"/>
        </w:numPr>
      </w:pPr>
      <w:r>
        <w:t>Structural components of the ACLC</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57" w:type="dxa"/>
          <w:bottom w:w="57" w:type="dxa"/>
        </w:tblCellMar>
        <w:tblLook w:val="04A0" w:firstRow="1" w:lastRow="0" w:firstColumn="1" w:lastColumn="0" w:noHBand="0" w:noVBand="1"/>
        <w:tblCaption w:val="Structural components of the ACLC"/>
        <w:tblDescription w:val="Includes reference in the Act and cost component"/>
      </w:tblPr>
      <w:tblGrid>
        <w:gridCol w:w="2402"/>
        <w:gridCol w:w="5253"/>
      </w:tblGrid>
      <w:tr w:rsidR="009E3A91" w14:paraId="2FC839FA" w14:textId="77777777" w:rsidTr="009E3A91">
        <w:trPr>
          <w:trHeight w:val="319"/>
          <w:tblHeader/>
        </w:trPr>
        <w:tc>
          <w:tcPr>
            <w:tcW w:w="1569" w:type="pct"/>
            <w:tcBorders>
              <w:top w:val="single" w:sz="6" w:space="0" w:color="auto"/>
              <w:left w:val="single" w:sz="6" w:space="0" w:color="auto"/>
              <w:bottom w:val="single" w:sz="6" w:space="0" w:color="auto"/>
              <w:right w:val="single" w:sz="6" w:space="0" w:color="auto"/>
            </w:tcBorders>
            <w:shd w:val="clear" w:color="auto" w:fill="404040" w:themeFill="text1" w:themeFillTint="BF"/>
            <w:hideMark/>
          </w:tcPr>
          <w:p w14:paraId="2DC8ED4E" w14:textId="77777777" w:rsidR="009E3A91" w:rsidRDefault="009E3A91" w:rsidP="009E3A91">
            <w:pPr>
              <w:pStyle w:val="TableHeading"/>
              <w:rPr>
                <w:b w:val="0"/>
                <w:color w:val="FFFFFF" w:themeColor="background1"/>
              </w:rPr>
            </w:pPr>
            <w:r>
              <w:rPr>
                <w:color w:val="FFFFFF" w:themeColor="background1"/>
              </w:rPr>
              <w:t>Reference in the Act</w:t>
            </w:r>
          </w:p>
        </w:tc>
        <w:tc>
          <w:tcPr>
            <w:tcW w:w="3431" w:type="pct"/>
            <w:tcBorders>
              <w:top w:val="single" w:sz="6" w:space="0" w:color="auto"/>
              <w:left w:val="single" w:sz="6" w:space="0" w:color="auto"/>
              <w:bottom w:val="single" w:sz="6" w:space="0" w:color="auto"/>
              <w:right w:val="single" w:sz="6" w:space="0" w:color="auto"/>
            </w:tcBorders>
            <w:shd w:val="clear" w:color="auto" w:fill="404040" w:themeFill="text1" w:themeFillTint="BF"/>
            <w:hideMark/>
          </w:tcPr>
          <w:p w14:paraId="104485A8" w14:textId="77777777" w:rsidR="009E3A91" w:rsidRDefault="009E3A91" w:rsidP="009E3A91">
            <w:pPr>
              <w:pStyle w:val="TableHeading"/>
              <w:rPr>
                <w:b w:val="0"/>
                <w:color w:val="FFFFFF" w:themeColor="background1"/>
              </w:rPr>
            </w:pPr>
            <w:r>
              <w:rPr>
                <w:color w:val="FFFFFF" w:themeColor="background1"/>
              </w:rPr>
              <w:t>Cost component</w:t>
            </w:r>
          </w:p>
        </w:tc>
      </w:tr>
      <w:tr w:rsidR="009E3A91" w14:paraId="06992A0E" w14:textId="77777777" w:rsidTr="009E3A91">
        <w:trPr>
          <w:trHeight w:val="222"/>
          <w:tblHeader/>
        </w:trPr>
        <w:tc>
          <w:tcPr>
            <w:tcW w:w="1569" w:type="pct"/>
            <w:tcBorders>
              <w:top w:val="single" w:sz="6" w:space="0" w:color="auto"/>
              <w:left w:val="single" w:sz="6" w:space="0" w:color="auto"/>
              <w:bottom w:val="single" w:sz="6" w:space="0" w:color="auto"/>
              <w:right w:val="single" w:sz="6" w:space="0" w:color="auto"/>
            </w:tcBorders>
            <w:hideMark/>
          </w:tcPr>
          <w:p w14:paraId="2F64EB49" w14:textId="77777777" w:rsidR="009E3A91" w:rsidRDefault="009E3A91" w:rsidP="009E3A91">
            <w:pPr>
              <w:keepNext/>
              <w:spacing w:after="0"/>
              <w:rPr>
                <w:rFonts w:cs="Arial"/>
                <w:szCs w:val="20"/>
              </w:rPr>
            </w:pPr>
            <w:r>
              <w:rPr>
                <w:rFonts w:cs="Arial"/>
                <w:szCs w:val="20"/>
              </w:rPr>
              <w:t>15(1)(a)</w:t>
            </w:r>
          </w:p>
        </w:tc>
        <w:tc>
          <w:tcPr>
            <w:tcW w:w="3431" w:type="pct"/>
            <w:tcBorders>
              <w:top w:val="single" w:sz="6" w:space="0" w:color="auto"/>
              <w:left w:val="single" w:sz="6" w:space="0" w:color="auto"/>
              <w:bottom w:val="single" w:sz="6" w:space="0" w:color="auto"/>
              <w:right w:val="single" w:sz="6" w:space="0" w:color="auto"/>
            </w:tcBorders>
            <w:hideMark/>
          </w:tcPr>
          <w:p w14:paraId="4DA32397" w14:textId="77777777" w:rsidR="009E3A91" w:rsidRDefault="009E3A91" w:rsidP="009E3A91">
            <w:pPr>
              <w:keepNext/>
              <w:spacing w:after="0"/>
              <w:rPr>
                <w:rFonts w:cs="Arial"/>
                <w:szCs w:val="20"/>
              </w:rPr>
            </w:pPr>
            <w:r>
              <w:rPr>
                <w:rFonts w:cs="Arial"/>
                <w:szCs w:val="20"/>
              </w:rPr>
              <w:t>The ACMA’s cost component</w:t>
            </w:r>
          </w:p>
        </w:tc>
      </w:tr>
      <w:tr w:rsidR="009E3A91" w14:paraId="234C4F66" w14:textId="77777777" w:rsidTr="009E3A91">
        <w:trPr>
          <w:trHeight w:val="414"/>
          <w:tblHeader/>
        </w:trPr>
        <w:tc>
          <w:tcPr>
            <w:tcW w:w="1569" w:type="pct"/>
            <w:tcBorders>
              <w:top w:val="single" w:sz="6" w:space="0" w:color="auto"/>
              <w:left w:val="single" w:sz="6" w:space="0" w:color="auto"/>
              <w:bottom w:val="single" w:sz="6" w:space="0" w:color="auto"/>
              <w:right w:val="single" w:sz="6" w:space="0" w:color="auto"/>
            </w:tcBorders>
            <w:hideMark/>
          </w:tcPr>
          <w:p w14:paraId="3CEF1887" w14:textId="77777777" w:rsidR="009E3A91" w:rsidRDefault="009E3A91" w:rsidP="009E3A91">
            <w:pPr>
              <w:keepNext/>
              <w:spacing w:after="0"/>
              <w:rPr>
                <w:rFonts w:cs="Arial"/>
                <w:szCs w:val="20"/>
              </w:rPr>
            </w:pPr>
            <w:r>
              <w:rPr>
                <w:rFonts w:cs="Arial"/>
                <w:szCs w:val="20"/>
              </w:rPr>
              <w:t>15(1)(b)</w:t>
            </w:r>
          </w:p>
        </w:tc>
        <w:tc>
          <w:tcPr>
            <w:tcW w:w="3431" w:type="pct"/>
            <w:tcBorders>
              <w:top w:val="single" w:sz="6" w:space="0" w:color="auto"/>
              <w:left w:val="single" w:sz="6" w:space="0" w:color="auto"/>
              <w:bottom w:val="single" w:sz="6" w:space="0" w:color="auto"/>
              <w:right w:val="single" w:sz="6" w:space="0" w:color="auto"/>
            </w:tcBorders>
            <w:hideMark/>
          </w:tcPr>
          <w:p w14:paraId="3B8CCAC9" w14:textId="77777777" w:rsidR="009E3A91" w:rsidRDefault="009E3A91" w:rsidP="009E3A91">
            <w:pPr>
              <w:keepNext/>
              <w:spacing w:after="0"/>
              <w:rPr>
                <w:rFonts w:cs="Arial"/>
                <w:szCs w:val="20"/>
              </w:rPr>
            </w:pPr>
            <w:r>
              <w:rPr>
                <w:rFonts w:cs="Arial"/>
                <w:szCs w:val="20"/>
              </w:rPr>
              <w:t>The ACCC’s cost component—this will incorporate relevant costs applicable to the MBA program</w:t>
            </w:r>
          </w:p>
        </w:tc>
      </w:tr>
      <w:tr w:rsidR="009E3A91" w14:paraId="685EF2DF" w14:textId="77777777" w:rsidTr="009E3A91">
        <w:trPr>
          <w:trHeight w:val="420"/>
          <w:tblHeader/>
        </w:trPr>
        <w:tc>
          <w:tcPr>
            <w:tcW w:w="1569" w:type="pct"/>
            <w:tcBorders>
              <w:top w:val="single" w:sz="6" w:space="0" w:color="auto"/>
              <w:left w:val="single" w:sz="6" w:space="0" w:color="auto"/>
              <w:bottom w:val="single" w:sz="6" w:space="0" w:color="auto"/>
              <w:right w:val="single" w:sz="6" w:space="0" w:color="auto"/>
            </w:tcBorders>
            <w:hideMark/>
          </w:tcPr>
          <w:p w14:paraId="418EAF61" w14:textId="77777777" w:rsidR="009E3A91" w:rsidRDefault="009E3A91" w:rsidP="009E3A91">
            <w:pPr>
              <w:keepNext/>
              <w:spacing w:after="0"/>
              <w:rPr>
                <w:rFonts w:cs="Arial"/>
                <w:szCs w:val="20"/>
              </w:rPr>
            </w:pPr>
            <w:r>
              <w:rPr>
                <w:rFonts w:cs="Arial"/>
                <w:szCs w:val="20"/>
              </w:rPr>
              <w:t>15(1)(c)</w:t>
            </w:r>
          </w:p>
        </w:tc>
        <w:tc>
          <w:tcPr>
            <w:tcW w:w="3431" w:type="pct"/>
            <w:tcBorders>
              <w:top w:val="single" w:sz="6" w:space="0" w:color="auto"/>
              <w:left w:val="single" w:sz="6" w:space="0" w:color="auto"/>
              <w:bottom w:val="single" w:sz="6" w:space="0" w:color="auto"/>
              <w:right w:val="single" w:sz="6" w:space="0" w:color="auto"/>
            </w:tcBorders>
            <w:hideMark/>
          </w:tcPr>
          <w:p w14:paraId="19EB0657" w14:textId="77777777" w:rsidR="009E3A91" w:rsidRDefault="009E3A91" w:rsidP="009E3A91">
            <w:pPr>
              <w:keepNext/>
              <w:spacing w:after="0"/>
              <w:rPr>
                <w:rFonts w:cs="Arial"/>
                <w:szCs w:val="20"/>
              </w:rPr>
            </w:pPr>
            <w:r w:rsidRPr="00426212">
              <w:rPr>
                <w:rFonts w:cs="Arial"/>
                <w:szCs w:val="20"/>
              </w:rPr>
              <w:t>I</w:t>
            </w:r>
            <w:r>
              <w:rPr>
                <w:rFonts w:cs="Arial"/>
                <w:szCs w:val="20"/>
              </w:rPr>
              <w:t xml:space="preserve">nternational </w:t>
            </w:r>
            <w:r w:rsidRPr="00426212">
              <w:rPr>
                <w:rFonts w:cs="Arial"/>
                <w:szCs w:val="20"/>
              </w:rPr>
              <w:t>T</w:t>
            </w:r>
            <w:r>
              <w:rPr>
                <w:rFonts w:cs="Arial"/>
                <w:szCs w:val="20"/>
              </w:rPr>
              <w:t xml:space="preserve">elecommunication </w:t>
            </w:r>
            <w:r w:rsidRPr="00426212">
              <w:rPr>
                <w:rFonts w:cs="Arial"/>
                <w:szCs w:val="20"/>
              </w:rPr>
              <w:t>U</w:t>
            </w:r>
            <w:r>
              <w:rPr>
                <w:rFonts w:cs="Arial"/>
                <w:szCs w:val="20"/>
              </w:rPr>
              <w:t>nion (ITU) contribution</w:t>
            </w:r>
          </w:p>
        </w:tc>
      </w:tr>
      <w:tr w:rsidR="009E3A91" w14:paraId="1CFFD01A" w14:textId="77777777" w:rsidTr="009E3A91">
        <w:trPr>
          <w:trHeight w:val="405"/>
          <w:tblHeader/>
        </w:trPr>
        <w:tc>
          <w:tcPr>
            <w:tcW w:w="1569" w:type="pct"/>
            <w:tcBorders>
              <w:top w:val="single" w:sz="6" w:space="0" w:color="auto"/>
              <w:left w:val="single" w:sz="6" w:space="0" w:color="auto"/>
              <w:bottom w:val="single" w:sz="6" w:space="0" w:color="auto"/>
              <w:right w:val="single" w:sz="6" w:space="0" w:color="auto"/>
            </w:tcBorders>
            <w:hideMark/>
          </w:tcPr>
          <w:p w14:paraId="1D9848DA" w14:textId="77777777" w:rsidR="009E3A91" w:rsidRDefault="009E3A91" w:rsidP="009E3A91">
            <w:pPr>
              <w:keepNext/>
              <w:spacing w:after="0"/>
              <w:rPr>
                <w:rFonts w:cs="Arial"/>
                <w:szCs w:val="20"/>
              </w:rPr>
            </w:pPr>
            <w:r>
              <w:rPr>
                <w:rFonts w:cs="Arial"/>
                <w:szCs w:val="20"/>
              </w:rPr>
              <w:t>15(1)(ca)</w:t>
            </w:r>
          </w:p>
        </w:tc>
        <w:tc>
          <w:tcPr>
            <w:tcW w:w="3431" w:type="pct"/>
            <w:tcBorders>
              <w:top w:val="single" w:sz="6" w:space="0" w:color="auto"/>
              <w:left w:val="single" w:sz="6" w:space="0" w:color="auto"/>
              <w:bottom w:val="single" w:sz="6" w:space="0" w:color="auto"/>
              <w:right w:val="single" w:sz="6" w:space="0" w:color="auto"/>
            </w:tcBorders>
            <w:hideMark/>
          </w:tcPr>
          <w:p w14:paraId="762FA5FD" w14:textId="77777777" w:rsidR="009E3A91" w:rsidRDefault="009E3A91" w:rsidP="009E3A91">
            <w:pPr>
              <w:keepNext/>
              <w:spacing w:after="0"/>
              <w:rPr>
                <w:rFonts w:cs="Arial"/>
                <w:szCs w:val="20"/>
              </w:rPr>
            </w:pPr>
            <w:r>
              <w:rPr>
                <w:rFonts w:cs="Arial"/>
                <w:szCs w:val="20"/>
              </w:rPr>
              <w:t>Reimbursement of cost of developing or varying consumer protection-related industry codes</w:t>
            </w:r>
          </w:p>
        </w:tc>
      </w:tr>
      <w:tr w:rsidR="009E3A91" w14:paraId="5A701D5C" w14:textId="77777777" w:rsidTr="009E3A91">
        <w:trPr>
          <w:trHeight w:val="399"/>
          <w:tblHeader/>
        </w:trPr>
        <w:tc>
          <w:tcPr>
            <w:tcW w:w="1569" w:type="pct"/>
            <w:tcBorders>
              <w:top w:val="single" w:sz="6" w:space="0" w:color="auto"/>
              <w:left w:val="single" w:sz="6" w:space="0" w:color="auto"/>
              <w:bottom w:val="single" w:sz="6" w:space="0" w:color="auto"/>
              <w:right w:val="single" w:sz="6" w:space="0" w:color="auto"/>
            </w:tcBorders>
            <w:hideMark/>
          </w:tcPr>
          <w:p w14:paraId="1CDF2C38" w14:textId="77777777" w:rsidR="009E3A91" w:rsidRDefault="009E3A91" w:rsidP="009E3A91">
            <w:pPr>
              <w:keepNext/>
              <w:spacing w:after="0"/>
              <w:rPr>
                <w:rFonts w:cs="Arial"/>
                <w:szCs w:val="20"/>
              </w:rPr>
            </w:pPr>
            <w:r>
              <w:rPr>
                <w:rFonts w:cs="Arial"/>
                <w:szCs w:val="20"/>
              </w:rPr>
              <w:t>15(1)(d)</w:t>
            </w:r>
          </w:p>
        </w:tc>
        <w:tc>
          <w:tcPr>
            <w:tcW w:w="3431" w:type="pct"/>
            <w:tcBorders>
              <w:top w:val="single" w:sz="6" w:space="0" w:color="auto"/>
              <w:left w:val="single" w:sz="6" w:space="0" w:color="auto"/>
              <w:bottom w:val="single" w:sz="6" w:space="0" w:color="auto"/>
              <w:right w:val="single" w:sz="6" w:space="0" w:color="auto"/>
            </w:tcBorders>
            <w:hideMark/>
          </w:tcPr>
          <w:p w14:paraId="38B031B7" w14:textId="77777777" w:rsidR="009E3A91" w:rsidRDefault="009E3A91" w:rsidP="009E3A91">
            <w:pPr>
              <w:keepNext/>
              <w:spacing w:after="0"/>
              <w:rPr>
                <w:rFonts w:cs="Arial"/>
                <w:szCs w:val="20"/>
              </w:rPr>
            </w:pPr>
            <w:r>
              <w:rPr>
                <w:rFonts w:cs="Arial"/>
                <w:szCs w:val="20"/>
              </w:rPr>
              <w:t>Government grants—consumer representation and research</w:t>
            </w:r>
          </w:p>
        </w:tc>
      </w:tr>
    </w:tbl>
    <w:p w14:paraId="1A233122" w14:textId="77777777" w:rsidR="009E3A91" w:rsidRDefault="009E3A91" w:rsidP="009E3A91">
      <w:pPr>
        <w:pStyle w:val="ACMASpaceaftertable"/>
      </w:pPr>
    </w:p>
    <w:p w14:paraId="5320AF9B" w14:textId="77777777" w:rsidR="009E3A91" w:rsidRPr="00CC3F4B" w:rsidRDefault="009E3A91" w:rsidP="009E3A91">
      <w:pPr>
        <w:pStyle w:val="Heading1"/>
      </w:pPr>
      <w:bookmarkStart w:id="174" w:name="_Toc511294489"/>
      <w:bookmarkStart w:id="175" w:name="_Toc511634424"/>
      <w:bookmarkStart w:id="176" w:name="_Toc532543431"/>
      <w:r w:rsidRPr="00CC3F4B">
        <w:t>3.</w:t>
      </w:r>
      <w:r w:rsidRPr="00CC3F4B">
        <w:tab/>
        <w:t>C</w:t>
      </w:r>
      <w:r>
        <w:t>ost recovery</w:t>
      </w:r>
      <w:r w:rsidRPr="00CC3F4B">
        <w:t xml:space="preserve"> </w:t>
      </w:r>
      <w:r>
        <w:t>model</w:t>
      </w:r>
      <w:bookmarkEnd w:id="174"/>
      <w:bookmarkEnd w:id="175"/>
      <w:bookmarkEnd w:id="176"/>
    </w:p>
    <w:p w14:paraId="27FDA760" w14:textId="77777777" w:rsidR="009E3A91" w:rsidRPr="003F7E3A" w:rsidRDefault="009E3A91" w:rsidP="009E3A91">
      <w:r w:rsidRPr="00A84CBD">
        <w:t xml:space="preserve">There are five distinct </w:t>
      </w:r>
      <w:r>
        <w:t>activities</w:t>
      </w:r>
      <w:r w:rsidRPr="00A84CBD">
        <w:t xml:space="preserve"> </w:t>
      </w:r>
      <w:r>
        <w:t xml:space="preserve">(cost components) </w:t>
      </w:r>
      <w:r w:rsidRPr="00A84CBD">
        <w:t>that are included in the total amount of the ACLC and levied on carrier licences on an annual basis</w:t>
      </w:r>
      <w:r w:rsidRPr="001F50FB">
        <w:t>.</w:t>
      </w:r>
      <w:r>
        <w:t xml:space="preserve"> </w:t>
      </w:r>
      <w:r w:rsidRPr="001F50FB">
        <w:t xml:space="preserve">The ACCC’s cost component under paragraph 15(1)(b) of the Act (see below) will include an additional cost for the </w:t>
      </w:r>
      <w:r>
        <w:t>MBA</w:t>
      </w:r>
      <w:r w:rsidRPr="001F50FB">
        <w:t xml:space="preserve"> program for the period 2018</w:t>
      </w:r>
      <w:r>
        <w:t>–</w:t>
      </w:r>
      <w:r w:rsidRPr="001F50FB">
        <w:t>19 to 2021</w:t>
      </w:r>
      <w:r>
        <w:t>–</w:t>
      </w:r>
      <w:r w:rsidRPr="001F50FB">
        <w:t>22</w:t>
      </w:r>
      <w:r>
        <w:t>.</w:t>
      </w:r>
    </w:p>
    <w:p w14:paraId="490ACE17" w14:textId="77777777" w:rsidR="009E3A91" w:rsidRPr="0039521A" w:rsidRDefault="009E3A91" w:rsidP="009E3A91">
      <w:pPr>
        <w:pStyle w:val="Heading2"/>
        <w:spacing w:after="240"/>
      </w:pPr>
      <w:bookmarkStart w:id="177" w:name="_Toc511294490"/>
      <w:bookmarkStart w:id="178" w:name="_Toc511634425"/>
      <w:bookmarkStart w:id="179" w:name="_Toc532543432"/>
      <w:r w:rsidRPr="003F7E3A">
        <w:t>3.</w:t>
      </w:r>
      <w:r>
        <w:t>1</w:t>
      </w:r>
      <w:r w:rsidRPr="003F7E3A">
        <w:tab/>
        <w:t xml:space="preserve">Determination of cost component under paragraph 15(1)(b) of the Act—the ACCC’s </w:t>
      </w:r>
      <w:r>
        <w:t xml:space="preserve">MBA-related </w:t>
      </w:r>
      <w:r w:rsidRPr="003F7E3A">
        <w:t>activit</w:t>
      </w:r>
      <w:r>
        <w:t>ies</w:t>
      </w:r>
      <w:bookmarkEnd w:id="177"/>
      <w:bookmarkEnd w:id="178"/>
      <w:bookmarkEnd w:id="179"/>
      <w:r>
        <w:t xml:space="preserve"> </w:t>
      </w:r>
    </w:p>
    <w:p w14:paraId="3E911562" w14:textId="77777777" w:rsidR="009E3A91" w:rsidRPr="003F7E3A" w:rsidRDefault="009E3A91" w:rsidP="009E3A91">
      <w:pPr>
        <w:pStyle w:val="Heading3"/>
      </w:pPr>
      <w:bookmarkStart w:id="180" w:name="_Toc511294491"/>
      <w:bookmarkStart w:id="181" w:name="_Toc511634426"/>
      <w:bookmarkStart w:id="182" w:name="_Toc532543433"/>
      <w:r w:rsidRPr="003F7E3A">
        <w:t>3.</w:t>
      </w:r>
      <w:r>
        <w:t>1</w:t>
      </w:r>
      <w:r w:rsidRPr="003F7E3A">
        <w:t>.1</w:t>
      </w:r>
      <w:r w:rsidRPr="003F7E3A">
        <w:tab/>
        <w:t>Outputs and business processes of the activity</w:t>
      </w:r>
      <w:bookmarkEnd w:id="180"/>
      <w:bookmarkEnd w:id="181"/>
      <w:bookmarkEnd w:id="182"/>
    </w:p>
    <w:p w14:paraId="5EEE1FF3" w14:textId="77777777" w:rsidR="009E3A91" w:rsidRDefault="009E3A91" w:rsidP="009E3A91">
      <w:r>
        <w:t>This component represents the ACCC’s costs incurred during 2017–18 in delivering the MBA program. While the ACCC has a range of telecommunications functions and powers, any outputs of business processes that do not map directly to the MBA program delivery are not included in determining this cost component.</w:t>
      </w:r>
    </w:p>
    <w:p w14:paraId="704C94D3" w14:textId="77777777" w:rsidR="009E3A91" w:rsidRPr="006F3DEF" w:rsidRDefault="009E3A91" w:rsidP="009E3A91">
      <w:pPr>
        <w:spacing w:after="80"/>
        <w:rPr>
          <w:rFonts w:cs="Arial"/>
          <w:szCs w:val="20"/>
          <w:lang w:eastAsia="en-US"/>
        </w:rPr>
      </w:pPr>
      <w:r w:rsidRPr="006F3DEF">
        <w:rPr>
          <w:rFonts w:cs="Arial"/>
          <w:szCs w:val="20"/>
          <w:lang w:eastAsia="en-US"/>
        </w:rPr>
        <w:t xml:space="preserve">The </w:t>
      </w:r>
      <w:r>
        <w:rPr>
          <w:rFonts w:cs="Arial"/>
          <w:szCs w:val="20"/>
          <w:lang w:eastAsia="en-US"/>
        </w:rPr>
        <w:t xml:space="preserve">delivery of the MBA program </w:t>
      </w:r>
      <w:r w:rsidRPr="006F3DEF">
        <w:rPr>
          <w:rFonts w:cs="Arial"/>
          <w:szCs w:val="20"/>
          <w:lang w:eastAsia="en-US"/>
        </w:rPr>
        <w:t>will be underpinned by a number of key business processes</w:t>
      </w:r>
      <w:r>
        <w:rPr>
          <w:rFonts w:cs="Arial"/>
          <w:szCs w:val="20"/>
          <w:lang w:eastAsia="en-US"/>
        </w:rPr>
        <w:t>, the cost of which is charged to industry</w:t>
      </w:r>
      <w:r w:rsidRPr="006F3DEF">
        <w:rPr>
          <w:rFonts w:cs="Arial"/>
          <w:szCs w:val="20"/>
          <w:lang w:eastAsia="en-US"/>
        </w:rPr>
        <w:t>. These processes will include:</w:t>
      </w:r>
    </w:p>
    <w:p w14:paraId="44F663E7" w14:textId="77777777" w:rsidR="009E3A91" w:rsidRPr="006F3DEF" w:rsidRDefault="009E3A91" w:rsidP="009E3A91">
      <w:pPr>
        <w:pStyle w:val="ListBullet"/>
        <w:rPr>
          <w:rFonts w:eastAsia="SimSun"/>
          <w:lang w:eastAsia="en-US"/>
        </w:rPr>
      </w:pPr>
      <w:r w:rsidRPr="006F3DEF">
        <w:rPr>
          <w:rFonts w:eastAsia="SimSun"/>
          <w:lang w:eastAsia="en-US"/>
        </w:rPr>
        <w:t xml:space="preserve">recruitment of potential participants and selection of participants </w:t>
      </w:r>
      <w:r>
        <w:rPr>
          <w:rFonts w:eastAsia="SimSun"/>
          <w:lang w:eastAsia="en-US"/>
        </w:rPr>
        <w:t>receiving broadband services matching those the ACCC has chosen to include in their reporting</w:t>
      </w:r>
      <w:r w:rsidRPr="006F3DEF">
        <w:rPr>
          <w:rFonts w:eastAsia="SimSun"/>
          <w:lang w:eastAsia="en-US"/>
        </w:rPr>
        <w:t xml:space="preserve"> (</w:t>
      </w:r>
      <w:r>
        <w:rPr>
          <w:rFonts w:eastAsia="SimSun"/>
          <w:lang w:eastAsia="en-US"/>
        </w:rPr>
        <w:t>for example, certain combinations of broadband technology, retail service providers and speed tier</w:t>
      </w:r>
      <w:r>
        <w:rPr>
          <w:rStyle w:val="FootnoteReference"/>
          <w:rFonts w:eastAsia="SimSun"/>
          <w:lang w:eastAsia="en-US"/>
        </w:rPr>
        <w:footnoteReference w:id="21"/>
      </w:r>
      <w:r>
        <w:rPr>
          <w:rFonts w:eastAsia="SimSun"/>
          <w:lang w:eastAsia="en-US"/>
        </w:rPr>
        <w:t>)</w:t>
      </w:r>
    </w:p>
    <w:p w14:paraId="3B637B7F" w14:textId="77777777" w:rsidR="009E3A91" w:rsidRPr="006F3DEF" w:rsidRDefault="009E3A91" w:rsidP="009E3A91">
      <w:pPr>
        <w:pStyle w:val="ListBullet"/>
        <w:rPr>
          <w:rFonts w:eastAsia="SimSun"/>
          <w:lang w:eastAsia="en-US"/>
        </w:rPr>
      </w:pPr>
      <w:r w:rsidRPr="006F3DEF">
        <w:rPr>
          <w:rFonts w:eastAsia="SimSun"/>
          <w:lang w:eastAsia="en-US"/>
        </w:rPr>
        <w:t>distribution and m</w:t>
      </w:r>
      <w:r>
        <w:rPr>
          <w:rFonts w:eastAsia="SimSun"/>
          <w:lang w:eastAsia="en-US"/>
        </w:rPr>
        <w:t>anagement of monitoring devices</w:t>
      </w:r>
    </w:p>
    <w:p w14:paraId="72858429" w14:textId="77777777" w:rsidR="009E3A91" w:rsidRPr="006F3DEF" w:rsidRDefault="009E3A91" w:rsidP="009E3A91">
      <w:pPr>
        <w:pStyle w:val="ListBullet"/>
        <w:rPr>
          <w:rFonts w:eastAsia="SimSun"/>
          <w:lang w:eastAsia="en-US"/>
        </w:rPr>
      </w:pPr>
      <w:r w:rsidRPr="006F3DEF">
        <w:rPr>
          <w:rFonts w:eastAsia="SimSun"/>
          <w:lang w:eastAsia="en-US"/>
        </w:rPr>
        <w:t>collection of NBN fixed-line speed and reliability data from approximately 4,000 volunteers across different service providers</w:t>
      </w:r>
      <w:r>
        <w:rPr>
          <w:rFonts w:eastAsia="SimSun"/>
          <w:lang w:eastAsia="en-US"/>
        </w:rPr>
        <w:t xml:space="preserve"> and different retail offerings</w:t>
      </w:r>
    </w:p>
    <w:p w14:paraId="072C0E9C" w14:textId="77777777" w:rsidR="009E3A91" w:rsidRPr="006F3DEF" w:rsidRDefault="009E3A91" w:rsidP="009E3A91">
      <w:pPr>
        <w:pStyle w:val="ListBullet"/>
        <w:rPr>
          <w:rFonts w:eastAsia="SimSun"/>
          <w:lang w:eastAsia="en-US"/>
        </w:rPr>
      </w:pPr>
      <w:r w:rsidRPr="006F3DEF">
        <w:rPr>
          <w:rFonts w:eastAsia="SimSun"/>
          <w:lang w:eastAsia="en-US"/>
        </w:rPr>
        <w:t>analysis of test results to determine speed and reliability, and identify causes of performan</w:t>
      </w:r>
      <w:r>
        <w:rPr>
          <w:rFonts w:eastAsia="SimSun"/>
          <w:lang w:eastAsia="en-US"/>
        </w:rPr>
        <w:t>ce issues</w:t>
      </w:r>
    </w:p>
    <w:p w14:paraId="403937EF" w14:textId="77777777" w:rsidR="009E3A91" w:rsidRPr="006F3DEF" w:rsidRDefault="009E3A91" w:rsidP="009E3A91">
      <w:pPr>
        <w:pStyle w:val="ListBulletLast"/>
        <w:rPr>
          <w:rFonts w:eastAsia="SimSun"/>
          <w:lang w:eastAsia="en-US"/>
        </w:rPr>
      </w:pPr>
      <w:r w:rsidRPr="006F3DEF">
        <w:rPr>
          <w:rFonts w:eastAsia="SimSun"/>
          <w:lang w:eastAsia="en-US"/>
        </w:rPr>
        <w:t>regular publication of detailed real-world performance (speed/reliability) data.</w:t>
      </w:r>
    </w:p>
    <w:p w14:paraId="6E23ADAE" w14:textId="77777777" w:rsidR="009E3A91" w:rsidRDefault="009E3A91" w:rsidP="009E3A91">
      <w:r>
        <w:t>The cost of these charges to industry will be calculated annually by the ACCC and incorporated into the existing ACLC charging framework.</w:t>
      </w:r>
    </w:p>
    <w:p w14:paraId="69CACE97" w14:textId="77777777" w:rsidR="009E3A91" w:rsidRDefault="009E3A91" w:rsidP="009E3A91">
      <w:r w:rsidRPr="000F5354">
        <w:t xml:space="preserve">The </w:t>
      </w:r>
      <w:r>
        <w:t>MBA</w:t>
      </w:r>
      <w:r w:rsidRPr="000F5354">
        <w:t xml:space="preserve"> program will undergo an evaluation after three years of operation. Any proposal for an extension </w:t>
      </w:r>
      <w:r>
        <w:t xml:space="preserve">of its </w:t>
      </w:r>
      <w:r w:rsidRPr="000F5354">
        <w:t>four</w:t>
      </w:r>
      <w:r>
        <w:t>-</w:t>
      </w:r>
      <w:r w:rsidRPr="000F5354">
        <w:t>year</w:t>
      </w:r>
      <w:r>
        <w:t xml:space="preserve"> term</w:t>
      </w:r>
      <w:r w:rsidRPr="000F5354">
        <w:t xml:space="preserve"> will require a new policy proposal in the Budget context and will need to comply with the applicable Budget Process Operational Rules and Charging Framework.</w:t>
      </w:r>
    </w:p>
    <w:p w14:paraId="246463BA" w14:textId="77777777" w:rsidR="009E3A91" w:rsidRPr="003F7E3A" w:rsidRDefault="009E3A91" w:rsidP="009E3A91">
      <w:pPr>
        <w:pStyle w:val="Heading3"/>
      </w:pPr>
      <w:bookmarkStart w:id="183" w:name="_Toc511294492"/>
      <w:bookmarkStart w:id="184" w:name="_Toc511634427"/>
      <w:bookmarkStart w:id="185" w:name="_Toc532543434"/>
      <w:r w:rsidRPr="003F7E3A">
        <w:t>3.</w:t>
      </w:r>
      <w:r>
        <w:t>1</w:t>
      </w:r>
      <w:r w:rsidRPr="003F7E3A">
        <w:t>.2</w:t>
      </w:r>
      <w:r w:rsidRPr="003F7E3A">
        <w:tab/>
        <w:t>Costs of the activity</w:t>
      </w:r>
      <w:bookmarkEnd w:id="183"/>
      <w:bookmarkEnd w:id="184"/>
      <w:bookmarkEnd w:id="185"/>
    </w:p>
    <w:p w14:paraId="3A52AD7D" w14:textId="77777777" w:rsidR="009E3A91" w:rsidRDefault="009E3A91" w:rsidP="009E3A91">
      <w:pPr>
        <w:spacing w:after="80"/>
      </w:pPr>
      <w:r>
        <w:t>The primary cost drivers are:</w:t>
      </w:r>
    </w:p>
    <w:p w14:paraId="10D662DD" w14:textId="77777777" w:rsidR="009E3A91" w:rsidRPr="00584E54" w:rsidRDefault="009E3A91" w:rsidP="009E3A91">
      <w:pPr>
        <w:pStyle w:val="ListBullet"/>
        <w:rPr>
          <w:rFonts w:eastAsia="SimSun"/>
          <w:lang w:eastAsia="en-US"/>
        </w:rPr>
      </w:pPr>
      <w:r w:rsidRPr="00584E54">
        <w:rPr>
          <w:rFonts w:eastAsia="SimSun"/>
          <w:lang w:eastAsia="en-US"/>
        </w:rPr>
        <w:t xml:space="preserve">purchase and distribution of monitoring devices (one per </w:t>
      </w:r>
      <w:r>
        <w:rPr>
          <w:rFonts w:eastAsia="SimSun"/>
          <w:lang w:eastAsia="en-US"/>
        </w:rPr>
        <w:t>monitored service</w:t>
      </w:r>
      <w:r w:rsidRPr="00584E54">
        <w:rPr>
          <w:rFonts w:eastAsia="SimSun"/>
          <w:lang w:eastAsia="en-US"/>
        </w:rPr>
        <w:t>)</w:t>
      </w:r>
    </w:p>
    <w:p w14:paraId="0B9B7295" w14:textId="77777777" w:rsidR="009E3A91" w:rsidRPr="00584E54" w:rsidRDefault="009E3A91" w:rsidP="009E3A91">
      <w:pPr>
        <w:pStyle w:val="ListBullet"/>
        <w:rPr>
          <w:rFonts w:eastAsia="SimSun"/>
          <w:lang w:eastAsia="en-US"/>
        </w:rPr>
      </w:pPr>
      <w:r w:rsidRPr="00584E54">
        <w:rPr>
          <w:rFonts w:eastAsia="SimSun"/>
          <w:lang w:eastAsia="en-US"/>
        </w:rPr>
        <w:t>maintenance of test servers</w:t>
      </w:r>
    </w:p>
    <w:p w14:paraId="65877DBE" w14:textId="77777777" w:rsidR="009E3A91" w:rsidRPr="00584E54" w:rsidRDefault="009E3A91" w:rsidP="009E3A91">
      <w:pPr>
        <w:pStyle w:val="ListBullet"/>
        <w:rPr>
          <w:rFonts w:eastAsia="SimSun"/>
          <w:lang w:eastAsia="en-US"/>
        </w:rPr>
      </w:pPr>
      <w:r w:rsidRPr="00584E54">
        <w:rPr>
          <w:rFonts w:eastAsia="SimSun"/>
          <w:lang w:eastAsia="en-US"/>
        </w:rPr>
        <w:t>ongoing maintenance and/or replacement of testing devices as needed</w:t>
      </w:r>
    </w:p>
    <w:p w14:paraId="19EFC408" w14:textId="77777777" w:rsidR="009E3A91" w:rsidRPr="00584E54" w:rsidRDefault="009E3A91" w:rsidP="009E3A91">
      <w:pPr>
        <w:pStyle w:val="ListBullet"/>
        <w:rPr>
          <w:rFonts w:eastAsia="SimSun"/>
          <w:lang w:eastAsia="en-US"/>
        </w:rPr>
      </w:pPr>
      <w:r w:rsidRPr="00584E54">
        <w:rPr>
          <w:rFonts w:eastAsia="SimSun"/>
          <w:lang w:eastAsia="en-US"/>
        </w:rPr>
        <w:t>recruitment and maintenance of volunteer base</w:t>
      </w:r>
    </w:p>
    <w:p w14:paraId="1E4030DD" w14:textId="77777777" w:rsidR="009E3A91" w:rsidRPr="00584E54" w:rsidRDefault="009E3A91" w:rsidP="009E3A91">
      <w:pPr>
        <w:pStyle w:val="ListBullet"/>
        <w:rPr>
          <w:rFonts w:eastAsia="SimSun"/>
          <w:lang w:eastAsia="en-US"/>
        </w:rPr>
      </w:pPr>
      <w:r w:rsidRPr="00584E54">
        <w:rPr>
          <w:rFonts w:eastAsia="SimSun"/>
          <w:lang w:eastAsia="en-US"/>
        </w:rPr>
        <w:t>establishment and operation of testing servers and system, including software, hosting and bandwidth charges</w:t>
      </w:r>
    </w:p>
    <w:p w14:paraId="1F9F4C7A" w14:textId="77777777" w:rsidR="009E3A91" w:rsidRPr="00584E54" w:rsidRDefault="009E3A91" w:rsidP="009E3A91">
      <w:pPr>
        <w:pStyle w:val="ListBulletLast"/>
        <w:rPr>
          <w:rFonts w:eastAsia="SimSun"/>
          <w:lang w:eastAsia="en-US"/>
        </w:rPr>
      </w:pPr>
      <w:r w:rsidRPr="00584E54">
        <w:rPr>
          <w:rFonts w:eastAsia="SimSun"/>
          <w:lang w:eastAsia="en-US"/>
        </w:rPr>
        <w:t xml:space="preserve">production of quarterly </w:t>
      </w:r>
      <w:r>
        <w:rPr>
          <w:rFonts w:eastAsia="SimSun"/>
          <w:lang w:eastAsia="en-US"/>
        </w:rPr>
        <w:t xml:space="preserve">and other </w:t>
      </w:r>
      <w:r w:rsidRPr="00584E54">
        <w:rPr>
          <w:rFonts w:eastAsia="SimSun"/>
          <w:lang w:eastAsia="en-US"/>
        </w:rPr>
        <w:t>reports</w:t>
      </w:r>
      <w:r>
        <w:rPr>
          <w:rFonts w:eastAsia="SimSun"/>
          <w:lang w:eastAsia="en-US"/>
        </w:rPr>
        <w:t xml:space="preserve"> based on the MBA program data</w:t>
      </w:r>
      <w:r w:rsidRPr="00584E54">
        <w:rPr>
          <w:rFonts w:eastAsia="SimSun"/>
          <w:lang w:eastAsia="en-US"/>
        </w:rPr>
        <w:t>.</w:t>
      </w:r>
    </w:p>
    <w:p w14:paraId="3D45B505" w14:textId="77777777" w:rsidR="009E3A91" w:rsidRDefault="009E3A91" w:rsidP="009E3A91">
      <w:r w:rsidRPr="00083A83">
        <w:t xml:space="preserve">Table </w:t>
      </w:r>
      <w:r>
        <w:t>2</w:t>
      </w:r>
      <w:r w:rsidRPr="00083A83">
        <w:t xml:space="preserve"> provides details for the </w:t>
      </w:r>
      <w:r>
        <w:t>anticipated device deployment profile.</w:t>
      </w:r>
    </w:p>
    <w:p w14:paraId="363E4C58" w14:textId="77777777" w:rsidR="009E3A91" w:rsidRPr="006A56FD" w:rsidRDefault="009E3A91" w:rsidP="009E3A91">
      <w:pPr>
        <w:pStyle w:val="ACMATableHeader"/>
        <w:keepNext/>
      </w:pPr>
      <w:r w:rsidRPr="006A56FD">
        <w:t xml:space="preserve">The ACCC’s </w:t>
      </w:r>
      <w:r w:rsidRPr="00584E54">
        <w:t>anticipated device deployment profile</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57" w:type="dxa"/>
          <w:left w:w="57" w:type="dxa"/>
          <w:bottom w:w="57" w:type="dxa"/>
          <w:right w:w="57" w:type="dxa"/>
        </w:tblCellMar>
        <w:tblLook w:val="04A0" w:firstRow="1" w:lastRow="0" w:firstColumn="1" w:lastColumn="0" w:noHBand="0" w:noVBand="1"/>
        <w:tblCaption w:val="The ACCC’s component at output level, 2015–16"/>
        <w:tblDescription w:val="Includes the  direct, support and total costs for output activities."/>
      </w:tblPr>
      <w:tblGrid>
        <w:gridCol w:w="3611"/>
        <w:gridCol w:w="1014"/>
        <w:gridCol w:w="1012"/>
        <w:gridCol w:w="1012"/>
        <w:gridCol w:w="1006"/>
      </w:tblGrid>
      <w:tr w:rsidR="009E3A91" w:rsidRPr="00B4771B" w14:paraId="465F053A" w14:textId="77777777" w:rsidTr="009E3A91">
        <w:trPr>
          <w:trHeight w:val="361"/>
          <w:tblHeader/>
        </w:trPr>
        <w:tc>
          <w:tcPr>
            <w:tcW w:w="2359" w:type="pct"/>
            <w:shd w:val="clear" w:color="auto" w:fill="404040" w:themeFill="text1" w:themeFillTint="BF"/>
          </w:tcPr>
          <w:p w14:paraId="0F03A968" w14:textId="77777777" w:rsidR="009E3A91" w:rsidRPr="00AE2FD7" w:rsidRDefault="009E3A91" w:rsidP="009E3A91">
            <w:pPr>
              <w:pStyle w:val="TableHeading"/>
              <w:rPr>
                <w:b w:val="0"/>
                <w:color w:val="FFFFFF" w:themeColor="background1"/>
              </w:rPr>
            </w:pPr>
          </w:p>
        </w:tc>
        <w:tc>
          <w:tcPr>
            <w:tcW w:w="662" w:type="pct"/>
            <w:shd w:val="clear" w:color="auto" w:fill="404040" w:themeFill="text1" w:themeFillTint="BF"/>
            <w:vAlign w:val="center"/>
          </w:tcPr>
          <w:p w14:paraId="1A86C1AB" w14:textId="77777777" w:rsidR="009E3A91" w:rsidRPr="00AE2FD7" w:rsidRDefault="009E3A91" w:rsidP="009E3A91">
            <w:pPr>
              <w:pStyle w:val="TableHeading"/>
              <w:jc w:val="right"/>
              <w:rPr>
                <w:b w:val="0"/>
                <w:color w:val="FFFFFF" w:themeColor="background1"/>
              </w:rPr>
            </w:pPr>
            <w:r w:rsidRPr="00CE6BED">
              <w:rPr>
                <w:color w:val="FFFFFF" w:themeColor="background1"/>
              </w:rPr>
              <w:t>201</w:t>
            </w:r>
            <w:r>
              <w:rPr>
                <w:color w:val="FFFFFF" w:themeColor="background1"/>
              </w:rPr>
              <w:t>7</w:t>
            </w:r>
            <w:r w:rsidRPr="00CE6BED">
              <w:rPr>
                <w:color w:val="FFFFFF" w:themeColor="background1"/>
              </w:rPr>
              <w:t>–1</w:t>
            </w:r>
            <w:r>
              <w:rPr>
                <w:color w:val="FFFFFF" w:themeColor="background1"/>
              </w:rPr>
              <w:t>8</w:t>
            </w:r>
          </w:p>
        </w:tc>
        <w:tc>
          <w:tcPr>
            <w:tcW w:w="661" w:type="pct"/>
            <w:shd w:val="clear" w:color="auto" w:fill="404040" w:themeFill="text1" w:themeFillTint="BF"/>
            <w:vAlign w:val="center"/>
          </w:tcPr>
          <w:p w14:paraId="3EC06A27" w14:textId="77777777" w:rsidR="009E3A91" w:rsidRPr="00AE2FD7" w:rsidRDefault="009E3A91" w:rsidP="009E3A91">
            <w:pPr>
              <w:pStyle w:val="TableHeading"/>
              <w:jc w:val="right"/>
              <w:rPr>
                <w:color w:val="FFFFFF" w:themeColor="background1"/>
              </w:rPr>
            </w:pPr>
            <w:r w:rsidRPr="00CE6BED">
              <w:rPr>
                <w:color w:val="FFFFFF" w:themeColor="background1"/>
              </w:rPr>
              <w:t>201</w:t>
            </w:r>
            <w:r>
              <w:rPr>
                <w:color w:val="FFFFFF" w:themeColor="background1"/>
              </w:rPr>
              <w:t>8</w:t>
            </w:r>
            <w:r w:rsidRPr="00CE6BED">
              <w:rPr>
                <w:color w:val="FFFFFF" w:themeColor="background1"/>
              </w:rPr>
              <w:t>–1</w:t>
            </w:r>
            <w:r>
              <w:rPr>
                <w:color w:val="FFFFFF" w:themeColor="background1"/>
              </w:rPr>
              <w:t>9</w:t>
            </w:r>
          </w:p>
        </w:tc>
        <w:tc>
          <w:tcPr>
            <w:tcW w:w="661" w:type="pct"/>
            <w:shd w:val="clear" w:color="auto" w:fill="404040" w:themeFill="text1" w:themeFillTint="BF"/>
            <w:vAlign w:val="center"/>
          </w:tcPr>
          <w:p w14:paraId="76B53A5F" w14:textId="77777777" w:rsidR="009E3A91" w:rsidRPr="00AE2FD7" w:rsidRDefault="009E3A91" w:rsidP="009E3A91">
            <w:pPr>
              <w:pStyle w:val="TableHeading"/>
              <w:jc w:val="right"/>
              <w:rPr>
                <w:b w:val="0"/>
                <w:color w:val="FFFFFF" w:themeColor="background1"/>
              </w:rPr>
            </w:pPr>
            <w:r w:rsidRPr="00CE6BED">
              <w:rPr>
                <w:color w:val="FFFFFF" w:themeColor="background1"/>
              </w:rPr>
              <w:t>201</w:t>
            </w:r>
            <w:r>
              <w:rPr>
                <w:color w:val="FFFFFF" w:themeColor="background1"/>
              </w:rPr>
              <w:t>9</w:t>
            </w:r>
            <w:r w:rsidRPr="00CE6BED">
              <w:rPr>
                <w:color w:val="FFFFFF" w:themeColor="background1"/>
              </w:rPr>
              <w:t>–</w:t>
            </w:r>
            <w:r>
              <w:rPr>
                <w:color w:val="FFFFFF" w:themeColor="background1"/>
              </w:rPr>
              <w:t>20</w:t>
            </w:r>
          </w:p>
        </w:tc>
        <w:tc>
          <w:tcPr>
            <w:tcW w:w="657" w:type="pct"/>
            <w:tcBorders>
              <w:top w:val="single" w:sz="6" w:space="0" w:color="auto"/>
            </w:tcBorders>
            <w:shd w:val="clear" w:color="auto" w:fill="404040" w:themeFill="text1" w:themeFillTint="BF"/>
            <w:vAlign w:val="center"/>
          </w:tcPr>
          <w:p w14:paraId="218D5768" w14:textId="77777777" w:rsidR="009E3A91" w:rsidRPr="001F50FB" w:rsidRDefault="009E3A91" w:rsidP="009E3A91">
            <w:pPr>
              <w:pStyle w:val="TableHeading"/>
              <w:jc w:val="right"/>
              <w:rPr>
                <w:color w:val="FFFFFF" w:themeColor="background1"/>
              </w:rPr>
            </w:pPr>
            <w:r w:rsidRPr="001F50FB">
              <w:rPr>
                <w:color w:val="FFFFFF" w:themeColor="background1"/>
              </w:rPr>
              <w:t>20</w:t>
            </w:r>
            <w:r>
              <w:rPr>
                <w:color w:val="FFFFFF" w:themeColor="background1"/>
              </w:rPr>
              <w:t>20</w:t>
            </w:r>
            <w:r w:rsidRPr="001F50FB">
              <w:rPr>
                <w:color w:val="FFFFFF" w:themeColor="background1"/>
              </w:rPr>
              <w:t>–2</w:t>
            </w:r>
            <w:r>
              <w:rPr>
                <w:color w:val="FFFFFF" w:themeColor="background1"/>
              </w:rPr>
              <w:t>1</w:t>
            </w:r>
          </w:p>
        </w:tc>
      </w:tr>
      <w:tr w:rsidR="009E3A91" w:rsidRPr="00B4771B" w14:paraId="5E8136CD" w14:textId="77777777" w:rsidTr="009E3A91">
        <w:trPr>
          <w:trHeight w:val="256"/>
        </w:trPr>
        <w:tc>
          <w:tcPr>
            <w:tcW w:w="2359" w:type="pct"/>
          </w:tcPr>
          <w:p w14:paraId="465850BF" w14:textId="77777777" w:rsidR="009E3A91" w:rsidRPr="00F45CD9" w:rsidRDefault="009E3A91" w:rsidP="009E3A91">
            <w:pPr>
              <w:keepNext/>
              <w:spacing w:after="0"/>
              <w:rPr>
                <w:rFonts w:cs="Arial"/>
                <w:szCs w:val="20"/>
              </w:rPr>
            </w:pPr>
            <w:r w:rsidRPr="00584E54">
              <w:rPr>
                <w:rFonts w:cs="Arial"/>
                <w:szCs w:val="20"/>
              </w:rPr>
              <w:t>Number of measurement devices added to the program</w:t>
            </w:r>
          </w:p>
        </w:tc>
        <w:tc>
          <w:tcPr>
            <w:tcW w:w="662" w:type="pct"/>
          </w:tcPr>
          <w:p w14:paraId="451E7E96" w14:textId="77777777" w:rsidR="009E3A91" w:rsidRDefault="009E3A91" w:rsidP="009E3A91">
            <w:pPr>
              <w:keepNext/>
              <w:spacing w:after="0"/>
              <w:jc w:val="right"/>
              <w:rPr>
                <w:rFonts w:cs="Arial"/>
                <w:color w:val="000000"/>
                <w:szCs w:val="20"/>
              </w:rPr>
            </w:pPr>
            <w:r w:rsidRPr="00F333FB">
              <w:t>2,500</w:t>
            </w:r>
          </w:p>
        </w:tc>
        <w:tc>
          <w:tcPr>
            <w:tcW w:w="661" w:type="pct"/>
          </w:tcPr>
          <w:p w14:paraId="3DEB1A1B" w14:textId="77777777" w:rsidR="009E3A91" w:rsidRDefault="009E3A91" w:rsidP="009E3A91">
            <w:pPr>
              <w:keepNext/>
              <w:spacing w:after="0"/>
              <w:jc w:val="right"/>
              <w:rPr>
                <w:rFonts w:cs="Arial"/>
                <w:color w:val="000000"/>
                <w:szCs w:val="20"/>
              </w:rPr>
            </w:pPr>
            <w:r w:rsidRPr="00F333FB">
              <w:t>800</w:t>
            </w:r>
          </w:p>
        </w:tc>
        <w:tc>
          <w:tcPr>
            <w:tcW w:w="661" w:type="pct"/>
          </w:tcPr>
          <w:p w14:paraId="7F5560EF" w14:textId="77777777" w:rsidR="009E3A91" w:rsidRDefault="009E3A91" w:rsidP="009E3A91">
            <w:pPr>
              <w:keepNext/>
              <w:spacing w:after="0"/>
              <w:jc w:val="right"/>
              <w:rPr>
                <w:rFonts w:cs="Arial"/>
                <w:color w:val="000000"/>
                <w:szCs w:val="20"/>
              </w:rPr>
            </w:pPr>
            <w:r w:rsidRPr="00F333FB">
              <w:t>500</w:t>
            </w:r>
          </w:p>
        </w:tc>
        <w:tc>
          <w:tcPr>
            <w:tcW w:w="657" w:type="pct"/>
          </w:tcPr>
          <w:p w14:paraId="0974BCF2" w14:textId="77777777" w:rsidR="009E3A91" w:rsidRDefault="009E3A91" w:rsidP="009E3A91">
            <w:pPr>
              <w:keepNext/>
              <w:spacing w:after="0"/>
              <w:jc w:val="right"/>
              <w:rPr>
                <w:rFonts w:cs="Arial"/>
                <w:color w:val="000000"/>
                <w:szCs w:val="20"/>
              </w:rPr>
            </w:pPr>
            <w:r w:rsidRPr="00F333FB">
              <w:t>&gt;=200</w:t>
            </w:r>
          </w:p>
        </w:tc>
      </w:tr>
      <w:tr w:rsidR="009E3A91" w:rsidRPr="00B4771B" w14:paraId="5A89C336" w14:textId="77777777" w:rsidTr="009E3A91">
        <w:trPr>
          <w:trHeight w:val="446"/>
        </w:trPr>
        <w:tc>
          <w:tcPr>
            <w:tcW w:w="2359" w:type="pct"/>
          </w:tcPr>
          <w:p w14:paraId="1E203ABB" w14:textId="77777777" w:rsidR="009E3A91" w:rsidRPr="00F45CD9" w:rsidRDefault="009E3A91" w:rsidP="009E3A91">
            <w:pPr>
              <w:keepNext/>
              <w:spacing w:after="0"/>
              <w:rPr>
                <w:rFonts w:cs="Arial"/>
                <w:szCs w:val="20"/>
              </w:rPr>
            </w:pPr>
            <w:r w:rsidRPr="00584E54">
              <w:rPr>
                <w:rFonts w:cs="Arial"/>
                <w:szCs w:val="20"/>
              </w:rPr>
              <w:t>Total number of measurement devices in the program</w:t>
            </w:r>
          </w:p>
        </w:tc>
        <w:tc>
          <w:tcPr>
            <w:tcW w:w="662" w:type="pct"/>
          </w:tcPr>
          <w:p w14:paraId="5579CCC2" w14:textId="77777777" w:rsidR="009E3A91" w:rsidRDefault="009E3A91" w:rsidP="009E3A91">
            <w:pPr>
              <w:keepNext/>
              <w:spacing w:after="0"/>
              <w:jc w:val="right"/>
              <w:rPr>
                <w:rFonts w:cs="Arial"/>
                <w:color w:val="000000"/>
                <w:szCs w:val="20"/>
              </w:rPr>
            </w:pPr>
            <w:r w:rsidRPr="00F333FB">
              <w:t>2,500</w:t>
            </w:r>
          </w:p>
        </w:tc>
        <w:tc>
          <w:tcPr>
            <w:tcW w:w="661" w:type="pct"/>
          </w:tcPr>
          <w:p w14:paraId="3CB10A7D" w14:textId="77777777" w:rsidR="009E3A91" w:rsidRDefault="009E3A91" w:rsidP="009E3A91">
            <w:pPr>
              <w:keepNext/>
              <w:spacing w:after="0"/>
              <w:jc w:val="right"/>
              <w:rPr>
                <w:rFonts w:cs="Arial"/>
                <w:color w:val="000000"/>
                <w:szCs w:val="20"/>
              </w:rPr>
            </w:pPr>
            <w:r w:rsidRPr="00F333FB">
              <w:t>3,300</w:t>
            </w:r>
          </w:p>
        </w:tc>
        <w:tc>
          <w:tcPr>
            <w:tcW w:w="661" w:type="pct"/>
          </w:tcPr>
          <w:p w14:paraId="6EEC3958" w14:textId="77777777" w:rsidR="009E3A91" w:rsidRDefault="009E3A91" w:rsidP="009E3A91">
            <w:pPr>
              <w:keepNext/>
              <w:spacing w:after="0"/>
              <w:jc w:val="right"/>
              <w:rPr>
                <w:rFonts w:cs="Arial"/>
                <w:color w:val="000000"/>
                <w:szCs w:val="20"/>
              </w:rPr>
            </w:pPr>
            <w:r w:rsidRPr="00F333FB">
              <w:t>3,800</w:t>
            </w:r>
          </w:p>
        </w:tc>
        <w:tc>
          <w:tcPr>
            <w:tcW w:w="657" w:type="pct"/>
          </w:tcPr>
          <w:p w14:paraId="7760E04C" w14:textId="77777777" w:rsidR="009E3A91" w:rsidRDefault="009E3A91" w:rsidP="009E3A91">
            <w:pPr>
              <w:keepNext/>
              <w:spacing w:after="0"/>
              <w:jc w:val="right"/>
              <w:rPr>
                <w:rFonts w:cs="Arial"/>
                <w:color w:val="000000"/>
                <w:szCs w:val="20"/>
              </w:rPr>
            </w:pPr>
            <w:r w:rsidRPr="00F333FB">
              <w:t>&gt;=4,000</w:t>
            </w:r>
          </w:p>
        </w:tc>
      </w:tr>
    </w:tbl>
    <w:p w14:paraId="7212D557" w14:textId="77777777" w:rsidR="009E3A91" w:rsidRDefault="009E3A91" w:rsidP="009E3A91">
      <w:pPr>
        <w:pStyle w:val="ACMASpaceaftertable"/>
      </w:pPr>
    </w:p>
    <w:p w14:paraId="578F6BEE" w14:textId="77777777" w:rsidR="009E3A91" w:rsidRDefault="009E3A91" w:rsidP="009E3A91">
      <w:r w:rsidRPr="00083A83">
        <w:t xml:space="preserve">Table </w:t>
      </w:r>
      <w:r>
        <w:t>3</w:t>
      </w:r>
      <w:r w:rsidRPr="00083A83">
        <w:t xml:space="preserve"> provides details</w:t>
      </w:r>
      <w:r>
        <w:t xml:space="preserve"> of the ACCC’s anticipated program expenses over the forward years.</w:t>
      </w:r>
    </w:p>
    <w:p w14:paraId="342C7715" w14:textId="77777777" w:rsidR="009E3A91" w:rsidRDefault="009E3A91" w:rsidP="009E3A91">
      <w:pPr>
        <w:pStyle w:val="ACMATableHeader"/>
      </w:pPr>
      <w:r w:rsidRPr="006A56FD">
        <w:t xml:space="preserve">The ACCC’s </w:t>
      </w:r>
      <w:r w:rsidRPr="00584E54">
        <w:t xml:space="preserve">anticipated </w:t>
      </w:r>
      <w:r>
        <w:t>program expenses</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57" w:type="dxa"/>
          <w:left w:w="57" w:type="dxa"/>
          <w:bottom w:w="57" w:type="dxa"/>
          <w:right w:w="57" w:type="dxa"/>
        </w:tblCellMar>
        <w:tblLook w:val="04A0" w:firstRow="1" w:lastRow="0" w:firstColumn="1" w:lastColumn="0" w:noHBand="0" w:noVBand="1"/>
        <w:tblCaption w:val="The ACCC’s component at output level, 2015–16"/>
        <w:tblDescription w:val="Includes the  direct, support and total costs for output activities."/>
      </w:tblPr>
      <w:tblGrid>
        <w:gridCol w:w="3611"/>
        <w:gridCol w:w="1014"/>
        <w:gridCol w:w="1012"/>
        <w:gridCol w:w="1012"/>
        <w:gridCol w:w="1006"/>
      </w:tblGrid>
      <w:tr w:rsidR="009E3A91" w:rsidRPr="00B4771B" w14:paraId="353E738B" w14:textId="77777777" w:rsidTr="009E3A91">
        <w:trPr>
          <w:trHeight w:val="361"/>
          <w:tblHeader/>
        </w:trPr>
        <w:tc>
          <w:tcPr>
            <w:tcW w:w="2359" w:type="pct"/>
            <w:shd w:val="clear" w:color="auto" w:fill="404040" w:themeFill="text1" w:themeFillTint="BF"/>
            <w:vAlign w:val="center"/>
          </w:tcPr>
          <w:p w14:paraId="28E13081" w14:textId="77777777" w:rsidR="009E3A91" w:rsidRPr="00AE2FD7" w:rsidRDefault="009E3A91" w:rsidP="009E3A91">
            <w:pPr>
              <w:pStyle w:val="TableHeading"/>
              <w:jc w:val="right"/>
              <w:rPr>
                <w:b w:val="0"/>
                <w:color w:val="FFFFFF" w:themeColor="background1"/>
              </w:rPr>
            </w:pPr>
          </w:p>
        </w:tc>
        <w:tc>
          <w:tcPr>
            <w:tcW w:w="662" w:type="pct"/>
            <w:shd w:val="clear" w:color="auto" w:fill="404040" w:themeFill="text1" w:themeFillTint="BF"/>
            <w:vAlign w:val="center"/>
          </w:tcPr>
          <w:p w14:paraId="620E9077" w14:textId="77777777" w:rsidR="009E3A91" w:rsidRPr="00AE2FD7" w:rsidRDefault="009E3A91" w:rsidP="009E3A91">
            <w:pPr>
              <w:pStyle w:val="TableHeading"/>
              <w:jc w:val="right"/>
              <w:rPr>
                <w:b w:val="0"/>
                <w:color w:val="FFFFFF" w:themeColor="background1"/>
              </w:rPr>
            </w:pPr>
            <w:r w:rsidRPr="00CE6BED">
              <w:rPr>
                <w:color w:val="FFFFFF" w:themeColor="background1"/>
              </w:rPr>
              <w:t>201</w:t>
            </w:r>
            <w:r>
              <w:rPr>
                <w:color w:val="FFFFFF" w:themeColor="background1"/>
              </w:rPr>
              <w:t>7</w:t>
            </w:r>
            <w:r w:rsidRPr="00CE6BED">
              <w:rPr>
                <w:color w:val="FFFFFF" w:themeColor="background1"/>
              </w:rPr>
              <w:t>–1</w:t>
            </w:r>
            <w:r>
              <w:rPr>
                <w:color w:val="FFFFFF" w:themeColor="background1"/>
              </w:rPr>
              <w:t>8</w:t>
            </w:r>
          </w:p>
        </w:tc>
        <w:tc>
          <w:tcPr>
            <w:tcW w:w="661" w:type="pct"/>
            <w:shd w:val="clear" w:color="auto" w:fill="404040" w:themeFill="text1" w:themeFillTint="BF"/>
            <w:vAlign w:val="center"/>
          </w:tcPr>
          <w:p w14:paraId="63C909A2" w14:textId="77777777" w:rsidR="009E3A91" w:rsidRPr="00AE2FD7" w:rsidRDefault="009E3A91" w:rsidP="009E3A91">
            <w:pPr>
              <w:pStyle w:val="TableHeading"/>
              <w:jc w:val="right"/>
              <w:rPr>
                <w:color w:val="FFFFFF" w:themeColor="background1"/>
              </w:rPr>
            </w:pPr>
            <w:r w:rsidRPr="00CE6BED">
              <w:rPr>
                <w:color w:val="FFFFFF" w:themeColor="background1"/>
              </w:rPr>
              <w:t>201</w:t>
            </w:r>
            <w:r>
              <w:rPr>
                <w:color w:val="FFFFFF" w:themeColor="background1"/>
              </w:rPr>
              <w:t>8</w:t>
            </w:r>
            <w:r w:rsidRPr="00CE6BED">
              <w:rPr>
                <w:color w:val="FFFFFF" w:themeColor="background1"/>
              </w:rPr>
              <w:t>–1</w:t>
            </w:r>
            <w:r>
              <w:rPr>
                <w:color w:val="FFFFFF" w:themeColor="background1"/>
              </w:rPr>
              <w:t>9</w:t>
            </w:r>
          </w:p>
        </w:tc>
        <w:tc>
          <w:tcPr>
            <w:tcW w:w="661" w:type="pct"/>
            <w:shd w:val="clear" w:color="auto" w:fill="404040" w:themeFill="text1" w:themeFillTint="BF"/>
            <w:vAlign w:val="center"/>
          </w:tcPr>
          <w:p w14:paraId="328374FA" w14:textId="77777777" w:rsidR="009E3A91" w:rsidRPr="00AE2FD7" w:rsidRDefault="009E3A91" w:rsidP="009E3A91">
            <w:pPr>
              <w:pStyle w:val="TableHeading"/>
              <w:jc w:val="right"/>
              <w:rPr>
                <w:b w:val="0"/>
                <w:color w:val="FFFFFF" w:themeColor="background1"/>
              </w:rPr>
            </w:pPr>
            <w:r w:rsidRPr="00CE6BED">
              <w:rPr>
                <w:color w:val="FFFFFF" w:themeColor="background1"/>
              </w:rPr>
              <w:t>201</w:t>
            </w:r>
            <w:r>
              <w:rPr>
                <w:color w:val="FFFFFF" w:themeColor="background1"/>
              </w:rPr>
              <w:t>9</w:t>
            </w:r>
            <w:r w:rsidRPr="00CE6BED">
              <w:rPr>
                <w:color w:val="FFFFFF" w:themeColor="background1"/>
              </w:rPr>
              <w:t>–</w:t>
            </w:r>
            <w:r>
              <w:rPr>
                <w:color w:val="FFFFFF" w:themeColor="background1"/>
              </w:rPr>
              <w:t>20</w:t>
            </w:r>
          </w:p>
        </w:tc>
        <w:tc>
          <w:tcPr>
            <w:tcW w:w="657" w:type="pct"/>
            <w:tcBorders>
              <w:top w:val="single" w:sz="6" w:space="0" w:color="auto"/>
            </w:tcBorders>
            <w:shd w:val="clear" w:color="auto" w:fill="404040" w:themeFill="text1" w:themeFillTint="BF"/>
            <w:vAlign w:val="center"/>
          </w:tcPr>
          <w:p w14:paraId="782B6E96" w14:textId="77777777" w:rsidR="009E3A91" w:rsidRPr="00584E54" w:rsidRDefault="009E3A91" w:rsidP="009E3A91">
            <w:pPr>
              <w:pStyle w:val="TableHeading"/>
              <w:jc w:val="right"/>
              <w:rPr>
                <w:color w:val="FFFFFF" w:themeColor="background1"/>
              </w:rPr>
            </w:pPr>
            <w:r w:rsidRPr="00CE6BED">
              <w:rPr>
                <w:color w:val="FFFFFF" w:themeColor="background1"/>
              </w:rPr>
              <w:t>20</w:t>
            </w:r>
            <w:r>
              <w:rPr>
                <w:color w:val="FFFFFF" w:themeColor="background1"/>
              </w:rPr>
              <w:t>20</w:t>
            </w:r>
            <w:r w:rsidRPr="00CE6BED">
              <w:rPr>
                <w:color w:val="FFFFFF" w:themeColor="background1"/>
              </w:rPr>
              <w:t>–</w:t>
            </w:r>
            <w:r>
              <w:rPr>
                <w:color w:val="FFFFFF" w:themeColor="background1"/>
              </w:rPr>
              <w:t>21</w:t>
            </w:r>
          </w:p>
        </w:tc>
      </w:tr>
      <w:tr w:rsidR="009E3A91" w:rsidRPr="00B4771B" w14:paraId="0C717268" w14:textId="77777777" w:rsidTr="009E3A91">
        <w:trPr>
          <w:trHeight w:val="256"/>
        </w:trPr>
        <w:tc>
          <w:tcPr>
            <w:tcW w:w="2359" w:type="pct"/>
          </w:tcPr>
          <w:p w14:paraId="37E3697F" w14:textId="77777777" w:rsidR="009E3A91" w:rsidRPr="00F45CD9" w:rsidRDefault="009E3A91" w:rsidP="009E3A91">
            <w:pPr>
              <w:keepNext/>
              <w:spacing w:after="0"/>
              <w:rPr>
                <w:rFonts w:cs="Arial"/>
                <w:szCs w:val="20"/>
              </w:rPr>
            </w:pPr>
            <w:r>
              <w:t>MBA</w:t>
            </w:r>
            <w:r w:rsidRPr="00477064">
              <w:t xml:space="preserve"> program expenses</w:t>
            </w:r>
          </w:p>
        </w:tc>
        <w:tc>
          <w:tcPr>
            <w:tcW w:w="662" w:type="pct"/>
          </w:tcPr>
          <w:p w14:paraId="2A530A59" w14:textId="77777777" w:rsidR="009E3A91" w:rsidRDefault="009E3A91" w:rsidP="009E3A91">
            <w:pPr>
              <w:keepNext/>
              <w:spacing w:after="0"/>
              <w:jc w:val="right"/>
              <w:rPr>
                <w:rFonts w:cs="Arial"/>
                <w:color w:val="000000"/>
                <w:szCs w:val="20"/>
              </w:rPr>
            </w:pPr>
            <w:r w:rsidRPr="00477064">
              <w:t>$2.0 million</w:t>
            </w:r>
          </w:p>
        </w:tc>
        <w:tc>
          <w:tcPr>
            <w:tcW w:w="661" w:type="pct"/>
          </w:tcPr>
          <w:p w14:paraId="4EC0D0AC" w14:textId="77777777" w:rsidR="009E3A91" w:rsidRDefault="009E3A91" w:rsidP="009E3A91">
            <w:pPr>
              <w:keepNext/>
              <w:spacing w:after="0"/>
              <w:jc w:val="right"/>
              <w:rPr>
                <w:rFonts w:cs="Arial"/>
                <w:color w:val="000000"/>
                <w:szCs w:val="20"/>
              </w:rPr>
            </w:pPr>
            <w:r w:rsidRPr="00477064">
              <w:t>$1.7 million</w:t>
            </w:r>
          </w:p>
        </w:tc>
        <w:tc>
          <w:tcPr>
            <w:tcW w:w="661" w:type="pct"/>
          </w:tcPr>
          <w:p w14:paraId="5612363E" w14:textId="77777777" w:rsidR="009E3A91" w:rsidRDefault="009E3A91" w:rsidP="009E3A91">
            <w:pPr>
              <w:keepNext/>
              <w:spacing w:after="0"/>
              <w:jc w:val="right"/>
              <w:rPr>
                <w:rFonts w:cs="Arial"/>
                <w:color w:val="000000"/>
                <w:szCs w:val="20"/>
              </w:rPr>
            </w:pPr>
            <w:r w:rsidRPr="00477064">
              <w:t>$1.6 million</w:t>
            </w:r>
          </w:p>
        </w:tc>
        <w:tc>
          <w:tcPr>
            <w:tcW w:w="657" w:type="pct"/>
          </w:tcPr>
          <w:p w14:paraId="13B7C79C" w14:textId="77777777" w:rsidR="009E3A91" w:rsidRDefault="009E3A91" w:rsidP="009E3A91">
            <w:pPr>
              <w:keepNext/>
              <w:spacing w:after="0"/>
              <w:jc w:val="right"/>
              <w:rPr>
                <w:rFonts w:cs="Arial"/>
                <w:color w:val="000000"/>
                <w:szCs w:val="20"/>
              </w:rPr>
            </w:pPr>
            <w:r w:rsidRPr="00477064">
              <w:t>$1.7 million</w:t>
            </w:r>
          </w:p>
        </w:tc>
      </w:tr>
    </w:tbl>
    <w:p w14:paraId="773EC53D" w14:textId="77777777" w:rsidR="009E3A91" w:rsidRDefault="009E3A91" w:rsidP="009E3A91">
      <w:pPr>
        <w:pStyle w:val="ACMASpaceaftertable"/>
        <w:rPr>
          <w:rFonts w:eastAsia="SimSun"/>
          <w:lang w:eastAsia="en-US"/>
        </w:rPr>
      </w:pPr>
    </w:p>
    <w:p w14:paraId="3E219D9C" w14:textId="77777777" w:rsidR="009E3A91" w:rsidRPr="00BD4FBF" w:rsidRDefault="009E3A91" w:rsidP="009E3A91">
      <w:pPr>
        <w:rPr>
          <w:rFonts w:eastAsia="SimSun"/>
          <w:lang w:eastAsia="en-US"/>
        </w:rPr>
      </w:pPr>
      <w:r>
        <w:rPr>
          <w:rFonts w:eastAsia="SimSun" w:cs="Arial"/>
          <w:szCs w:val="20"/>
          <w:lang w:eastAsia="en-US"/>
        </w:rPr>
        <w:t xml:space="preserve">Costs associated with ACCC </w:t>
      </w:r>
      <w:r w:rsidRPr="00BD4FBF">
        <w:rPr>
          <w:rFonts w:eastAsia="SimSun"/>
          <w:lang w:eastAsia="en-US"/>
        </w:rPr>
        <w:t>project and contract management</w:t>
      </w:r>
      <w:r>
        <w:rPr>
          <w:rFonts w:eastAsia="SimSun"/>
          <w:lang w:eastAsia="en-US"/>
        </w:rPr>
        <w:t>, and publishing of results will not be cost recovered.</w:t>
      </w:r>
    </w:p>
    <w:p w14:paraId="2AA84B9B" w14:textId="77777777" w:rsidR="009E3A91" w:rsidRDefault="009E3A91" w:rsidP="009E3A91">
      <w:pPr>
        <w:pStyle w:val="Heading2"/>
      </w:pPr>
      <w:bookmarkStart w:id="186" w:name="_Toc511294493"/>
      <w:bookmarkStart w:id="187" w:name="_Toc511634428"/>
      <w:bookmarkStart w:id="188" w:name="_Toc532543435"/>
      <w:r w:rsidRPr="003F7E3A">
        <w:t>3.</w:t>
      </w:r>
      <w:r>
        <w:t>2</w:t>
      </w:r>
      <w:r w:rsidRPr="003F7E3A">
        <w:tab/>
        <w:t>Design of cost recovery charges</w:t>
      </w:r>
      <w:bookmarkEnd w:id="186"/>
      <w:bookmarkEnd w:id="187"/>
      <w:bookmarkEnd w:id="188"/>
    </w:p>
    <w:p w14:paraId="15693C4C" w14:textId="77777777" w:rsidR="009E3A91" w:rsidRPr="00382C3D" w:rsidRDefault="009E3A91" w:rsidP="009E3A91">
      <w:r>
        <w:t xml:space="preserve">The portion of the efficient costs of the program to be cost recovered (as opposed to the proportion of costs which are being absorbed) will be levied on the carriers whose services are subject to testing via the program (that is, they are the recipients of the activity), for the duration of that testing. Note that this includes levying both retail carriers whose own retail services are being monitored, and wholesale carriers where their reseller’s retail services are being monitored. </w:t>
      </w:r>
      <w:r w:rsidRPr="00A84CBD">
        <w:t xml:space="preserve">In accordance with the </w:t>
      </w:r>
      <w:r>
        <w:t>calculation of the ACLC levy</w:t>
      </w:r>
      <w:r w:rsidRPr="00A84CBD">
        <w:t>, non-participating persons (that is, the smaller carriers)</w:t>
      </w:r>
      <w:r>
        <w:t xml:space="preserve"> within the meaning of </w:t>
      </w:r>
      <w:r w:rsidRPr="00382C3D">
        <w:t>the Telecommunications (Participating Persons) Determination 2015 will be exempted from the liability to pay the MBA program levy.</w:t>
      </w:r>
    </w:p>
    <w:p w14:paraId="013AF1ED" w14:textId="77777777" w:rsidR="009E3A91" w:rsidRDefault="009E3A91" w:rsidP="009E3A91">
      <w:r>
        <w:t>The costs imposed on a carrier via the ACLC for the MBA program will be calculated according to the following formula:</w:t>
      </w:r>
    </w:p>
    <w:p w14:paraId="4D5FBB0F" w14:textId="77777777" w:rsidR="009E3A91" w:rsidRPr="004878A6" w:rsidRDefault="009E3A91" w:rsidP="009E3A91">
      <w:pPr>
        <w:rPr>
          <w:rFonts w:asciiTheme="minorHAnsi" w:eastAsia="Calibri" w:hAnsiTheme="minorHAnsi"/>
        </w:rPr>
      </w:pPr>
      <m:oMathPara>
        <m:oMathParaPr>
          <m:jc m:val="left"/>
        </m:oMathParaPr>
        <m:oMath>
          <m:r>
            <w:rPr>
              <w:rFonts w:ascii="Cambria Math" w:eastAsia="Calibri" w:hAnsi="Cambria Math"/>
            </w:rPr>
            <m:t>APC×</m:t>
          </m:r>
          <m:f>
            <m:fPr>
              <m:ctrlPr>
                <w:rPr>
                  <w:rFonts w:ascii="Cambria Math" w:eastAsia="Calibri" w:hAnsi="Cambria Math"/>
                  <w:i/>
                </w:rPr>
              </m:ctrlPr>
            </m:fPr>
            <m:num>
              <m:r>
                <w:rPr>
                  <w:rFonts w:ascii="Cambria Math" w:eastAsia="Calibri" w:hAnsi="Cambria Math"/>
                </w:rPr>
                <m:t>FLC</m:t>
              </m:r>
            </m:num>
            <m:den>
              <m:r>
                <w:rPr>
                  <w:rFonts w:ascii="Cambria Math" w:eastAsia="Calibri" w:hAnsi="Cambria Math"/>
                </w:rPr>
                <m:t>TFLC</m:t>
              </m:r>
            </m:den>
          </m:f>
        </m:oMath>
      </m:oMathPara>
    </w:p>
    <w:p w14:paraId="6C97FD7F" w14:textId="77777777" w:rsidR="009E3A91" w:rsidRDefault="009E3A91" w:rsidP="009E3A91">
      <w:pPr>
        <w:spacing w:after="80"/>
      </w:pPr>
      <w:r>
        <w:t>Where:</w:t>
      </w:r>
    </w:p>
    <w:p w14:paraId="1DE4EEA5" w14:textId="77777777" w:rsidR="009E3A91" w:rsidRPr="00F37B15" w:rsidRDefault="009E3A91" w:rsidP="009E3A91">
      <w:pPr>
        <w:pStyle w:val="ListBullet"/>
        <w:rPr>
          <w:rFonts w:eastAsia="SimSun"/>
        </w:rPr>
      </w:pPr>
      <w:r>
        <w:rPr>
          <w:rFonts w:eastAsia="SimSun"/>
          <w:lang w:eastAsia="en-US"/>
        </w:rPr>
        <w:t>APC</w:t>
      </w:r>
      <w:r w:rsidRPr="00663CD3">
        <w:rPr>
          <w:rFonts w:eastAsia="SimSun"/>
          <w:lang w:eastAsia="en-US"/>
        </w:rPr>
        <w:t xml:space="preserve"> </w:t>
      </w:r>
      <w:r w:rsidRPr="00F37B15">
        <w:rPr>
          <w:rFonts w:eastAsia="SimSun"/>
        </w:rPr>
        <w:t>is the MBA annual program costs, incurred by the ACCC, during the financial year</w:t>
      </w:r>
    </w:p>
    <w:p w14:paraId="72A3ED01" w14:textId="77777777" w:rsidR="009E3A91" w:rsidRPr="00663CD3" w:rsidRDefault="009E3A91" w:rsidP="009E3A91">
      <w:pPr>
        <w:pStyle w:val="ListBullet"/>
        <w:rPr>
          <w:rFonts w:eastAsia="SimSun"/>
          <w:lang w:eastAsia="en-US"/>
        </w:rPr>
      </w:pPr>
      <w:r w:rsidRPr="00F37B15">
        <w:rPr>
          <w:rFonts w:eastAsia="SimSun"/>
        </w:rPr>
        <w:t>FLC is the total number of NBN fixed-line connections operated by the monitored service provider in a test</w:t>
      </w:r>
      <w:r>
        <w:rPr>
          <w:rFonts w:eastAsia="SimSun"/>
          <w:lang w:eastAsia="en-US"/>
        </w:rPr>
        <w:t xml:space="preserve"> segment</w:t>
      </w:r>
      <w:r w:rsidRPr="00663CD3">
        <w:rPr>
          <w:rFonts w:eastAsia="SimSun"/>
          <w:lang w:eastAsia="en-US"/>
        </w:rPr>
        <w:t xml:space="preserve"> </w:t>
      </w:r>
    </w:p>
    <w:p w14:paraId="15C840FE" w14:textId="4E23D2FD" w:rsidR="009E3A91" w:rsidRPr="00663CD3" w:rsidRDefault="009E3A91" w:rsidP="009E3A91">
      <w:pPr>
        <w:pStyle w:val="ListBulletLast"/>
        <w:rPr>
          <w:rFonts w:eastAsia="SimSun"/>
          <w:lang w:eastAsia="en-US"/>
        </w:rPr>
      </w:pPr>
      <w:r w:rsidRPr="00663CD3">
        <w:rPr>
          <w:rFonts w:eastAsia="SimSun"/>
          <w:lang w:eastAsia="en-US"/>
        </w:rPr>
        <w:t>TFLC i</w:t>
      </w:r>
      <w:r>
        <w:rPr>
          <w:rFonts w:eastAsia="SimSun"/>
          <w:lang w:eastAsia="en-US"/>
        </w:rPr>
        <w:t>s</w:t>
      </w:r>
      <w:r w:rsidRPr="00663CD3">
        <w:rPr>
          <w:rFonts w:eastAsia="SimSun"/>
          <w:lang w:eastAsia="en-US"/>
        </w:rPr>
        <w:t xml:space="preserve"> the total number of NBN fixed-line connections operated by all monitored service providers</w:t>
      </w:r>
      <w:r>
        <w:rPr>
          <w:rFonts w:eastAsia="SimSun"/>
          <w:lang w:eastAsia="en-US"/>
        </w:rPr>
        <w:t xml:space="preserve"> who are also participating persons (</w:t>
      </w:r>
      <w:r w:rsidR="00F24FB7">
        <w:rPr>
          <w:rFonts w:eastAsia="SimSun"/>
          <w:lang w:eastAsia="en-US"/>
        </w:rPr>
        <w:t>excluding non-participating persons under</w:t>
      </w:r>
      <w:r>
        <w:rPr>
          <w:rFonts w:eastAsia="SimSun"/>
          <w:lang w:eastAsia="en-US"/>
        </w:rPr>
        <w:t xml:space="preserve"> the </w:t>
      </w:r>
      <w:r w:rsidRPr="00382C3D">
        <w:rPr>
          <w:rFonts w:eastAsia="SimSun"/>
          <w:lang w:eastAsia="en-US"/>
        </w:rPr>
        <w:t>Telecommunications (Participating Persons) Determination 2015</w:t>
      </w:r>
      <w:r>
        <w:rPr>
          <w:rFonts w:eastAsia="SimSun"/>
          <w:lang w:eastAsia="en-US"/>
        </w:rPr>
        <w:t>)</w:t>
      </w:r>
      <w:r w:rsidRPr="00663CD3">
        <w:rPr>
          <w:rFonts w:eastAsia="SimSun"/>
          <w:lang w:eastAsia="en-US"/>
        </w:rPr>
        <w:t>.</w:t>
      </w:r>
    </w:p>
    <w:p w14:paraId="3E720D0A" w14:textId="77777777" w:rsidR="009E3A91" w:rsidRDefault="009E3A91" w:rsidP="009E3A91">
      <w:r>
        <w:t>The total FLC will be the number of measuring devices deployed within the test segment. Each carrier’s total annual bill will be made up of the costs incurred in monitoring their services by test segment. The number of NBN fixed-line connections in any financial year will be established based on NBN’s quarterly reporting to the ACCC on the number of fixed-line NBN connections.</w:t>
      </w:r>
    </w:p>
    <w:p w14:paraId="386B1E63" w14:textId="77777777" w:rsidR="009E3A91" w:rsidRDefault="009E3A91" w:rsidP="009E3A91">
      <w:r>
        <w:t>Partial year participation in the MBA program will be charged on a pro-rata basis on the number of quarters in which monitoring occurs. It is not anticipated that monitoring of providers will change within a given financial year, however, this methodology accommodates new NBN service provider entrants.</w:t>
      </w:r>
    </w:p>
    <w:p w14:paraId="00798912" w14:textId="77777777" w:rsidR="009E3A91" w:rsidRPr="00554D1B" w:rsidRDefault="009E3A91" w:rsidP="009E3A91">
      <w:r>
        <w:t xml:space="preserve">Invoicing for the charging activity will occur in accordance with existing ACLC </w:t>
      </w:r>
      <w:r w:rsidRPr="00997E71">
        <w:t xml:space="preserve">arrangements. </w:t>
      </w:r>
      <w:r>
        <w:t>The activities funded by the ACLC may be subject to future Communications Portfolio Charging Reviews.</w:t>
      </w:r>
    </w:p>
    <w:p w14:paraId="518C277E" w14:textId="77777777" w:rsidR="009E3A91" w:rsidRDefault="009E3A91" w:rsidP="009E3A91">
      <w:pPr>
        <w:pStyle w:val="Heading1"/>
      </w:pPr>
      <w:bookmarkStart w:id="189" w:name="_Toc511294494"/>
      <w:bookmarkStart w:id="190" w:name="_Toc511634429"/>
      <w:bookmarkStart w:id="191" w:name="_Toc532543436"/>
      <w:r w:rsidRPr="00CC3F4B">
        <w:t xml:space="preserve">4. </w:t>
      </w:r>
      <w:r w:rsidRPr="00CC3F4B">
        <w:tab/>
      </w:r>
      <w:r>
        <w:t>Risk assessment</w:t>
      </w:r>
      <w:bookmarkEnd w:id="189"/>
      <w:bookmarkEnd w:id="190"/>
      <w:bookmarkEnd w:id="191"/>
    </w:p>
    <w:p w14:paraId="08D3F035" w14:textId="77777777" w:rsidR="009E3A91" w:rsidRDefault="009E3A91" w:rsidP="009E3A91">
      <w:pPr>
        <w:autoSpaceDE w:val="0"/>
        <w:autoSpaceDN w:val="0"/>
        <w:adjustRightInd w:val="0"/>
        <w:rPr>
          <w:rFonts w:eastAsia="Calibri" w:cs="Arial"/>
          <w:color w:val="000000"/>
          <w:szCs w:val="20"/>
          <w:lang w:eastAsia="en-US"/>
        </w:rPr>
      </w:pPr>
      <w:r>
        <w:rPr>
          <w:rFonts w:eastAsia="Calibri" w:cs="Arial"/>
          <w:color w:val="000000"/>
          <w:szCs w:val="20"/>
          <w:lang w:eastAsia="en-US"/>
        </w:rPr>
        <w:t>A</w:t>
      </w:r>
      <w:r w:rsidRPr="00AE2183">
        <w:rPr>
          <w:rFonts w:eastAsia="Calibri" w:cs="Arial"/>
          <w:color w:val="000000"/>
          <w:szCs w:val="20"/>
          <w:lang w:eastAsia="en-US"/>
        </w:rPr>
        <w:t xml:space="preserve"> risk assessment </w:t>
      </w:r>
      <w:r>
        <w:rPr>
          <w:rFonts w:eastAsia="Calibri" w:cs="Arial"/>
          <w:color w:val="000000"/>
          <w:szCs w:val="20"/>
          <w:lang w:eastAsia="en-US"/>
        </w:rPr>
        <w:t xml:space="preserve">has been completed </w:t>
      </w:r>
      <w:r w:rsidRPr="00AE2183">
        <w:rPr>
          <w:rFonts w:eastAsia="Calibri" w:cs="Arial"/>
          <w:color w:val="000000"/>
          <w:szCs w:val="20"/>
          <w:lang w:eastAsia="en-US"/>
        </w:rPr>
        <w:t xml:space="preserve">for each component of the </w:t>
      </w:r>
      <w:r>
        <w:rPr>
          <w:rFonts w:eastAsia="Calibri" w:cs="Arial"/>
          <w:color w:val="000000"/>
          <w:szCs w:val="20"/>
          <w:lang w:eastAsia="en-US"/>
        </w:rPr>
        <w:t>MBA program cost recovery</w:t>
      </w:r>
      <w:r w:rsidRPr="00AE2183">
        <w:rPr>
          <w:rFonts w:eastAsia="Calibri" w:cs="Arial"/>
          <w:color w:val="000000"/>
          <w:szCs w:val="20"/>
          <w:lang w:eastAsia="en-US"/>
        </w:rPr>
        <w:t xml:space="preserve">, resulting in an overall </w:t>
      </w:r>
      <w:r>
        <w:rPr>
          <w:rFonts w:eastAsia="Calibri" w:cs="Arial"/>
          <w:color w:val="000000"/>
          <w:szCs w:val="20"/>
          <w:lang w:eastAsia="en-US"/>
        </w:rPr>
        <w:t xml:space="preserve">risk </w:t>
      </w:r>
      <w:r w:rsidRPr="00AE2183">
        <w:rPr>
          <w:rFonts w:eastAsia="Calibri" w:cs="Arial"/>
          <w:color w:val="000000"/>
          <w:szCs w:val="20"/>
          <w:lang w:eastAsia="en-US"/>
        </w:rPr>
        <w:t>rating of medium, with the following individual rating</w:t>
      </w:r>
      <w:r>
        <w:rPr>
          <w:rFonts w:eastAsia="Calibri" w:cs="Arial"/>
          <w:color w:val="000000"/>
          <w:szCs w:val="20"/>
          <w:lang w:eastAsia="en-US"/>
        </w:rPr>
        <w:t>s</w:t>
      </w:r>
      <w:r w:rsidRPr="00AE2183">
        <w:rPr>
          <w:rFonts w:eastAsia="Calibri" w:cs="Arial"/>
          <w:color w:val="000000"/>
          <w:szCs w:val="20"/>
          <w:lang w:eastAsia="en-US"/>
        </w:rPr>
        <w:t xml:space="preserve"> for each cost component.</w:t>
      </w:r>
    </w:p>
    <w:p w14:paraId="45B2E19E" w14:textId="77777777" w:rsidR="009E3A91" w:rsidRPr="006A56FD" w:rsidRDefault="009E3A91" w:rsidP="009E3A91">
      <w:pPr>
        <w:pStyle w:val="ACMATableHeader"/>
        <w:rPr>
          <w:rFonts w:eastAsia="Calibri"/>
        </w:rPr>
      </w:pPr>
      <w:r w:rsidRPr="006A56FD">
        <w:t xml:space="preserve">Risk ratings for </w:t>
      </w:r>
      <w:r>
        <w:t>MBA cost recovery</w:t>
      </w:r>
    </w:p>
    <w:tbl>
      <w:tblPr>
        <w:tblStyle w:val="TableGrid"/>
        <w:tblW w:w="5000" w:type="pct"/>
        <w:tblCellMar>
          <w:top w:w="57" w:type="dxa"/>
          <w:bottom w:w="57" w:type="dxa"/>
        </w:tblCellMar>
        <w:tblLook w:val="04A0" w:firstRow="1" w:lastRow="0" w:firstColumn="1" w:lastColumn="0" w:noHBand="0" w:noVBand="1"/>
        <w:tblCaption w:val="Risk rating for ACLC components"/>
        <w:tblDescription w:val="Includes the reference in the Act, cost component and risk rating."/>
      </w:tblPr>
      <w:tblGrid>
        <w:gridCol w:w="2854"/>
        <w:gridCol w:w="3538"/>
        <w:gridCol w:w="1269"/>
      </w:tblGrid>
      <w:tr w:rsidR="009E3A91" w14:paraId="6BDECBB4" w14:textId="77777777" w:rsidTr="006123EF">
        <w:trPr>
          <w:cantSplit/>
          <w:trHeight w:val="374"/>
          <w:tblHeader/>
        </w:trPr>
        <w:tc>
          <w:tcPr>
            <w:tcW w:w="1863" w:type="pct"/>
            <w:shd w:val="clear" w:color="auto" w:fill="404040" w:themeFill="text1" w:themeFillTint="BF"/>
          </w:tcPr>
          <w:p w14:paraId="7A86455C" w14:textId="77777777" w:rsidR="009E3A91" w:rsidRPr="00CE6BED" w:rsidRDefault="009E3A91" w:rsidP="009E3A91">
            <w:pPr>
              <w:pStyle w:val="TableHeading"/>
              <w:rPr>
                <w:rFonts w:eastAsia="Calibri"/>
                <w:color w:val="FFFFFF" w:themeColor="background1"/>
                <w:lang w:eastAsia="en-US"/>
              </w:rPr>
            </w:pPr>
            <w:r>
              <w:rPr>
                <w:color w:val="FFFFFF" w:themeColor="background1"/>
              </w:rPr>
              <w:t>Risk factor</w:t>
            </w:r>
          </w:p>
        </w:tc>
        <w:tc>
          <w:tcPr>
            <w:tcW w:w="2309" w:type="pct"/>
            <w:shd w:val="clear" w:color="auto" w:fill="404040" w:themeFill="text1" w:themeFillTint="BF"/>
          </w:tcPr>
          <w:p w14:paraId="0C1FC7E5" w14:textId="77777777" w:rsidR="009E3A91" w:rsidRPr="00CE6BED" w:rsidRDefault="009E3A91" w:rsidP="009E3A91">
            <w:pPr>
              <w:pStyle w:val="TableHeading"/>
              <w:rPr>
                <w:rFonts w:eastAsia="Calibri"/>
                <w:color w:val="FFFFFF" w:themeColor="background1"/>
                <w:lang w:eastAsia="en-US"/>
              </w:rPr>
            </w:pPr>
            <w:r>
              <w:rPr>
                <w:color w:val="FFFFFF" w:themeColor="background1"/>
              </w:rPr>
              <w:t>Rationale for risk rating</w:t>
            </w:r>
          </w:p>
        </w:tc>
        <w:tc>
          <w:tcPr>
            <w:tcW w:w="828" w:type="pct"/>
            <w:shd w:val="clear" w:color="auto" w:fill="404040" w:themeFill="text1" w:themeFillTint="BF"/>
          </w:tcPr>
          <w:p w14:paraId="3A445E34" w14:textId="77777777" w:rsidR="009E3A91" w:rsidRPr="00CE6BED" w:rsidRDefault="009E3A91" w:rsidP="009E3A91">
            <w:pPr>
              <w:pStyle w:val="TableHeading"/>
              <w:rPr>
                <w:color w:val="FFFFFF" w:themeColor="background1"/>
              </w:rPr>
            </w:pPr>
            <w:r>
              <w:rPr>
                <w:color w:val="FFFFFF" w:themeColor="background1"/>
              </w:rPr>
              <w:t>Risk rating</w:t>
            </w:r>
          </w:p>
        </w:tc>
      </w:tr>
      <w:tr w:rsidR="009E3A91" w14:paraId="561A680D" w14:textId="77777777" w:rsidTr="006123EF">
        <w:trPr>
          <w:cantSplit/>
          <w:tblHeader/>
        </w:trPr>
        <w:tc>
          <w:tcPr>
            <w:tcW w:w="1863" w:type="pct"/>
          </w:tcPr>
          <w:p w14:paraId="5D3997EC" w14:textId="77777777" w:rsidR="009E3A91" w:rsidRDefault="009E3A91" w:rsidP="009E3A91">
            <w:pPr>
              <w:autoSpaceDE w:val="0"/>
              <w:autoSpaceDN w:val="0"/>
              <w:adjustRightInd w:val="0"/>
              <w:spacing w:after="0"/>
              <w:rPr>
                <w:rFonts w:eastAsia="Calibri" w:cs="Arial"/>
                <w:color w:val="000000"/>
                <w:szCs w:val="20"/>
                <w:lang w:eastAsia="en-US"/>
              </w:rPr>
            </w:pPr>
            <w:r w:rsidRPr="00FE3E22">
              <w:t>What is the proposed change in annual cost</w:t>
            </w:r>
            <w:r>
              <w:t>-</w:t>
            </w:r>
            <w:r w:rsidRPr="00FE3E22">
              <w:t>recovery revenue for the activity?</w:t>
            </w:r>
          </w:p>
        </w:tc>
        <w:tc>
          <w:tcPr>
            <w:tcW w:w="2309" w:type="pct"/>
          </w:tcPr>
          <w:p w14:paraId="0586295B" w14:textId="77777777" w:rsidR="009E3A91" w:rsidRDefault="009E3A91" w:rsidP="009E3A91">
            <w:pPr>
              <w:autoSpaceDE w:val="0"/>
              <w:autoSpaceDN w:val="0"/>
              <w:adjustRightInd w:val="0"/>
              <w:spacing w:after="0"/>
              <w:rPr>
                <w:rFonts w:eastAsia="Calibri" w:cs="Arial"/>
                <w:color w:val="000000"/>
                <w:szCs w:val="20"/>
                <w:lang w:eastAsia="en-US"/>
              </w:rPr>
            </w:pPr>
            <w:r w:rsidRPr="00FE3E22">
              <w:t xml:space="preserve">Resulting change to </w:t>
            </w:r>
            <w:r>
              <w:t xml:space="preserve">total </w:t>
            </w:r>
            <w:r w:rsidRPr="00FE3E22">
              <w:t>ACLC of less than five per cent</w:t>
            </w:r>
          </w:p>
        </w:tc>
        <w:tc>
          <w:tcPr>
            <w:tcW w:w="828" w:type="pct"/>
          </w:tcPr>
          <w:p w14:paraId="06ED3BC3" w14:textId="77777777" w:rsidR="009E3A91" w:rsidRPr="00FE3E22" w:rsidRDefault="009E3A91" w:rsidP="009E3A91">
            <w:pPr>
              <w:autoSpaceDE w:val="0"/>
              <w:autoSpaceDN w:val="0"/>
              <w:adjustRightInd w:val="0"/>
              <w:spacing w:after="0"/>
            </w:pPr>
            <w:r w:rsidRPr="00FE3E22">
              <w:t>Low</w:t>
            </w:r>
          </w:p>
        </w:tc>
      </w:tr>
      <w:tr w:rsidR="009E3A91" w14:paraId="1805778F" w14:textId="77777777" w:rsidTr="006123EF">
        <w:trPr>
          <w:cantSplit/>
          <w:tblHeader/>
        </w:trPr>
        <w:tc>
          <w:tcPr>
            <w:tcW w:w="1863" w:type="pct"/>
          </w:tcPr>
          <w:p w14:paraId="4E16AE1D" w14:textId="77777777" w:rsidR="009E3A91" w:rsidRDefault="009E3A91" w:rsidP="009E3A91">
            <w:pPr>
              <w:autoSpaceDE w:val="0"/>
              <w:autoSpaceDN w:val="0"/>
              <w:adjustRightInd w:val="0"/>
              <w:spacing w:after="0"/>
              <w:rPr>
                <w:rFonts w:eastAsia="Calibri" w:cs="Arial"/>
                <w:color w:val="000000"/>
                <w:szCs w:val="20"/>
                <w:lang w:eastAsia="en-US"/>
              </w:rPr>
            </w:pPr>
            <w:r w:rsidRPr="00FE3E22">
              <w:t>What is the total proposed annual cost</w:t>
            </w:r>
            <w:r>
              <w:t>-</w:t>
            </w:r>
            <w:r w:rsidRPr="00FE3E22">
              <w:t>recovery revenue for the activity?</w:t>
            </w:r>
          </w:p>
        </w:tc>
        <w:tc>
          <w:tcPr>
            <w:tcW w:w="2309" w:type="pct"/>
          </w:tcPr>
          <w:p w14:paraId="57225DE2" w14:textId="77777777" w:rsidR="009E3A91" w:rsidRDefault="009E3A91" w:rsidP="009E3A91">
            <w:pPr>
              <w:autoSpaceDE w:val="0"/>
              <w:autoSpaceDN w:val="0"/>
              <w:adjustRightInd w:val="0"/>
              <w:spacing w:after="0"/>
              <w:rPr>
                <w:rFonts w:eastAsia="Calibri" w:cs="Arial"/>
                <w:color w:val="000000"/>
                <w:szCs w:val="20"/>
                <w:lang w:eastAsia="en-US"/>
              </w:rPr>
            </w:pPr>
            <w:r w:rsidRPr="00FE3E22">
              <w:t>Total annual cost recover of less than $10 million</w:t>
            </w:r>
          </w:p>
        </w:tc>
        <w:tc>
          <w:tcPr>
            <w:tcW w:w="828" w:type="pct"/>
          </w:tcPr>
          <w:p w14:paraId="5C788EA7" w14:textId="77777777" w:rsidR="009E3A91" w:rsidRPr="00FE3E22" w:rsidRDefault="009E3A91" w:rsidP="009E3A91">
            <w:pPr>
              <w:autoSpaceDE w:val="0"/>
              <w:autoSpaceDN w:val="0"/>
              <w:adjustRightInd w:val="0"/>
              <w:spacing w:after="0"/>
            </w:pPr>
            <w:r w:rsidRPr="00FE3E22">
              <w:t>Low</w:t>
            </w:r>
          </w:p>
        </w:tc>
      </w:tr>
      <w:tr w:rsidR="009E3A91" w14:paraId="0D842400" w14:textId="77777777" w:rsidTr="006123EF">
        <w:trPr>
          <w:cantSplit/>
          <w:tblHeader/>
        </w:trPr>
        <w:tc>
          <w:tcPr>
            <w:tcW w:w="1863" w:type="pct"/>
          </w:tcPr>
          <w:p w14:paraId="24C86917" w14:textId="77777777" w:rsidR="009E3A91" w:rsidRDefault="009E3A91" w:rsidP="009E3A91">
            <w:pPr>
              <w:autoSpaceDE w:val="0"/>
              <w:autoSpaceDN w:val="0"/>
              <w:adjustRightInd w:val="0"/>
              <w:spacing w:after="0"/>
              <w:rPr>
                <w:rFonts w:eastAsia="Calibri" w:cs="Arial"/>
                <w:color w:val="000000"/>
                <w:szCs w:val="20"/>
                <w:lang w:eastAsia="en-US"/>
              </w:rPr>
            </w:pPr>
            <w:r w:rsidRPr="00FE3E22">
              <w:t>What does the policy proposal or change in the cost</w:t>
            </w:r>
            <w:r>
              <w:t>-</w:t>
            </w:r>
            <w:r w:rsidRPr="00FE3E22">
              <w:t>recovered activity involve?</w:t>
            </w:r>
          </w:p>
        </w:tc>
        <w:tc>
          <w:tcPr>
            <w:tcW w:w="2309" w:type="pct"/>
          </w:tcPr>
          <w:p w14:paraId="37745D6A" w14:textId="77777777" w:rsidR="009E3A91" w:rsidRDefault="009E3A91" w:rsidP="009E3A91">
            <w:pPr>
              <w:autoSpaceDE w:val="0"/>
              <w:autoSpaceDN w:val="0"/>
              <w:adjustRightInd w:val="0"/>
              <w:spacing w:after="0"/>
              <w:rPr>
                <w:rFonts w:eastAsia="Calibri" w:cs="Arial"/>
                <w:color w:val="000000"/>
                <w:szCs w:val="20"/>
                <w:lang w:eastAsia="en-US"/>
              </w:rPr>
            </w:pPr>
            <w:r w:rsidRPr="00FE3E22">
              <w:t>Introduction of cost recovery for a new activity or for an existing activity (or its components) that has not been cost recovered previously</w:t>
            </w:r>
          </w:p>
        </w:tc>
        <w:tc>
          <w:tcPr>
            <w:tcW w:w="828" w:type="pct"/>
          </w:tcPr>
          <w:p w14:paraId="06307EFB" w14:textId="77777777" w:rsidR="009E3A91" w:rsidRPr="00FE3E22" w:rsidRDefault="009E3A91" w:rsidP="009E3A91">
            <w:pPr>
              <w:autoSpaceDE w:val="0"/>
              <w:autoSpaceDN w:val="0"/>
              <w:adjustRightInd w:val="0"/>
              <w:spacing w:after="0"/>
            </w:pPr>
            <w:r w:rsidRPr="00FE3E22">
              <w:t>High</w:t>
            </w:r>
          </w:p>
        </w:tc>
      </w:tr>
      <w:tr w:rsidR="009E3A91" w14:paraId="6BBE8D59" w14:textId="77777777" w:rsidTr="006123EF">
        <w:trPr>
          <w:cantSplit/>
          <w:tblHeader/>
        </w:trPr>
        <w:tc>
          <w:tcPr>
            <w:tcW w:w="1863" w:type="pct"/>
          </w:tcPr>
          <w:p w14:paraId="2165CC0C" w14:textId="77777777" w:rsidR="009E3A91" w:rsidRDefault="009E3A91" w:rsidP="009E3A91">
            <w:pPr>
              <w:autoSpaceDE w:val="0"/>
              <w:autoSpaceDN w:val="0"/>
              <w:adjustRightInd w:val="0"/>
              <w:spacing w:after="0"/>
              <w:rPr>
                <w:rFonts w:eastAsia="Calibri" w:cs="Arial"/>
                <w:color w:val="000000"/>
                <w:szCs w:val="20"/>
                <w:lang w:eastAsia="en-US"/>
              </w:rPr>
            </w:pPr>
            <w:r w:rsidRPr="00FE3E22">
              <w:t>What type of cost</w:t>
            </w:r>
            <w:r>
              <w:t>-</w:t>
            </w:r>
            <w:r w:rsidRPr="00FE3E22">
              <w:t>recovery charges will be used?</w:t>
            </w:r>
          </w:p>
        </w:tc>
        <w:tc>
          <w:tcPr>
            <w:tcW w:w="2309" w:type="pct"/>
          </w:tcPr>
          <w:p w14:paraId="5951BD1A" w14:textId="77777777" w:rsidR="009E3A91" w:rsidRDefault="009E3A91" w:rsidP="009E3A91">
            <w:pPr>
              <w:autoSpaceDE w:val="0"/>
              <w:autoSpaceDN w:val="0"/>
              <w:adjustRightInd w:val="0"/>
              <w:spacing w:after="0"/>
              <w:rPr>
                <w:rFonts w:eastAsia="Calibri" w:cs="Arial"/>
                <w:color w:val="000000"/>
                <w:szCs w:val="20"/>
                <w:lang w:eastAsia="en-US"/>
              </w:rPr>
            </w:pPr>
            <w:r w:rsidRPr="00FE3E22">
              <w:t>Fees only or fees and levies</w:t>
            </w:r>
          </w:p>
        </w:tc>
        <w:tc>
          <w:tcPr>
            <w:tcW w:w="828" w:type="pct"/>
          </w:tcPr>
          <w:p w14:paraId="2FD078FF" w14:textId="77777777" w:rsidR="009E3A91" w:rsidRPr="00FE3E22" w:rsidRDefault="009E3A91" w:rsidP="009E3A91">
            <w:pPr>
              <w:autoSpaceDE w:val="0"/>
              <w:autoSpaceDN w:val="0"/>
              <w:adjustRightInd w:val="0"/>
              <w:spacing w:after="0"/>
            </w:pPr>
            <w:r w:rsidRPr="00FE3E22">
              <w:t>Medium</w:t>
            </w:r>
          </w:p>
        </w:tc>
      </w:tr>
      <w:tr w:rsidR="009E3A91" w14:paraId="299464BA" w14:textId="77777777" w:rsidTr="006123EF">
        <w:trPr>
          <w:cantSplit/>
          <w:tblHeader/>
        </w:trPr>
        <w:tc>
          <w:tcPr>
            <w:tcW w:w="1863" w:type="pct"/>
          </w:tcPr>
          <w:p w14:paraId="084190D0" w14:textId="77777777" w:rsidR="009E3A91" w:rsidRDefault="009E3A91" w:rsidP="009E3A91">
            <w:pPr>
              <w:autoSpaceDE w:val="0"/>
              <w:autoSpaceDN w:val="0"/>
              <w:adjustRightInd w:val="0"/>
              <w:spacing w:after="0"/>
              <w:rPr>
                <w:rFonts w:eastAsia="Calibri" w:cs="Arial"/>
                <w:color w:val="000000"/>
                <w:szCs w:val="20"/>
                <w:lang w:eastAsia="en-US"/>
              </w:rPr>
            </w:pPr>
            <w:r w:rsidRPr="00FE3E22">
              <w:t xml:space="preserve">What legislative requirements are necessary for </w:t>
            </w:r>
            <w:r>
              <w:t xml:space="preserve">the </w:t>
            </w:r>
            <w:r w:rsidRPr="00FE3E22">
              <w:t>imposition of cost</w:t>
            </w:r>
            <w:r>
              <w:t>-</w:t>
            </w:r>
            <w:r w:rsidRPr="00FE3E22">
              <w:t>recovery charges?</w:t>
            </w:r>
          </w:p>
        </w:tc>
        <w:tc>
          <w:tcPr>
            <w:tcW w:w="2309" w:type="pct"/>
          </w:tcPr>
          <w:p w14:paraId="565D2A3E" w14:textId="77777777" w:rsidR="009E3A91" w:rsidRDefault="009E3A91" w:rsidP="009E3A91">
            <w:pPr>
              <w:autoSpaceDE w:val="0"/>
              <w:autoSpaceDN w:val="0"/>
              <w:adjustRightInd w:val="0"/>
              <w:spacing w:after="0"/>
              <w:rPr>
                <w:rFonts w:eastAsia="Calibri" w:cs="Arial"/>
                <w:color w:val="000000"/>
                <w:szCs w:val="20"/>
                <w:lang w:eastAsia="en-US"/>
              </w:rPr>
            </w:pPr>
            <w:r w:rsidRPr="00FE3E22">
              <w:t>Does not involve an Act of Parliament</w:t>
            </w:r>
          </w:p>
        </w:tc>
        <w:tc>
          <w:tcPr>
            <w:tcW w:w="828" w:type="pct"/>
          </w:tcPr>
          <w:p w14:paraId="4F2A6C95" w14:textId="77777777" w:rsidR="009E3A91" w:rsidRPr="00FE3E22" w:rsidRDefault="009E3A91" w:rsidP="009E3A91">
            <w:pPr>
              <w:autoSpaceDE w:val="0"/>
              <w:autoSpaceDN w:val="0"/>
              <w:adjustRightInd w:val="0"/>
              <w:spacing w:after="0"/>
            </w:pPr>
            <w:r w:rsidRPr="00FE3E22">
              <w:t>Low</w:t>
            </w:r>
          </w:p>
        </w:tc>
      </w:tr>
      <w:tr w:rsidR="009E3A91" w14:paraId="7426B656" w14:textId="77777777" w:rsidTr="006123EF">
        <w:trPr>
          <w:cantSplit/>
          <w:tblHeader/>
        </w:trPr>
        <w:tc>
          <w:tcPr>
            <w:tcW w:w="1863" w:type="pct"/>
          </w:tcPr>
          <w:p w14:paraId="3CE8E9D2" w14:textId="77777777" w:rsidR="009E3A91" w:rsidRDefault="009E3A91" w:rsidP="009E3A91">
            <w:pPr>
              <w:autoSpaceDE w:val="0"/>
              <w:autoSpaceDN w:val="0"/>
              <w:adjustRightInd w:val="0"/>
              <w:spacing w:after="0"/>
              <w:rPr>
                <w:rFonts w:eastAsia="Calibri" w:cs="Arial"/>
                <w:color w:val="000000"/>
                <w:szCs w:val="20"/>
                <w:lang w:eastAsia="en-US"/>
              </w:rPr>
            </w:pPr>
            <w:r w:rsidRPr="00FE3E22">
              <w:t xml:space="preserve">Does the proposal involve working with other Commonwealth, </w:t>
            </w:r>
            <w:r>
              <w:t>s</w:t>
            </w:r>
            <w:r w:rsidRPr="00FE3E22">
              <w:t>tate/</w:t>
            </w:r>
            <w:r>
              <w:t>t</w:t>
            </w:r>
            <w:r w:rsidRPr="00FE3E22">
              <w:t>erritory and/or local government entities?</w:t>
            </w:r>
          </w:p>
        </w:tc>
        <w:tc>
          <w:tcPr>
            <w:tcW w:w="2309" w:type="pct"/>
          </w:tcPr>
          <w:p w14:paraId="4E5EE43F" w14:textId="77777777" w:rsidR="009E3A91" w:rsidRDefault="009E3A91" w:rsidP="009E3A91">
            <w:pPr>
              <w:autoSpaceDE w:val="0"/>
              <w:autoSpaceDN w:val="0"/>
              <w:adjustRightInd w:val="0"/>
              <w:spacing w:after="0"/>
              <w:rPr>
                <w:rFonts w:eastAsia="Calibri" w:cs="Arial"/>
                <w:color w:val="000000"/>
                <w:szCs w:val="20"/>
                <w:lang w:eastAsia="en-US"/>
              </w:rPr>
            </w:pPr>
            <w:r w:rsidRPr="00FE3E22">
              <w:t>Involves only Commonwealth entities</w:t>
            </w:r>
          </w:p>
        </w:tc>
        <w:tc>
          <w:tcPr>
            <w:tcW w:w="828" w:type="pct"/>
          </w:tcPr>
          <w:p w14:paraId="29671F40" w14:textId="77777777" w:rsidR="009E3A91" w:rsidRPr="00FE3E22" w:rsidRDefault="009E3A91" w:rsidP="009E3A91">
            <w:pPr>
              <w:autoSpaceDE w:val="0"/>
              <w:autoSpaceDN w:val="0"/>
              <w:adjustRightInd w:val="0"/>
              <w:spacing w:after="0"/>
            </w:pPr>
            <w:r w:rsidRPr="00FE3E22">
              <w:t>Low</w:t>
            </w:r>
          </w:p>
        </w:tc>
      </w:tr>
      <w:tr w:rsidR="009E3A91" w14:paraId="039BD38D" w14:textId="77777777" w:rsidTr="006123EF">
        <w:trPr>
          <w:cantSplit/>
          <w:tblHeader/>
        </w:trPr>
        <w:tc>
          <w:tcPr>
            <w:tcW w:w="1863" w:type="pct"/>
          </w:tcPr>
          <w:p w14:paraId="0C2DE427" w14:textId="77777777" w:rsidR="009E3A91" w:rsidRDefault="009E3A91" w:rsidP="009E3A91">
            <w:pPr>
              <w:autoSpaceDE w:val="0"/>
              <w:autoSpaceDN w:val="0"/>
              <w:adjustRightInd w:val="0"/>
              <w:spacing w:after="0"/>
              <w:rPr>
                <w:rFonts w:eastAsia="Calibri" w:cs="Arial"/>
                <w:color w:val="000000"/>
                <w:szCs w:val="20"/>
                <w:lang w:eastAsia="en-US"/>
              </w:rPr>
            </w:pPr>
            <w:r w:rsidRPr="00FE3E22">
              <w:t xml:space="preserve">What will be the expected impact of cost recovery on payers? </w:t>
            </w:r>
          </w:p>
        </w:tc>
        <w:tc>
          <w:tcPr>
            <w:tcW w:w="2309" w:type="pct"/>
          </w:tcPr>
          <w:p w14:paraId="579656A7" w14:textId="77777777" w:rsidR="009E3A91" w:rsidRDefault="009E3A91" w:rsidP="009E3A91">
            <w:pPr>
              <w:autoSpaceDE w:val="0"/>
              <w:autoSpaceDN w:val="0"/>
              <w:adjustRightInd w:val="0"/>
              <w:spacing w:after="0"/>
              <w:rPr>
                <w:rFonts w:eastAsia="Calibri" w:cs="Arial"/>
                <w:color w:val="000000"/>
                <w:szCs w:val="20"/>
                <w:lang w:eastAsia="en-US"/>
              </w:rPr>
            </w:pPr>
            <w:r w:rsidRPr="00FE3E22">
              <w:t>The additional cost imposed by the program</w:t>
            </w:r>
            <w:r>
              <w:t xml:space="preserve"> is</w:t>
            </w:r>
            <w:r w:rsidRPr="00FE3E22">
              <w:t xml:space="preserve"> low</w:t>
            </w:r>
          </w:p>
        </w:tc>
        <w:tc>
          <w:tcPr>
            <w:tcW w:w="828" w:type="pct"/>
          </w:tcPr>
          <w:p w14:paraId="3D871E22" w14:textId="77777777" w:rsidR="009E3A91" w:rsidRPr="00FE3E22" w:rsidRDefault="009E3A91" w:rsidP="009E3A91">
            <w:pPr>
              <w:autoSpaceDE w:val="0"/>
              <w:autoSpaceDN w:val="0"/>
              <w:adjustRightInd w:val="0"/>
              <w:spacing w:after="0"/>
            </w:pPr>
            <w:r w:rsidRPr="00FE3E22">
              <w:t>Low</w:t>
            </w:r>
          </w:p>
        </w:tc>
      </w:tr>
      <w:tr w:rsidR="009E3A91" w14:paraId="62375CD2" w14:textId="77777777" w:rsidTr="009E3A91">
        <w:trPr>
          <w:cantSplit/>
          <w:tblHeader/>
        </w:trPr>
        <w:tc>
          <w:tcPr>
            <w:tcW w:w="1863" w:type="pct"/>
          </w:tcPr>
          <w:p w14:paraId="0C0F697F" w14:textId="77777777" w:rsidR="009E3A91" w:rsidRDefault="009E3A91" w:rsidP="009E3A91">
            <w:pPr>
              <w:autoSpaceDE w:val="0"/>
              <w:autoSpaceDN w:val="0"/>
              <w:adjustRightInd w:val="0"/>
              <w:spacing w:after="0"/>
              <w:rPr>
                <w:rFonts w:eastAsia="Calibri" w:cs="Arial"/>
                <w:color w:val="000000"/>
                <w:szCs w:val="20"/>
                <w:lang w:eastAsia="en-US"/>
              </w:rPr>
            </w:pPr>
            <w:r w:rsidRPr="00FE3E22">
              <w:t>What consultation has occurred with payers and other stakeholders about the proposed cost recovery?</w:t>
            </w:r>
          </w:p>
        </w:tc>
        <w:tc>
          <w:tcPr>
            <w:tcW w:w="2309" w:type="pct"/>
          </w:tcPr>
          <w:p w14:paraId="464ED320" w14:textId="1B109C10" w:rsidR="009E3A91" w:rsidRPr="00544310" w:rsidRDefault="009E3A91" w:rsidP="00F24FB7">
            <w:pPr>
              <w:autoSpaceDE w:val="0"/>
              <w:autoSpaceDN w:val="0"/>
              <w:adjustRightInd w:val="0"/>
              <w:spacing w:after="0"/>
              <w:rPr>
                <w:rFonts w:eastAsia="Calibri" w:cs="Arial"/>
                <w:color w:val="000000"/>
                <w:szCs w:val="20"/>
                <w:lang w:eastAsia="en-US"/>
              </w:rPr>
            </w:pPr>
            <w:r w:rsidRPr="00544310">
              <w:t>C</w:t>
            </w:r>
            <w:r w:rsidR="00F24FB7">
              <w:t>onsulted for a six-week period from 16 April 2018</w:t>
            </w:r>
          </w:p>
        </w:tc>
        <w:tc>
          <w:tcPr>
            <w:tcW w:w="828" w:type="pct"/>
          </w:tcPr>
          <w:p w14:paraId="59064FFC" w14:textId="1740B9DF" w:rsidR="009E3A91" w:rsidRPr="00DE36F8" w:rsidRDefault="009E57B0" w:rsidP="009E57B0">
            <w:pPr>
              <w:autoSpaceDE w:val="0"/>
              <w:autoSpaceDN w:val="0"/>
              <w:adjustRightInd w:val="0"/>
              <w:spacing w:after="0"/>
            </w:pPr>
            <w:r>
              <w:t>Low</w:t>
            </w:r>
          </w:p>
        </w:tc>
      </w:tr>
      <w:tr w:rsidR="009E3A91" w14:paraId="01242733" w14:textId="77777777" w:rsidTr="006123EF">
        <w:trPr>
          <w:cantSplit/>
          <w:tblHeader/>
        </w:trPr>
        <w:tc>
          <w:tcPr>
            <w:tcW w:w="4172" w:type="pct"/>
            <w:gridSpan w:val="2"/>
            <w:shd w:val="clear" w:color="auto" w:fill="D9D9D9" w:themeFill="background1" w:themeFillShade="D9"/>
          </w:tcPr>
          <w:p w14:paraId="00F0E22C" w14:textId="77777777" w:rsidR="009E3A91" w:rsidRPr="00593B36" w:rsidRDefault="009E3A91" w:rsidP="009E3A91">
            <w:pPr>
              <w:autoSpaceDE w:val="0"/>
              <w:autoSpaceDN w:val="0"/>
              <w:adjustRightInd w:val="0"/>
              <w:spacing w:after="0"/>
              <w:rPr>
                <w:rFonts w:eastAsia="Calibri" w:cs="Arial"/>
                <w:b/>
                <w:color w:val="000000"/>
                <w:szCs w:val="20"/>
                <w:lang w:eastAsia="en-US"/>
              </w:rPr>
            </w:pPr>
            <w:r>
              <w:rPr>
                <w:rFonts w:cs="Arial"/>
                <w:b/>
                <w:szCs w:val="20"/>
              </w:rPr>
              <w:t>Overall rating</w:t>
            </w:r>
          </w:p>
        </w:tc>
        <w:tc>
          <w:tcPr>
            <w:tcW w:w="828" w:type="pct"/>
            <w:shd w:val="clear" w:color="auto" w:fill="D9D9D9" w:themeFill="background1" w:themeFillShade="D9"/>
          </w:tcPr>
          <w:p w14:paraId="34216B75" w14:textId="77777777" w:rsidR="009E3A91" w:rsidRPr="00593B36" w:rsidRDefault="009E3A91" w:rsidP="009E3A91">
            <w:pPr>
              <w:autoSpaceDE w:val="0"/>
              <w:autoSpaceDN w:val="0"/>
              <w:adjustRightInd w:val="0"/>
              <w:spacing w:after="0"/>
              <w:rPr>
                <w:rFonts w:cs="Arial"/>
                <w:b/>
                <w:szCs w:val="20"/>
              </w:rPr>
            </w:pPr>
            <w:r w:rsidRPr="00593B36">
              <w:rPr>
                <w:rFonts w:cs="Arial"/>
                <w:b/>
                <w:szCs w:val="20"/>
              </w:rPr>
              <w:t>Medium</w:t>
            </w:r>
          </w:p>
        </w:tc>
      </w:tr>
    </w:tbl>
    <w:p w14:paraId="23ECB347" w14:textId="77777777" w:rsidR="009E3A91" w:rsidRDefault="009E3A91" w:rsidP="009E3A91">
      <w:pPr>
        <w:autoSpaceDE w:val="0"/>
        <w:autoSpaceDN w:val="0"/>
        <w:adjustRightInd w:val="0"/>
        <w:spacing w:before="240"/>
        <w:ind w:right="140"/>
        <w:rPr>
          <w:szCs w:val="20"/>
        </w:rPr>
      </w:pPr>
      <w:r>
        <w:rPr>
          <w:szCs w:val="20"/>
        </w:rPr>
        <w:t>The above risk rating is based on assessment of the criteria in the Charging Risk Assessment template.</w:t>
      </w:r>
      <w:r>
        <w:rPr>
          <w:rStyle w:val="FootnoteReference"/>
          <w:szCs w:val="20"/>
        </w:rPr>
        <w:footnoteReference w:id="22"/>
      </w:r>
      <w:r>
        <w:rPr>
          <w:szCs w:val="20"/>
        </w:rPr>
        <w:t xml:space="preserve"> Due to a</w:t>
      </w:r>
      <w:r w:rsidRPr="00243005">
        <w:rPr>
          <w:szCs w:val="20"/>
        </w:rPr>
        <w:t>n overall risk rating of medium</w:t>
      </w:r>
      <w:r>
        <w:rPr>
          <w:rStyle w:val="FootnoteReference"/>
          <w:szCs w:val="20"/>
        </w:rPr>
        <w:footnoteReference w:id="23"/>
      </w:r>
      <w:r>
        <w:rPr>
          <w:szCs w:val="20"/>
        </w:rPr>
        <w:t xml:space="preserve">, </w:t>
      </w:r>
      <w:r w:rsidRPr="00243005">
        <w:rPr>
          <w:szCs w:val="20"/>
        </w:rPr>
        <w:t xml:space="preserve">the CRIS </w:t>
      </w:r>
      <w:r>
        <w:rPr>
          <w:szCs w:val="20"/>
        </w:rPr>
        <w:t xml:space="preserve">addendum </w:t>
      </w:r>
      <w:r w:rsidRPr="00243005">
        <w:rPr>
          <w:szCs w:val="20"/>
        </w:rPr>
        <w:t xml:space="preserve">can be approved by the responsible </w:t>
      </w:r>
      <w:r>
        <w:rPr>
          <w:szCs w:val="20"/>
        </w:rPr>
        <w:t>m</w:t>
      </w:r>
      <w:r w:rsidRPr="00243005">
        <w:rPr>
          <w:szCs w:val="20"/>
        </w:rPr>
        <w:t>inister for release to commence charging and does not require approval from the Finance Minister</w:t>
      </w:r>
      <w:r>
        <w:rPr>
          <w:szCs w:val="20"/>
        </w:rPr>
        <w:t>.</w:t>
      </w:r>
    </w:p>
    <w:p w14:paraId="4AA67545" w14:textId="77777777" w:rsidR="009E3A91" w:rsidRPr="006E7651" w:rsidRDefault="009E3A91" w:rsidP="009E3A91">
      <w:pPr>
        <w:pStyle w:val="Heading1"/>
      </w:pPr>
      <w:bookmarkStart w:id="192" w:name="_Toc511294495"/>
      <w:bookmarkStart w:id="193" w:name="_Toc511634430"/>
      <w:bookmarkStart w:id="194" w:name="_Toc532543437"/>
      <w:r>
        <w:t>5</w:t>
      </w:r>
      <w:r w:rsidRPr="00CC3F4B">
        <w:t xml:space="preserve">. </w:t>
      </w:r>
      <w:r w:rsidRPr="00CC3F4B">
        <w:tab/>
        <w:t>Stakeholder engagement</w:t>
      </w:r>
      <w:bookmarkEnd w:id="192"/>
      <w:bookmarkEnd w:id="193"/>
      <w:bookmarkEnd w:id="194"/>
    </w:p>
    <w:p w14:paraId="6EEDC708" w14:textId="77777777" w:rsidR="009E3A91" w:rsidRPr="005D0A88" w:rsidRDefault="009E3A91" w:rsidP="009E3A91">
      <w:pPr>
        <w:rPr>
          <w:rFonts w:cs="Arial"/>
          <w:iCs/>
          <w:szCs w:val="20"/>
          <w:lang w:eastAsia="en-US"/>
        </w:rPr>
      </w:pPr>
      <w:r>
        <w:rPr>
          <w:rFonts w:cs="Arial"/>
          <w:iCs/>
          <w:szCs w:val="20"/>
          <w:lang w:eastAsia="en-US"/>
        </w:rPr>
        <w:t>In</w:t>
      </w:r>
      <w:r w:rsidRPr="005D0A88">
        <w:rPr>
          <w:rFonts w:cs="Arial"/>
          <w:iCs/>
          <w:szCs w:val="20"/>
          <w:lang w:eastAsia="en-US"/>
        </w:rPr>
        <w:t xml:space="preserve"> August 2013</w:t>
      </w:r>
      <w:r>
        <w:rPr>
          <w:rFonts w:cs="Arial"/>
          <w:iCs/>
          <w:szCs w:val="20"/>
          <w:lang w:eastAsia="en-US"/>
        </w:rPr>
        <w:t>,</w:t>
      </w:r>
      <w:r w:rsidRPr="005D0A88">
        <w:rPr>
          <w:rFonts w:cs="Arial"/>
          <w:iCs/>
          <w:szCs w:val="20"/>
          <w:lang w:eastAsia="en-US"/>
        </w:rPr>
        <w:t xml:space="preserve"> the ACCC released a consultation paper</w:t>
      </w:r>
      <w:r>
        <w:rPr>
          <w:rFonts w:cs="Arial"/>
          <w:iCs/>
          <w:szCs w:val="20"/>
          <w:lang w:eastAsia="en-US"/>
        </w:rPr>
        <w:t>,</w:t>
      </w:r>
      <w:r w:rsidRPr="005D0A88">
        <w:rPr>
          <w:rFonts w:cs="Arial"/>
          <w:iCs/>
          <w:szCs w:val="20"/>
          <w:lang w:eastAsia="en-US"/>
        </w:rPr>
        <w:t xml:space="preserve"> </w:t>
      </w:r>
      <w:r w:rsidRPr="00F37B15">
        <w:rPr>
          <w:rFonts w:cs="Arial"/>
          <w:i/>
          <w:iCs/>
          <w:szCs w:val="20"/>
          <w:lang w:eastAsia="en-US"/>
        </w:rPr>
        <w:t>Broadband Performance Monitoring and Reporting in the Australian Context</w:t>
      </w:r>
      <w:r w:rsidRPr="005D0A88">
        <w:rPr>
          <w:rFonts w:cs="Arial"/>
          <w:iCs/>
          <w:szCs w:val="20"/>
          <w:lang w:eastAsia="en-US"/>
        </w:rPr>
        <w:t xml:space="preserve">. The paper outlined the policy rationale for </w:t>
      </w:r>
      <w:r>
        <w:rPr>
          <w:rFonts w:cs="Arial"/>
          <w:iCs/>
          <w:szCs w:val="20"/>
          <w:lang w:eastAsia="en-US"/>
        </w:rPr>
        <w:t>the</w:t>
      </w:r>
      <w:r w:rsidRPr="005D0A88">
        <w:rPr>
          <w:rFonts w:cs="Arial"/>
          <w:iCs/>
          <w:szCs w:val="20"/>
          <w:lang w:eastAsia="en-US"/>
        </w:rPr>
        <w:t xml:space="preserve"> program, noted similar international examples and sought views on questions of methodology and </w:t>
      </w:r>
      <w:r>
        <w:rPr>
          <w:rFonts w:cs="Arial"/>
          <w:iCs/>
          <w:szCs w:val="20"/>
          <w:lang w:eastAsia="en-US"/>
        </w:rPr>
        <w:t xml:space="preserve">the </w:t>
      </w:r>
      <w:r w:rsidRPr="005D0A88">
        <w:rPr>
          <w:rFonts w:cs="Arial"/>
          <w:iCs/>
          <w:szCs w:val="20"/>
          <w:lang w:eastAsia="en-US"/>
        </w:rPr>
        <w:t>reporting approach.</w:t>
      </w:r>
    </w:p>
    <w:p w14:paraId="32F97E7C" w14:textId="77777777" w:rsidR="009E3A91" w:rsidRPr="007A3D58" w:rsidRDefault="009E3A91" w:rsidP="009E3A91">
      <w:pPr>
        <w:rPr>
          <w:rFonts w:cs="Arial"/>
          <w:iCs/>
          <w:szCs w:val="20"/>
          <w:lang w:eastAsia="en-US"/>
        </w:rPr>
      </w:pPr>
      <w:r w:rsidRPr="007A3D58">
        <w:rPr>
          <w:rFonts w:cs="Arial"/>
          <w:iCs/>
          <w:szCs w:val="20"/>
          <w:lang w:eastAsia="en-US"/>
        </w:rPr>
        <w:t>The consultation produced a range of views from stakeholders. Support for the development of measurement tools and other technologies to better inform the consumer was expressed by ACCAN, Choice, Google and NBN Co</w:t>
      </w:r>
      <w:r>
        <w:rPr>
          <w:rFonts w:cs="Arial"/>
          <w:iCs/>
          <w:szCs w:val="20"/>
          <w:lang w:eastAsia="en-US"/>
        </w:rPr>
        <w:t xml:space="preserve"> L</w:t>
      </w:r>
      <w:r w:rsidRPr="007A3D58">
        <w:rPr>
          <w:rFonts w:cs="Arial"/>
          <w:iCs/>
          <w:szCs w:val="20"/>
          <w:lang w:eastAsia="en-US"/>
        </w:rPr>
        <w:t>imited (</w:t>
      </w:r>
      <w:r>
        <w:rPr>
          <w:rFonts w:cs="Arial"/>
          <w:iCs/>
          <w:szCs w:val="20"/>
          <w:lang w:eastAsia="en-US"/>
        </w:rPr>
        <w:t>NBN Co</w:t>
      </w:r>
      <w:r w:rsidRPr="007A3D58">
        <w:rPr>
          <w:rFonts w:cs="Arial"/>
          <w:iCs/>
          <w:szCs w:val="20"/>
          <w:lang w:eastAsia="en-US"/>
        </w:rPr>
        <w:t>).</w:t>
      </w:r>
    </w:p>
    <w:p w14:paraId="28762933" w14:textId="77777777" w:rsidR="009E3A91" w:rsidRPr="005D0A88" w:rsidRDefault="009E3A91" w:rsidP="009E3A91">
      <w:pPr>
        <w:rPr>
          <w:rFonts w:cs="Arial"/>
          <w:iCs/>
          <w:szCs w:val="20"/>
          <w:lang w:eastAsia="en-US"/>
        </w:rPr>
      </w:pPr>
      <w:r>
        <w:rPr>
          <w:rFonts w:cs="Arial"/>
          <w:iCs/>
          <w:szCs w:val="20"/>
          <w:lang w:eastAsia="en-US"/>
        </w:rPr>
        <w:t>A</w:t>
      </w:r>
      <w:r w:rsidRPr="007A3D58">
        <w:rPr>
          <w:rFonts w:cs="Arial"/>
          <w:iCs/>
          <w:szCs w:val="20"/>
          <w:lang w:eastAsia="en-US"/>
        </w:rPr>
        <w:t xml:space="preserve"> number of stakeholders, including Telstra, Optus and AAPT indicated that they would like greater clarity on the ACCC policy objectives and raised concerns around certain features of the proposed program. In particular, Communications Alliance expressed strong doubts that consumers want or would benefit from the information that the program would produce.</w:t>
      </w:r>
    </w:p>
    <w:p w14:paraId="58174E4F" w14:textId="77777777" w:rsidR="009E3A91" w:rsidRPr="005D0A88" w:rsidRDefault="009E3A91" w:rsidP="009E3A91">
      <w:pPr>
        <w:rPr>
          <w:rFonts w:cs="Arial"/>
          <w:iCs/>
          <w:szCs w:val="20"/>
          <w:lang w:eastAsia="en-US"/>
        </w:rPr>
      </w:pPr>
      <w:r w:rsidRPr="005D0A88">
        <w:rPr>
          <w:rFonts w:cs="Arial"/>
          <w:iCs/>
          <w:szCs w:val="20"/>
          <w:lang w:eastAsia="en-US"/>
        </w:rPr>
        <w:t xml:space="preserve">All submitters expressed a strong preference to remain engaged with the ACCC over the further development of the program. The ACCC provided an open letter in response to submissions </w:t>
      </w:r>
      <w:r>
        <w:rPr>
          <w:rFonts w:cs="Arial"/>
          <w:iCs/>
          <w:szCs w:val="20"/>
          <w:lang w:eastAsia="en-US"/>
        </w:rPr>
        <w:t>in</w:t>
      </w:r>
      <w:r w:rsidRPr="005D0A88">
        <w:rPr>
          <w:rFonts w:cs="Arial"/>
          <w:iCs/>
          <w:szCs w:val="20"/>
          <w:lang w:eastAsia="en-US"/>
        </w:rPr>
        <w:t xml:space="preserve"> October 2013, expanding on its policy objectives and responding to issues raised in the stakeholder submissions. </w:t>
      </w:r>
    </w:p>
    <w:p w14:paraId="1124232A" w14:textId="77777777" w:rsidR="009E3A91" w:rsidRPr="005D0A88" w:rsidRDefault="009E3A91" w:rsidP="009E3A91">
      <w:pPr>
        <w:rPr>
          <w:rFonts w:cs="Arial"/>
          <w:iCs/>
          <w:szCs w:val="20"/>
          <w:lang w:eastAsia="en-US"/>
        </w:rPr>
      </w:pPr>
      <w:r w:rsidRPr="005D0A88">
        <w:rPr>
          <w:rFonts w:cs="Arial"/>
          <w:iCs/>
          <w:szCs w:val="20"/>
          <w:lang w:eastAsia="en-US"/>
        </w:rPr>
        <w:t xml:space="preserve">Following the release of the open letter, the ACCC conducted a ‘closed’ consultation process from December 2013 through March 2014. This gave key industry stakeholders the chance to discuss their views with the ACCC in more detail and to provide further input on specific issues associated with the design and implementation of the proposed </w:t>
      </w:r>
      <w:r>
        <w:rPr>
          <w:rFonts w:cs="Arial"/>
          <w:iCs/>
          <w:szCs w:val="20"/>
          <w:lang w:eastAsia="en-US"/>
        </w:rPr>
        <w:t>MBA program</w:t>
      </w:r>
      <w:r w:rsidRPr="005D0A88">
        <w:rPr>
          <w:rFonts w:cs="Arial"/>
          <w:iCs/>
          <w:szCs w:val="20"/>
          <w:lang w:eastAsia="en-US"/>
        </w:rPr>
        <w:t>.</w:t>
      </w:r>
    </w:p>
    <w:p w14:paraId="3265BC67" w14:textId="27AB4195" w:rsidR="009E3A91" w:rsidRPr="005D0A88" w:rsidRDefault="009E3A91" w:rsidP="009E3A91">
      <w:pPr>
        <w:rPr>
          <w:rFonts w:cs="Arial"/>
          <w:iCs/>
          <w:szCs w:val="20"/>
          <w:lang w:eastAsia="en-US"/>
        </w:rPr>
      </w:pPr>
      <w:r w:rsidRPr="005D0A88">
        <w:rPr>
          <w:rFonts w:cs="Arial"/>
          <w:iCs/>
          <w:szCs w:val="20"/>
          <w:lang w:eastAsia="en-US"/>
        </w:rPr>
        <w:t xml:space="preserve">The ACCC subsequently released a position paper </w:t>
      </w:r>
      <w:r>
        <w:rPr>
          <w:rFonts w:cs="Arial"/>
          <w:iCs/>
          <w:szCs w:val="20"/>
          <w:lang w:eastAsia="en-US"/>
        </w:rPr>
        <w:t>in</w:t>
      </w:r>
      <w:r w:rsidRPr="005D0A88">
        <w:rPr>
          <w:rFonts w:cs="Arial"/>
          <w:iCs/>
          <w:szCs w:val="20"/>
          <w:lang w:eastAsia="en-US"/>
        </w:rPr>
        <w:t xml:space="preserve"> June 2014 that outlined the proposed program specifications taking into account previous consultations and introduced the pilot </w:t>
      </w:r>
      <w:r>
        <w:rPr>
          <w:rFonts w:cs="Arial"/>
          <w:iCs/>
          <w:szCs w:val="20"/>
          <w:lang w:eastAsia="en-US"/>
        </w:rPr>
        <w:t>MBA</w:t>
      </w:r>
      <w:r w:rsidRPr="005D0A88">
        <w:rPr>
          <w:rFonts w:cs="Arial"/>
          <w:iCs/>
          <w:szCs w:val="20"/>
          <w:lang w:eastAsia="en-US"/>
        </w:rPr>
        <w:t xml:space="preserve"> program. The pilot was conducted over a </w:t>
      </w:r>
      <w:r w:rsidR="00AC0442">
        <w:rPr>
          <w:rFonts w:cs="Arial"/>
          <w:iCs/>
          <w:szCs w:val="20"/>
          <w:lang w:eastAsia="en-US"/>
        </w:rPr>
        <w:t xml:space="preserve">period of </w:t>
      </w:r>
      <w:r w:rsidRPr="005D0A88">
        <w:rPr>
          <w:rFonts w:cs="Arial"/>
          <w:iCs/>
          <w:szCs w:val="20"/>
          <w:lang w:eastAsia="en-US"/>
        </w:rPr>
        <w:t>three month</w:t>
      </w:r>
      <w:r w:rsidR="00AC0442">
        <w:rPr>
          <w:rFonts w:cs="Arial"/>
          <w:iCs/>
          <w:szCs w:val="20"/>
          <w:lang w:eastAsia="en-US"/>
        </w:rPr>
        <w:t>s</w:t>
      </w:r>
      <w:r w:rsidR="002A6A5D">
        <w:rPr>
          <w:rFonts w:cs="Arial"/>
          <w:iCs/>
          <w:szCs w:val="20"/>
          <w:lang w:eastAsia="en-US"/>
        </w:rPr>
        <w:t xml:space="preserve"> </w:t>
      </w:r>
      <w:r>
        <w:rPr>
          <w:rFonts w:cs="Arial"/>
          <w:iCs/>
          <w:szCs w:val="20"/>
          <w:lang w:eastAsia="en-US"/>
        </w:rPr>
        <w:t>from</w:t>
      </w:r>
      <w:r w:rsidRPr="005D0A88">
        <w:rPr>
          <w:rFonts w:cs="Arial"/>
          <w:iCs/>
          <w:szCs w:val="20"/>
          <w:lang w:eastAsia="en-US"/>
        </w:rPr>
        <w:t xml:space="preserve"> March</w:t>
      </w:r>
      <w:r>
        <w:rPr>
          <w:rFonts w:cs="Arial"/>
          <w:iCs/>
          <w:szCs w:val="20"/>
          <w:lang w:eastAsia="en-US"/>
        </w:rPr>
        <w:t xml:space="preserve"> to</w:t>
      </w:r>
      <w:r w:rsidRPr="005D0A88">
        <w:rPr>
          <w:rFonts w:cs="Arial"/>
          <w:iCs/>
          <w:szCs w:val="20"/>
          <w:lang w:eastAsia="en-US"/>
        </w:rPr>
        <w:t xml:space="preserve"> May 2015.</w:t>
      </w:r>
    </w:p>
    <w:p w14:paraId="03F99376" w14:textId="77777777" w:rsidR="009E3A91" w:rsidRPr="005D0A88" w:rsidRDefault="009E3A91" w:rsidP="009E3A91">
      <w:pPr>
        <w:rPr>
          <w:rFonts w:cs="Arial"/>
          <w:iCs/>
          <w:szCs w:val="20"/>
          <w:lang w:eastAsia="en-US"/>
        </w:rPr>
      </w:pPr>
      <w:r>
        <w:rPr>
          <w:rFonts w:cs="Arial"/>
          <w:iCs/>
          <w:szCs w:val="20"/>
          <w:lang w:eastAsia="en-US"/>
        </w:rPr>
        <w:t>In</w:t>
      </w:r>
      <w:r w:rsidRPr="005D0A88">
        <w:rPr>
          <w:rFonts w:cs="Arial"/>
          <w:iCs/>
          <w:szCs w:val="20"/>
          <w:lang w:eastAsia="en-US"/>
        </w:rPr>
        <w:t xml:space="preserve"> September 2015</w:t>
      </w:r>
      <w:r>
        <w:rPr>
          <w:rFonts w:cs="Arial"/>
          <w:iCs/>
          <w:szCs w:val="20"/>
          <w:lang w:eastAsia="en-US"/>
        </w:rPr>
        <w:t>,</w:t>
      </w:r>
      <w:r w:rsidRPr="005D0A88">
        <w:rPr>
          <w:rFonts w:cs="Arial"/>
          <w:iCs/>
          <w:szCs w:val="20"/>
          <w:lang w:eastAsia="en-US"/>
        </w:rPr>
        <w:t xml:space="preserve"> the ACCC released a report on the results from the pilot program and noted that further consideration and consultation </w:t>
      </w:r>
      <w:r>
        <w:rPr>
          <w:rFonts w:cs="Arial"/>
          <w:iCs/>
          <w:szCs w:val="20"/>
          <w:lang w:eastAsia="en-US"/>
        </w:rPr>
        <w:t>was needed</w:t>
      </w:r>
      <w:r w:rsidRPr="005D0A88">
        <w:rPr>
          <w:rFonts w:cs="Arial"/>
          <w:iCs/>
          <w:szCs w:val="20"/>
          <w:lang w:eastAsia="en-US"/>
        </w:rPr>
        <w:t xml:space="preserve"> to determine which funding model would receive support and cooperation.</w:t>
      </w:r>
    </w:p>
    <w:p w14:paraId="189AD9C1" w14:textId="6FFFB8FC" w:rsidR="009E3A91" w:rsidRPr="0088294F" w:rsidRDefault="009E3A91" w:rsidP="009E3A91">
      <w:pPr>
        <w:rPr>
          <w:rFonts w:cs="Arial"/>
        </w:rPr>
      </w:pPr>
      <w:r w:rsidRPr="005D0A88">
        <w:rPr>
          <w:rFonts w:cs="Arial"/>
          <w:iCs/>
          <w:szCs w:val="20"/>
          <w:lang w:eastAsia="en-US"/>
        </w:rPr>
        <w:t xml:space="preserve">The </w:t>
      </w:r>
      <w:r>
        <w:rPr>
          <w:rFonts w:cs="Arial"/>
          <w:iCs/>
          <w:szCs w:val="20"/>
          <w:lang w:eastAsia="en-US"/>
        </w:rPr>
        <w:t>Department of Communications and the Arts</w:t>
      </w:r>
      <w:r w:rsidRPr="005D0A88">
        <w:rPr>
          <w:rFonts w:cs="Arial"/>
          <w:iCs/>
          <w:szCs w:val="20"/>
          <w:lang w:eastAsia="en-US"/>
        </w:rPr>
        <w:t xml:space="preserve"> has since </w:t>
      </w:r>
      <w:r>
        <w:rPr>
          <w:rFonts w:cs="Arial"/>
          <w:iCs/>
          <w:szCs w:val="20"/>
          <w:lang w:eastAsia="en-US"/>
        </w:rPr>
        <w:t>consulted</w:t>
      </w:r>
      <w:r w:rsidRPr="005D0A88">
        <w:rPr>
          <w:rFonts w:cs="Arial"/>
          <w:iCs/>
          <w:szCs w:val="20"/>
          <w:lang w:eastAsia="en-US"/>
        </w:rPr>
        <w:t xml:space="preserve"> with both industry and </w:t>
      </w:r>
      <w:r>
        <w:rPr>
          <w:rFonts w:cs="Arial"/>
          <w:iCs/>
          <w:szCs w:val="20"/>
          <w:lang w:eastAsia="en-US"/>
        </w:rPr>
        <w:t>g</w:t>
      </w:r>
      <w:r w:rsidRPr="005D0A88">
        <w:rPr>
          <w:rFonts w:cs="Arial"/>
          <w:iCs/>
          <w:szCs w:val="20"/>
          <w:lang w:eastAsia="en-US"/>
        </w:rPr>
        <w:t>overnment bodies and informed these parties that funding will be recovered through the ACLC.</w:t>
      </w:r>
    </w:p>
    <w:p w14:paraId="07A08A52" w14:textId="3B95B664" w:rsidR="009E3A91" w:rsidRDefault="00BC1A45" w:rsidP="009E3A91">
      <w:pPr>
        <w:rPr>
          <w:rFonts w:cs="Arial"/>
        </w:rPr>
      </w:pPr>
      <w:r w:rsidRPr="00BC1A45">
        <w:rPr>
          <w:rFonts w:cs="Arial"/>
        </w:rPr>
        <w:t xml:space="preserve">A consultation paper and a draft version of this CRIS </w:t>
      </w:r>
      <w:r>
        <w:rPr>
          <w:rFonts w:cs="Arial"/>
        </w:rPr>
        <w:t xml:space="preserve">addendum </w:t>
      </w:r>
      <w:r w:rsidRPr="00BC1A45">
        <w:rPr>
          <w:rFonts w:cs="Arial"/>
        </w:rPr>
        <w:t xml:space="preserve">were published on the ACMA’s website for a </w:t>
      </w:r>
      <w:r>
        <w:rPr>
          <w:rFonts w:cs="Arial"/>
        </w:rPr>
        <w:t>six-week period from 16 April 2018</w:t>
      </w:r>
      <w:r w:rsidRPr="00BC1A45">
        <w:rPr>
          <w:rFonts w:cs="Arial"/>
        </w:rPr>
        <w:t xml:space="preserve"> for public comment. </w:t>
      </w:r>
      <w:r>
        <w:rPr>
          <w:rFonts w:cs="Arial"/>
        </w:rPr>
        <w:t>Telstra</w:t>
      </w:r>
      <w:r w:rsidRPr="00BC1A45">
        <w:rPr>
          <w:rFonts w:cs="Arial"/>
        </w:rPr>
        <w:t xml:space="preserve"> was the only stakeholder that made a submission</w:t>
      </w:r>
      <w:r>
        <w:rPr>
          <w:rFonts w:cs="Arial"/>
        </w:rPr>
        <w:t xml:space="preserve"> in relation to this CRIS addendum. </w:t>
      </w:r>
      <w:r w:rsidR="00E2517F">
        <w:rPr>
          <w:rFonts w:cs="Arial"/>
        </w:rPr>
        <w:t>A summary of issues raised in relation to the consultation is provided in Attachment D.</w:t>
      </w:r>
    </w:p>
    <w:p w14:paraId="34E73106" w14:textId="77777777" w:rsidR="009E3A91" w:rsidRPr="00CC3F4B" w:rsidRDefault="009E3A91" w:rsidP="009E3A91">
      <w:pPr>
        <w:pStyle w:val="Heading1"/>
      </w:pPr>
      <w:bookmarkStart w:id="195" w:name="_Toc511294496"/>
      <w:bookmarkStart w:id="196" w:name="_Toc511634431"/>
      <w:bookmarkStart w:id="197" w:name="_Toc532543438"/>
      <w:r>
        <w:t>6</w:t>
      </w:r>
      <w:r w:rsidRPr="00CC3F4B">
        <w:t xml:space="preserve">. </w:t>
      </w:r>
      <w:r w:rsidRPr="00CC3F4B">
        <w:tab/>
        <w:t xml:space="preserve">Financial </w:t>
      </w:r>
      <w:r>
        <w:t>estimates</w:t>
      </w:r>
      <w:bookmarkEnd w:id="195"/>
      <w:bookmarkEnd w:id="196"/>
      <w:bookmarkEnd w:id="197"/>
    </w:p>
    <w:p w14:paraId="245086BA" w14:textId="77777777" w:rsidR="009E3A91" w:rsidRDefault="009E3A91" w:rsidP="009E3A91">
      <w:pPr>
        <w:rPr>
          <w:rFonts w:cs="Arial"/>
          <w:iCs/>
        </w:rPr>
      </w:pPr>
      <w:r w:rsidRPr="00D201AF">
        <w:rPr>
          <w:rFonts w:cs="Arial"/>
          <w:iCs/>
        </w:rPr>
        <w:t xml:space="preserve">Financial estimates for </w:t>
      </w:r>
      <w:r>
        <w:rPr>
          <w:rFonts w:cs="Arial"/>
          <w:iCs/>
        </w:rPr>
        <w:t xml:space="preserve">the MBA program </w:t>
      </w:r>
      <w:r w:rsidRPr="00D201AF">
        <w:rPr>
          <w:rFonts w:cs="Arial"/>
          <w:iCs/>
        </w:rPr>
        <w:t xml:space="preserve">for </w:t>
      </w:r>
      <w:r>
        <w:rPr>
          <w:rFonts w:cs="Arial"/>
          <w:iCs/>
        </w:rPr>
        <w:t xml:space="preserve">the financial year </w:t>
      </w:r>
      <w:r w:rsidRPr="00D201AF">
        <w:rPr>
          <w:rFonts w:cs="Arial"/>
          <w:iCs/>
        </w:rPr>
        <w:t xml:space="preserve">and three forward years are </w:t>
      </w:r>
      <w:r>
        <w:rPr>
          <w:rFonts w:cs="Arial"/>
          <w:iCs/>
        </w:rPr>
        <w:t xml:space="preserve">provided in Table 5. </w:t>
      </w:r>
    </w:p>
    <w:p w14:paraId="404D555A" w14:textId="77777777" w:rsidR="009E3A91" w:rsidRPr="000F5354" w:rsidRDefault="009E3A91" w:rsidP="009E3A91">
      <w:pPr>
        <w:pStyle w:val="ACMATableHeader"/>
      </w:pPr>
      <w:r w:rsidRPr="000F5354">
        <w:t>Financial estimates by activity</w:t>
      </w:r>
    </w:p>
    <w:tbl>
      <w:tblPr>
        <w:tblW w:w="5000" w:type="pct"/>
        <w:tblCellMar>
          <w:top w:w="57" w:type="dxa"/>
          <w:left w:w="57" w:type="dxa"/>
          <w:bottom w:w="57" w:type="dxa"/>
          <w:right w:w="57" w:type="dxa"/>
        </w:tblCellMar>
        <w:tblLook w:val="04A0" w:firstRow="1" w:lastRow="0" w:firstColumn="1" w:lastColumn="0" w:noHBand="0" w:noVBand="1"/>
      </w:tblPr>
      <w:tblGrid>
        <w:gridCol w:w="2165"/>
        <w:gridCol w:w="1098"/>
        <w:gridCol w:w="1098"/>
        <w:gridCol w:w="1098"/>
        <w:gridCol w:w="1098"/>
        <w:gridCol w:w="1099"/>
      </w:tblGrid>
      <w:tr w:rsidR="009E3A91" w:rsidRPr="005A5B87" w14:paraId="5EF153ED" w14:textId="77777777" w:rsidTr="009E3A91">
        <w:trPr>
          <w:trHeight w:val="649"/>
          <w:tblHeader/>
        </w:trPr>
        <w:tc>
          <w:tcPr>
            <w:tcW w:w="1412" w:type="pct"/>
            <w:vMerge w:val="restart"/>
            <w:tcBorders>
              <w:top w:val="single" w:sz="8" w:space="0" w:color="auto"/>
              <w:left w:val="single" w:sz="4" w:space="0" w:color="auto"/>
              <w:bottom w:val="single" w:sz="8" w:space="0" w:color="000000"/>
              <w:right w:val="single" w:sz="8" w:space="0" w:color="auto"/>
            </w:tcBorders>
            <w:shd w:val="clear" w:color="000000" w:fill="404040"/>
            <w:hideMark/>
          </w:tcPr>
          <w:p w14:paraId="71D037FB" w14:textId="77777777" w:rsidR="009E3A91" w:rsidRPr="00CE6BED" w:rsidRDefault="009E3A91" w:rsidP="009E3A91">
            <w:pPr>
              <w:pStyle w:val="TableHeading"/>
              <w:rPr>
                <w:b w:val="0"/>
                <w:color w:val="FFFFFF" w:themeColor="background1"/>
              </w:rPr>
            </w:pPr>
            <w:r w:rsidRPr="00CE6BED">
              <w:rPr>
                <w:color w:val="FFFFFF" w:themeColor="background1"/>
              </w:rPr>
              <w:t>Component</w:t>
            </w:r>
          </w:p>
        </w:tc>
        <w:tc>
          <w:tcPr>
            <w:tcW w:w="717" w:type="pct"/>
            <w:tcBorders>
              <w:top w:val="single" w:sz="8" w:space="0" w:color="auto"/>
              <w:left w:val="nil"/>
              <w:bottom w:val="nil"/>
              <w:right w:val="single" w:sz="8" w:space="0" w:color="auto"/>
            </w:tcBorders>
            <w:shd w:val="clear" w:color="000000" w:fill="404040"/>
            <w:hideMark/>
          </w:tcPr>
          <w:p w14:paraId="5C0093AA" w14:textId="77777777" w:rsidR="009E3A91" w:rsidRPr="00CE6BED" w:rsidRDefault="009E3A91" w:rsidP="009E3A91">
            <w:pPr>
              <w:pStyle w:val="TableHeading"/>
              <w:jc w:val="right"/>
              <w:rPr>
                <w:b w:val="0"/>
                <w:color w:val="FFFFFF" w:themeColor="background1"/>
              </w:rPr>
            </w:pPr>
            <w:r w:rsidRPr="00CE6BED">
              <w:rPr>
                <w:color w:val="FFFFFF" w:themeColor="background1"/>
              </w:rPr>
              <w:t>201</w:t>
            </w:r>
            <w:r>
              <w:rPr>
                <w:color w:val="FFFFFF" w:themeColor="background1"/>
              </w:rPr>
              <w:t>7</w:t>
            </w:r>
            <w:r w:rsidRPr="00CE6BED">
              <w:rPr>
                <w:color w:val="FFFFFF" w:themeColor="background1"/>
              </w:rPr>
              <w:t>–1</w:t>
            </w:r>
            <w:r>
              <w:rPr>
                <w:color w:val="FFFFFF" w:themeColor="background1"/>
              </w:rPr>
              <w:t>8</w:t>
            </w:r>
            <w:r w:rsidRPr="00CE6BED">
              <w:rPr>
                <w:color w:val="FFFFFF" w:themeColor="background1"/>
              </w:rPr>
              <w:t xml:space="preserve"> Budget</w:t>
            </w:r>
          </w:p>
        </w:tc>
        <w:tc>
          <w:tcPr>
            <w:tcW w:w="717" w:type="pct"/>
            <w:tcBorders>
              <w:top w:val="single" w:sz="8" w:space="0" w:color="auto"/>
              <w:left w:val="nil"/>
              <w:bottom w:val="nil"/>
              <w:right w:val="single" w:sz="8" w:space="0" w:color="auto"/>
            </w:tcBorders>
            <w:shd w:val="clear" w:color="000000" w:fill="404040"/>
            <w:hideMark/>
          </w:tcPr>
          <w:p w14:paraId="1D2DC7C9" w14:textId="77777777" w:rsidR="009E3A91" w:rsidRPr="00CE6BED" w:rsidRDefault="009E3A91" w:rsidP="009E3A91">
            <w:pPr>
              <w:pStyle w:val="TableHeading"/>
              <w:jc w:val="right"/>
              <w:rPr>
                <w:b w:val="0"/>
                <w:color w:val="FFFFFF" w:themeColor="background1"/>
              </w:rPr>
            </w:pPr>
            <w:r w:rsidRPr="00CE6BED">
              <w:rPr>
                <w:color w:val="FFFFFF" w:themeColor="background1"/>
              </w:rPr>
              <w:t>201</w:t>
            </w:r>
            <w:r>
              <w:rPr>
                <w:color w:val="FFFFFF" w:themeColor="background1"/>
              </w:rPr>
              <w:t>8</w:t>
            </w:r>
            <w:r w:rsidRPr="00CE6BED">
              <w:rPr>
                <w:color w:val="FFFFFF" w:themeColor="background1"/>
              </w:rPr>
              <w:t>–1</w:t>
            </w:r>
            <w:r>
              <w:rPr>
                <w:color w:val="FFFFFF" w:themeColor="background1"/>
              </w:rPr>
              <w:t>9</w:t>
            </w:r>
            <w:r w:rsidRPr="00CE6BED">
              <w:rPr>
                <w:color w:val="FFFFFF" w:themeColor="background1"/>
              </w:rPr>
              <w:t xml:space="preserve"> Budget</w:t>
            </w:r>
          </w:p>
        </w:tc>
        <w:tc>
          <w:tcPr>
            <w:tcW w:w="717" w:type="pct"/>
            <w:tcBorders>
              <w:top w:val="single" w:sz="8" w:space="0" w:color="auto"/>
              <w:left w:val="nil"/>
              <w:bottom w:val="nil"/>
              <w:right w:val="single" w:sz="8" w:space="0" w:color="auto"/>
            </w:tcBorders>
            <w:shd w:val="clear" w:color="000000" w:fill="404040"/>
            <w:hideMark/>
          </w:tcPr>
          <w:p w14:paraId="00563A7F" w14:textId="77777777" w:rsidR="009E3A91" w:rsidRPr="00CE6BED" w:rsidRDefault="009E3A91" w:rsidP="009E3A91">
            <w:pPr>
              <w:pStyle w:val="TableHeading"/>
              <w:jc w:val="right"/>
              <w:rPr>
                <w:b w:val="0"/>
                <w:color w:val="FFFFFF" w:themeColor="background1"/>
              </w:rPr>
            </w:pPr>
            <w:r w:rsidRPr="00CE6BED">
              <w:rPr>
                <w:color w:val="FFFFFF" w:themeColor="background1"/>
              </w:rPr>
              <w:t>201</w:t>
            </w:r>
            <w:r>
              <w:rPr>
                <w:color w:val="FFFFFF" w:themeColor="background1"/>
              </w:rPr>
              <w:t>9</w:t>
            </w:r>
            <w:r w:rsidRPr="00CE6BED">
              <w:rPr>
                <w:color w:val="FFFFFF" w:themeColor="background1"/>
              </w:rPr>
              <w:t>–</w:t>
            </w:r>
            <w:r>
              <w:rPr>
                <w:color w:val="FFFFFF" w:themeColor="background1"/>
              </w:rPr>
              <w:t>20</w:t>
            </w:r>
            <w:r w:rsidRPr="00CE6BED">
              <w:rPr>
                <w:color w:val="FFFFFF" w:themeColor="background1"/>
              </w:rPr>
              <w:t xml:space="preserve"> Budget</w:t>
            </w:r>
          </w:p>
        </w:tc>
        <w:tc>
          <w:tcPr>
            <w:tcW w:w="717" w:type="pct"/>
            <w:tcBorders>
              <w:top w:val="single" w:sz="8" w:space="0" w:color="auto"/>
              <w:left w:val="nil"/>
              <w:bottom w:val="nil"/>
              <w:right w:val="single" w:sz="8" w:space="0" w:color="auto"/>
            </w:tcBorders>
            <w:shd w:val="clear" w:color="000000" w:fill="404040"/>
            <w:hideMark/>
          </w:tcPr>
          <w:p w14:paraId="070ED0C3" w14:textId="77777777" w:rsidR="009E3A91" w:rsidRPr="00CE6BED" w:rsidRDefault="009E3A91" w:rsidP="009E3A91">
            <w:pPr>
              <w:pStyle w:val="TableHeading"/>
              <w:jc w:val="right"/>
              <w:rPr>
                <w:b w:val="0"/>
                <w:color w:val="FFFFFF" w:themeColor="background1"/>
              </w:rPr>
            </w:pPr>
            <w:r w:rsidRPr="00CE6BED">
              <w:rPr>
                <w:color w:val="FFFFFF" w:themeColor="background1"/>
              </w:rPr>
              <w:t>20</w:t>
            </w:r>
            <w:r>
              <w:rPr>
                <w:color w:val="FFFFFF" w:themeColor="background1"/>
              </w:rPr>
              <w:t>19</w:t>
            </w:r>
            <w:r w:rsidRPr="00CE6BED">
              <w:rPr>
                <w:color w:val="FFFFFF" w:themeColor="background1"/>
              </w:rPr>
              <w:t>–</w:t>
            </w:r>
            <w:r>
              <w:rPr>
                <w:color w:val="FFFFFF" w:themeColor="background1"/>
              </w:rPr>
              <w:t>20</w:t>
            </w:r>
            <w:r w:rsidRPr="00CE6BED">
              <w:rPr>
                <w:color w:val="FFFFFF" w:themeColor="background1"/>
              </w:rPr>
              <w:t xml:space="preserve"> Budget</w:t>
            </w:r>
          </w:p>
        </w:tc>
        <w:tc>
          <w:tcPr>
            <w:tcW w:w="718" w:type="pct"/>
            <w:tcBorders>
              <w:top w:val="single" w:sz="8" w:space="0" w:color="auto"/>
              <w:left w:val="nil"/>
              <w:bottom w:val="nil"/>
              <w:right w:val="single" w:sz="8" w:space="0" w:color="auto"/>
            </w:tcBorders>
            <w:shd w:val="clear" w:color="000000" w:fill="404040"/>
            <w:hideMark/>
          </w:tcPr>
          <w:p w14:paraId="5E6B8C46" w14:textId="77777777" w:rsidR="009E3A91" w:rsidRPr="00CE6BED" w:rsidRDefault="009E3A91" w:rsidP="009E3A91">
            <w:pPr>
              <w:pStyle w:val="TableHeading"/>
              <w:jc w:val="right"/>
              <w:rPr>
                <w:b w:val="0"/>
                <w:color w:val="FFFFFF" w:themeColor="background1"/>
              </w:rPr>
            </w:pPr>
            <w:r>
              <w:rPr>
                <w:color w:val="FFFFFF" w:themeColor="background1"/>
              </w:rPr>
              <w:t>2020</w:t>
            </w:r>
            <w:r w:rsidRPr="00CE6BED">
              <w:rPr>
                <w:color w:val="FFFFFF" w:themeColor="background1"/>
              </w:rPr>
              <w:t>–</w:t>
            </w:r>
            <w:r>
              <w:rPr>
                <w:color w:val="FFFFFF" w:themeColor="background1"/>
              </w:rPr>
              <w:t>21</w:t>
            </w:r>
            <w:r w:rsidRPr="00CE6BED">
              <w:rPr>
                <w:color w:val="FFFFFF" w:themeColor="background1"/>
              </w:rPr>
              <w:t xml:space="preserve"> Budget</w:t>
            </w:r>
          </w:p>
        </w:tc>
      </w:tr>
      <w:tr w:rsidR="009E3A91" w:rsidRPr="005A5B87" w14:paraId="37D5493C" w14:textId="77777777" w:rsidTr="009E3A91">
        <w:trPr>
          <w:trHeight w:val="106"/>
          <w:tblHeader/>
        </w:trPr>
        <w:tc>
          <w:tcPr>
            <w:tcW w:w="1412" w:type="pct"/>
            <w:vMerge/>
            <w:tcBorders>
              <w:top w:val="single" w:sz="8" w:space="0" w:color="auto"/>
              <w:left w:val="single" w:sz="4" w:space="0" w:color="auto"/>
              <w:bottom w:val="single" w:sz="8" w:space="0" w:color="000000"/>
              <w:right w:val="single" w:sz="8" w:space="0" w:color="auto"/>
            </w:tcBorders>
            <w:hideMark/>
          </w:tcPr>
          <w:p w14:paraId="6B2D9B57" w14:textId="77777777" w:rsidR="009E3A91" w:rsidRPr="00CE6BED" w:rsidRDefault="009E3A91" w:rsidP="009E3A91">
            <w:pPr>
              <w:pStyle w:val="TableHeading"/>
              <w:rPr>
                <w:b w:val="0"/>
                <w:color w:val="FFFFFF" w:themeColor="background1"/>
              </w:rPr>
            </w:pPr>
          </w:p>
        </w:tc>
        <w:tc>
          <w:tcPr>
            <w:tcW w:w="717" w:type="pct"/>
            <w:tcBorders>
              <w:top w:val="nil"/>
              <w:left w:val="nil"/>
              <w:bottom w:val="single" w:sz="8" w:space="0" w:color="auto"/>
              <w:right w:val="single" w:sz="8" w:space="0" w:color="auto"/>
            </w:tcBorders>
            <w:shd w:val="clear" w:color="000000" w:fill="404040"/>
            <w:hideMark/>
          </w:tcPr>
          <w:p w14:paraId="4FAD3631" w14:textId="77777777" w:rsidR="009E3A91" w:rsidRPr="00CE6BED" w:rsidRDefault="009E3A91" w:rsidP="009E3A91">
            <w:pPr>
              <w:pStyle w:val="TableHeading"/>
              <w:jc w:val="right"/>
              <w:rPr>
                <w:b w:val="0"/>
                <w:color w:val="FFFFFF" w:themeColor="background1"/>
              </w:rPr>
            </w:pPr>
            <w:r w:rsidRPr="00CE6BED">
              <w:rPr>
                <w:color w:val="FFFFFF" w:themeColor="background1"/>
              </w:rPr>
              <w:t>($million)</w:t>
            </w:r>
          </w:p>
        </w:tc>
        <w:tc>
          <w:tcPr>
            <w:tcW w:w="717" w:type="pct"/>
            <w:tcBorders>
              <w:top w:val="nil"/>
              <w:left w:val="nil"/>
              <w:bottom w:val="single" w:sz="8" w:space="0" w:color="auto"/>
              <w:right w:val="single" w:sz="8" w:space="0" w:color="auto"/>
            </w:tcBorders>
            <w:shd w:val="clear" w:color="000000" w:fill="404040"/>
            <w:hideMark/>
          </w:tcPr>
          <w:p w14:paraId="4304CAB2" w14:textId="77777777" w:rsidR="009E3A91" w:rsidRPr="00CE6BED" w:rsidRDefault="009E3A91" w:rsidP="009E3A91">
            <w:pPr>
              <w:pStyle w:val="TableHeading"/>
              <w:jc w:val="right"/>
              <w:rPr>
                <w:b w:val="0"/>
                <w:color w:val="FFFFFF" w:themeColor="background1"/>
              </w:rPr>
            </w:pPr>
            <w:r w:rsidRPr="00CE6BED">
              <w:rPr>
                <w:color w:val="FFFFFF" w:themeColor="background1"/>
              </w:rPr>
              <w:t>($million)</w:t>
            </w:r>
          </w:p>
        </w:tc>
        <w:tc>
          <w:tcPr>
            <w:tcW w:w="717" w:type="pct"/>
            <w:tcBorders>
              <w:top w:val="nil"/>
              <w:left w:val="nil"/>
              <w:bottom w:val="single" w:sz="8" w:space="0" w:color="auto"/>
              <w:right w:val="single" w:sz="8" w:space="0" w:color="auto"/>
            </w:tcBorders>
            <w:shd w:val="clear" w:color="000000" w:fill="404040"/>
            <w:hideMark/>
          </w:tcPr>
          <w:p w14:paraId="29E0E0CA" w14:textId="77777777" w:rsidR="009E3A91" w:rsidRPr="00CE6BED" w:rsidRDefault="009E3A91" w:rsidP="009E3A91">
            <w:pPr>
              <w:pStyle w:val="TableHeading"/>
              <w:jc w:val="right"/>
              <w:rPr>
                <w:b w:val="0"/>
                <w:color w:val="FFFFFF" w:themeColor="background1"/>
              </w:rPr>
            </w:pPr>
            <w:r w:rsidRPr="00CE6BED">
              <w:rPr>
                <w:color w:val="FFFFFF" w:themeColor="background1"/>
              </w:rPr>
              <w:t>($million)</w:t>
            </w:r>
          </w:p>
        </w:tc>
        <w:tc>
          <w:tcPr>
            <w:tcW w:w="717" w:type="pct"/>
            <w:tcBorders>
              <w:top w:val="nil"/>
              <w:left w:val="nil"/>
              <w:bottom w:val="single" w:sz="8" w:space="0" w:color="auto"/>
              <w:right w:val="single" w:sz="8" w:space="0" w:color="auto"/>
            </w:tcBorders>
            <w:shd w:val="clear" w:color="000000" w:fill="404040"/>
            <w:hideMark/>
          </w:tcPr>
          <w:p w14:paraId="331C5BDB" w14:textId="77777777" w:rsidR="009E3A91" w:rsidRPr="00CE6BED" w:rsidRDefault="009E3A91" w:rsidP="009E3A91">
            <w:pPr>
              <w:pStyle w:val="TableHeading"/>
              <w:jc w:val="right"/>
              <w:rPr>
                <w:b w:val="0"/>
                <w:color w:val="FFFFFF" w:themeColor="background1"/>
              </w:rPr>
            </w:pPr>
            <w:r w:rsidRPr="00CE6BED">
              <w:rPr>
                <w:color w:val="FFFFFF" w:themeColor="background1"/>
              </w:rPr>
              <w:t>($million)</w:t>
            </w:r>
          </w:p>
        </w:tc>
        <w:tc>
          <w:tcPr>
            <w:tcW w:w="718" w:type="pct"/>
            <w:tcBorders>
              <w:top w:val="nil"/>
              <w:left w:val="nil"/>
              <w:bottom w:val="single" w:sz="8" w:space="0" w:color="auto"/>
              <w:right w:val="single" w:sz="8" w:space="0" w:color="auto"/>
            </w:tcBorders>
            <w:shd w:val="clear" w:color="000000" w:fill="404040"/>
            <w:hideMark/>
          </w:tcPr>
          <w:p w14:paraId="61FCBC6B" w14:textId="77777777" w:rsidR="009E3A91" w:rsidRPr="00CE6BED" w:rsidRDefault="009E3A91" w:rsidP="009E3A91">
            <w:pPr>
              <w:pStyle w:val="TableHeading"/>
              <w:jc w:val="right"/>
              <w:rPr>
                <w:b w:val="0"/>
                <w:color w:val="FFFFFF" w:themeColor="background1"/>
              </w:rPr>
            </w:pPr>
            <w:r w:rsidRPr="00CE6BED">
              <w:rPr>
                <w:color w:val="FFFFFF" w:themeColor="background1"/>
              </w:rPr>
              <w:t>($million)</w:t>
            </w:r>
          </w:p>
        </w:tc>
      </w:tr>
      <w:tr w:rsidR="009E3A91" w:rsidRPr="005A5B87" w14:paraId="0B1CEB86" w14:textId="77777777" w:rsidTr="009E3A91">
        <w:trPr>
          <w:trHeight w:val="242"/>
          <w:tblHeader/>
        </w:trPr>
        <w:tc>
          <w:tcPr>
            <w:tcW w:w="1412" w:type="pct"/>
            <w:tcBorders>
              <w:top w:val="nil"/>
              <w:left w:val="single" w:sz="4" w:space="0" w:color="auto"/>
              <w:bottom w:val="single" w:sz="8" w:space="0" w:color="auto"/>
              <w:right w:val="single" w:sz="8" w:space="0" w:color="auto"/>
            </w:tcBorders>
            <w:shd w:val="clear" w:color="auto" w:fill="auto"/>
            <w:hideMark/>
          </w:tcPr>
          <w:p w14:paraId="0C676003" w14:textId="77777777" w:rsidR="009E3A91" w:rsidRPr="00687A04" w:rsidRDefault="009E3A91" w:rsidP="009E3A91">
            <w:pPr>
              <w:spacing w:after="0" w:line="240" w:lineRule="auto"/>
              <w:rPr>
                <w:rFonts w:cs="Arial"/>
                <w:color w:val="000000"/>
                <w:szCs w:val="20"/>
              </w:rPr>
            </w:pPr>
            <w:r>
              <w:rPr>
                <w:rFonts w:cs="Arial"/>
                <w:color w:val="000000"/>
                <w:szCs w:val="20"/>
              </w:rPr>
              <w:t>MBA program e</w:t>
            </w:r>
            <w:r w:rsidRPr="00687A04">
              <w:rPr>
                <w:rFonts w:cs="Arial"/>
                <w:color w:val="000000"/>
                <w:szCs w:val="20"/>
              </w:rPr>
              <w:t>xpenses</w:t>
            </w:r>
          </w:p>
        </w:tc>
        <w:tc>
          <w:tcPr>
            <w:tcW w:w="717" w:type="pct"/>
            <w:tcBorders>
              <w:top w:val="nil"/>
              <w:left w:val="nil"/>
              <w:bottom w:val="single" w:sz="8" w:space="0" w:color="auto"/>
              <w:right w:val="single" w:sz="8" w:space="0" w:color="auto"/>
            </w:tcBorders>
            <w:shd w:val="clear" w:color="auto" w:fill="auto"/>
          </w:tcPr>
          <w:p w14:paraId="74DB0510" w14:textId="77777777" w:rsidR="009E3A91" w:rsidRPr="00687A04" w:rsidRDefault="009E3A91" w:rsidP="009E3A91">
            <w:pPr>
              <w:spacing w:after="0" w:line="240" w:lineRule="auto"/>
              <w:jc w:val="right"/>
              <w:rPr>
                <w:rFonts w:cs="Arial"/>
                <w:color w:val="000000"/>
                <w:szCs w:val="20"/>
              </w:rPr>
            </w:pPr>
            <w:r>
              <w:rPr>
                <w:rFonts w:cs="Arial"/>
                <w:color w:val="000000"/>
                <w:szCs w:val="20"/>
              </w:rPr>
              <w:t>2.0</w:t>
            </w:r>
          </w:p>
        </w:tc>
        <w:tc>
          <w:tcPr>
            <w:tcW w:w="717" w:type="pct"/>
            <w:tcBorders>
              <w:top w:val="nil"/>
              <w:left w:val="nil"/>
              <w:bottom w:val="single" w:sz="8" w:space="0" w:color="auto"/>
              <w:right w:val="single" w:sz="8" w:space="0" w:color="auto"/>
            </w:tcBorders>
            <w:shd w:val="clear" w:color="auto" w:fill="auto"/>
          </w:tcPr>
          <w:p w14:paraId="115E3CF0" w14:textId="77777777" w:rsidR="009E3A91" w:rsidRPr="00687A04" w:rsidRDefault="009E3A91" w:rsidP="009E3A91">
            <w:pPr>
              <w:spacing w:after="0" w:line="240" w:lineRule="auto"/>
              <w:jc w:val="right"/>
              <w:rPr>
                <w:rFonts w:cs="Arial"/>
                <w:color w:val="000000"/>
                <w:szCs w:val="20"/>
              </w:rPr>
            </w:pPr>
            <w:r>
              <w:rPr>
                <w:rFonts w:cs="Arial"/>
                <w:color w:val="000000"/>
                <w:szCs w:val="20"/>
              </w:rPr>
              <w:t>1.7</w:t>
            </w:r>
          </w:p>
        </w:tc>
        <w:tc>
          <w:tcPr>
            <w:tcW w:w="717" w:type="pct"/>
            <w:tcBorders>
              <w:top w:val="nil"/>
              <w:left w:val="nil"/>
              <w:bottom w:val="single" w:sz="8" w:space="0" w:color="auto"/>
              <w:right w:val="single" w:sz="8" w:space="0" w:color="auto"/>
            </w:tcBorders>
            <w:shd w:val="clear" w:color="auto" w:fill="auto"/>
          </w:tcPr>
          <w:p w14:paraId="67547C0E" w14:textId="77777777" w:rsidR="009E3A91" w:rsidRPr="00687A04" w:rsidRDefault="009E3A91" w:rsidP="009E3A91">
            <w:pPr>
              <w:spacing w:after="0" w:line="240" w:lineRule="auto"/>
              <w:jc w:val="right"/>
              <w:rPr>
                <w:rFonts w:cs="Arial"/>
                <w:color w:val="000000"/>
                <w:szCs w:val="20"/>
              </w:rPr>
            </w:pPr>
            <w:r>
              <w:rPr>
                <w:rFonts w:cs="Arial"/>
                <w:color w:val="000000"/>
                <w:szCs w:val="20"/>
              </w:rPr>
              <w:t>1.6</w:t>
            </w:r>
          </w:p>
        </w:tc>
        <w:tc>
          <w:tcPr>
            <w:tcW w:w="717" w:type="pct"/>
            <w:tcBorders>
              <w:top w:val="nil"/>
              <w:left w:val="nil"/>
              <w:bottom w:val="single" w:sz="8" w:space="0" w:color="auto"/>
              <w:right w:val="single" w:sz="8" w:space="0" w:color="auto"/>
            </w:tcBorders>
            <w:shd w:val="clear" w:color="auto" w:fill="auto"/>
          </w:tcPr>
          <w:p w14:paraId="2F28201F" w14:textId="77777777" w:rsidR="009E3A91" w:rsidRPr="00687A04" w:rsidRDefault="009E3A91" w:rsidP="009E3A91">
            <w:pPr>
              <w:spacing w:after="0" w:line="240" w:lineRule="auto"/>
              <w:jc w:val="right"/>
              <w:rPr>
                <w:rFonts w:cs="Arial"/>
                <w:color w:val="000000"/>
                <w:szCs w:val="20"/>
              </w:rPr>
            </w:pPr>
            <w:r>
              <w:rPr>
                <w:rFonts w:cs="Arial"/>
                <w:color w:val="000000"/>
                <w:szCs w:val="20"/>
              </w:rPr>
              <w:t>1.7</w:t>
            </w:r>
          </w:p>
        </w:tc>
        <w:tc>
          <w:tcPr>
            <w:tcW w:w="718" w:type="pct"/>
            <w:tcBorders>
              <w:top w:val="nil"/>
              <w:left w:val="nil"/>
              <w:bottom w:val="single" w:sz="8" w:space="0" w:color="auto"/>
              <w:right w:val="single" w:sz="8" w:space="0" w:color="auto"/>
            </w:tcBorders>
            <w:shd w:val="clear" w:color="auto" w:fill="auto"/>
          </w:tcPr>
          <w:p w14:paraId="3165027B" w14:textId="77777777" w:rsidR="009E3A91" w:rsidRPr="00687A04" w:rsidRDefault="009E3A91" w:rsidP="009E3A91">
            <w:pPr>
              <w:spacing w:after="0" w:line="240" w:lineRule="auto"/>
              <w:jc w:val="right"/>
              <w:rPr>
                <w:rFonts w:cs="Arial"/>
                <w:color w:val="000000"/>
                <w:szCs w:val="20"/>
              </w:rPr>
            </w:pPr>
            <w:r>
              <w:rPr>
                <w:rFonts w:cs="Arial"/>
                <w:color w:val="000000"/>
                <w:szCs w:val="20"/>
              </w:rPr>
              <w:t>0.0</w:t>
            </w:r>
          </w:p>
        </w:tc>
      </w:tr>
      <w:tr w:rsidR="009E3A91" w:rsidRPr="005A5B87" w14:paraId="798E0BBD" w14:textId="77777777" w:rsidTr="009E3A91">
        <w:trPr>
          <w:trHeight w:val="66"/>
          <w:tblHeader/>
        </w:trPr>
        <w:tc>
          <w:tcPr>
            <w:tcW w:w="1412" w:type="pct"/>
            <w:tcBorders>
              <w:top w:val="nil"/>
              <w:left w:val="single" w:sz="4" w:space="0" w:color="auto"/>
              <w:bottom w:val="single" w:sz="8" w:space="0" w:color="auto"/>
              <w:right w:val="single" w:sz="8" w:space="0" w:color="auto"/>
            </w:tcBorders>
            <w:shd w:val="clear" w:color="auto" w:fill="auto"/>
            <w:hideMark/>
          </w:tcPr>
          <w:p w14:paraId="6F84280D" w14:textId="77777777" w:rsidR="009E3A91" w:rsidRPr="00687A04" w:rsidRDefault="009E3A91" w:rsidP="009E3A91">
            <w:pPr>
              <w:spacing w:after="0" w:line="240" w:lineRule="auto"/>
              <w:rPr>
                <w:rFonts w:cs="Arial"/>
                <w:color w:val="000000"/>
                <w:szCs w:val="20"/>
              </w:rPr>
            </w:pPr>
            <w:r>
              <w:rPr>
                <w:rFonts w:cs="Arial"/>
                <w:color w:val="000000"/>
                <w:szCs w:val="20"/>
              </w:rPr>
              <w:t>ACLC revenue</w:t>
            </w:r>
          </w:p>
        </w:tc>
        <w:tc>
          <w:tcPr>
            <w:tcW w:w="717" w:type="pct"/>
            <w:tcBorders>
              <w:top w:val="nil"/>
              <w:left w:val="nil"/>
              <w:bottom w:val="single" w:sz="8" w:space="0" w:color="auto"/>
              <w:right w:val="single" w:sz="8" w:space="0" w:color="auto"/>
            </w:tcBorders>
            <w:shd w:val="clear" w:color="auto" w:fill="auto"/>
          </w:tcPr>
          <w:p w14:paraId="3C0179A7" w14:textId="77777777" w:rsidR="009E3A91" w:rsidRPr="00687A04" w:rsidRDefault="009E3A91" w:rsidP="009E3A91">
            <w:pPr>
              <w:spacing w:after="0" w:line="240" w:lineRule="auto"/>
              <w:jc w:val="right"/>
              <w:rPr>
                <w:rFonts w:cs="Arial"/>
                <w:color w:val="000000"/>
                <w:szCs w:val="20"/>
              </w:rPr>
            </w:pPr>
            <w:r>
              <w:rPr>
                <w:rFonts w:cs="Arial"/>
                <w:color w:val="000000"/>
                <w:szCs w:val="20"/>
              </w:rPr>
              <w:t>0.0</w:t>
            </w:r>
          </w:p>
        </w:tc>
        <w:tc>
          <w:tcPr>
            <w:tcW w:w="717" w:type="pct"/>
            <w:tcBorders>
              <w:top w:val="nil"/>
              <w:left w:val="nil"/>
              <w:bottom w:val="single" w:sz="8" w:space="0" w:color="auto"/>
              <w:right w:val="single" w:sz="8" w:space="0" w:color="auto"/>
            </w:tcBorders>
            <w:shd w:val="clear" w:color="auto" w:fill="auto"/>
          </w:tcPr>
          <w:p w14:paraId="1FA4CA1F" w14:textId="77777777" w:rsidR="009E3A91" w:rsidRPr="00687A04" w:rsidRDefault="009E3A91" w:rsidP="009E3A91">
            <w:pPr>
              <w:spacing w:after="0" w:line="240" w:lineRule="auto"/>
              <w:jc w:val="right"/>
              <w:rPr>
                <w:rFonts w:cs="Arial"/>
                <w:color w:val="000000"/>
                <w:szCs w:val="20"/>
              </w:rPr>
            </w:pPr>
            <w:r>
              <w:rPr>
                <w:rFonts w:cs="Arial"/>
                <w:color w:val="000000"/>
                <w:szCs w:val="20"/>
              </w:rPr>
              <w:t>2.0</w:t>
            </w:r>
          </w:p>
        </w:tc>
        <w:tc>
          <w:tcPr>
            <w:tcW w:w="717" w:type="pct"/>
            <w:tcBorders>
              <w:top w:val="nil"/>
              <w:left w:val="nil"/>
              <w:bottom w:val="single" w:sz="8" w:space="0" w:color="auto"/>
              <w:right w:val="single" w:sz="8" w:space="0" w:color="auto"/>
            </w:tcBorders>
            <w:shd w:val="clear" w:color="auto" w:fill="auto"/>
          </w:tcPr>
          <w:p w14:paraId="0FEAC18F" w14:textId="77777777" w:rsidR="009E3A91" w:rsidRPr="00687A04" w:rsidRDefault="009E3A91" w:rsidP="009E3A91">
            <w:pPr>
              <w:spacing w:after="0" w:line="240" w:lineRule="auto"/>
              <w:jc w:val="right"/>
              <w:rPr>
                <w:rFonts w:cs="Arial"/>
                <w:color w:val="000000"/>
                <w:szCs w:val="20"/>
              </w:rPr>
            </w:pPr>
            <w:r>
              <w:rPr>
                <w:rFonts w:cs="Arial"/>
                <w:color w:val="000000"/>
                <w:szCs w:val="20"/>
              </w:rPr>
              <w:t>1.7</w:t>
            </w:r>
          </w:p>
        </w:tc>
        <w:tc>
          <w:tcPr>
            <w:tcW w:w="717" w:type="pct"/>
            <w:tcBorders>
              <w:top w:val="nil"/>
              <w:left w:val="nil"/>
              <w:bottom w:val="single" w:sz="8" w:space="0" w:color="auto"/>
              <w:right w:val="single" w:sz="8" w:space="0" w:color="auto"/>
            </w:tcBorders>
            <w:shd w:val="clear" w:color="auto" w:fill="auto"/>
          </w:tcPr>
          <w:p w14:paraId="3C104A90" w14:textId="77777777" w:rsidR="009E3A91" w:rsidRPr="00687A04" w:rsidRDefault="009E3A91" w:rsidP="009E3A91">
            <w:pPr>
              <w:spacing w:after="0" w:line="240" w:lineRule="auto"/>
              <w:jc w:val="right"/>
              <w:rPr>
                <w:rFonts w:cs="Arial"/>
                <w:color w:val="000000"/>
                <w:szCs w:val="20"/>
              </w:rPr>
            </w:pPr>
            <w:r>
              <w:rPr>
                <w:rFonts w:cs="Arial"/>
                <w:color w:val="000000"/>
                <w:szCs w:val="20"/>
              </w:rPr>
              <w:t>1.6</w:t>
            </w:r>
          </w:p>
        </w:tc>
        <w:tc>
          <w:tcPr>
            <w:tcW w:w="718" w:type="pct"/>
            <w:tcBorders>
              <w:top w:val="nil"/>
              <w:left w:val="nil"/>
              <w:bottom w:val="single" w:sz="8" w:space="0" w:color="auto"/>
              <w:right w:val="single" w:sz="8" w:space="0" w:color="auto"/>
            </w:tcBorders>
            <w:shd w:val="clear" w:color="auto" w:fill="auto"/>
          </w:tcPr>
          <w:p w14:paraId="58095851" w14:textId="77777777" w:rsidR="009E3A91" w:rsidRPr="00687A04" w:rsidRDefault="009E3A91" w:rsidP="009E3A91">
            <w:pPr>
              <w:spacing w:after="0" w:line="240" w:lineRule="auto"/>
              <w:jc w:val="right"/>
              <w:rPr>
                <w:rFonts w:cs="Arial"/>
                <w:color w:val="000000"/>
                <w:szCs w:val="20"/>
              </w:rPr>
            </w:pPr>
            <w:r>
              <w:rPr>
                <w:rFonts w:cs="Arial"/>
                <w:color w:val="000000"/>
                <w:szCs w:val="20"/>
              </w:rPr>
              <w:t>1.7</w:t>
            </w:r>
          </w:p>
        </w:tc>
      </w:tr>
      <w:tr w:rsidR="009E3A91" w:rsidRPr="005A5B87" w14:paraId="2E7072CE" w14:textId="77777777" w:rsidTr="009E3A91">
        <w:trPr>
          <w:trHeight w:val="66"/>
          <w:tblHeader/>
        </w:trPr>
        <w:tc>
          <w:tcPr>
            <w:tcW w:w="1412" w:type="pct"/>
            <w:tcBorders>
              <w:top w:val="nil"/>
              <w:left w:val="single" w:sz="4" w:space="0" w:color="auto"/>
              <w:bottom w:val="single" w:sz="8" w:space="0" w:color="auto"/>
              <w:right w:val="single" w:sz="8" w:space="0" w:color="auto"/>
            </w:tcBorders>
            <w:shd w:val="clear" w:color="auto" w:fill="D9D9D9" w:themeFill="background1" w:themeFillShade="D9"/>
          </w:tcPr>
          <w:p w14:paraId="59655C93" w14:textId="77777777" w:rsidR="009E3A91" w:rsidRDefault="009E3A91" w:rsidP="009E3A91">
            <w:pPr>
              <w:spacing w:after="0" w:line="240" w:lineRule="auto"/>
              <w:rPr>
                <w:rFonts w:cs="Arial"/>
                <w:color w:val="000000"/>
                <w:szCs w:val="20"/>
              </w:rPr>
            </w:pPr>
            <w:r w:rsidRPr="00687A04">
              <w:rPr>
                <w:rFonts w:cs="Arial"/>
                <w:b/>
                <w:bCs/>
                <w:color w:val="000000"/>
                <w:szCs w:val="20"/>
              </w:rPr>
              <w:t>Balance</w:t>
            </w:r>
          </w:p>
        </w:tc>
        <w:tc>
          <w:tcPr>
            <w:tcW w:w="717" w:type="pct"/>
            <w:tcBorders>
              <w:top w:val="nil"/>
              <w:left w:val="nil"/>
              <w:bottom w:val="single" w:sz="8" w:space="0" w:color="auto"/>
              <w:right w:val="single" w:sz="8" w:space="0" w:color="auto"/>
            </w:tcBorders>
            <w:shd w:val="clear" w:color="auto" w:fill="D9D9D9" w:themeFill="background1" w:themeFillShade="D9"/>
          </w:tcPr>
          <w:p w14:paraId="209D6A9E" w14:textId="77777777" w:rsidR="009E3A91" w:rsidRPr="0059615B" w:rsidRDefault="009E3A91" w:rsidP="009E3A91">
            <w:pPr>
              <w:spacing w:after="0" w:line="240" w:lineRule="auto"/>
              <w:jc w:val="right"/>
              <w:rPr>
                <w:rFonts w:cs="Arial"/>
                <w:b/>
                <w:color w:val="000000"/>
                <w:szCs w:val="20"/>
              </w:rPr>
            </w:pPr>
            <w:r w:rsidRPr="0059615B">
              <w:rPr>
                <w:rFonts w:cs="Arial"/>
                <w:b/>
                <w:color w:val="000000"/>
                <w:szCs w:val="20"/>
              </w:rPr>
              <w:t>(2.0)</w:t>
            </w:r>
          </w:p>
        </w:tc>
        <w:tc>
          <w:tcPr>
            <w:tcW w:w="717" w:type="pct"/>
            <w:tcBorders>
              <w:top w:val="nil"/>
              <w:left w:val="nil"/>
              <w:bottom w:val="single" w:sz="8" w:space="0" w:color="auto"/>
              <w:right w:val="single" w:sz="8" w:space="0" w:color="auto"/>
            </w:tcBorders>
            <w:shd w:val="clear" w:color="auto" w:fill="D9D9D9" w:themeFill="background1" w:themeFillShade="D9"/>
          </w:tcPr>
          <w:p w14:paraId="520FE280" w14:textId="77777777" w:rsidR="009E3A91" w:rsidRPr="0059615B" w:rsidRDefault="009E3A91" w:rsidP="009E3A91">
            <w:pPr>
              <w:spacing w:after="0" w:line="240" w:lineRule="auto"/>
              <w:jc w:val="right"/>
              <w:rPr>
                <w:rFonts w:cs="Arial"/>
                <w:b/>
                <w:color w:val="000000"/>
                <w:szCs w:val="20"/>
              </w:rPr>
            </w:pPr>
            <w:r>
              <w:rPr>
                <w:rFonts w:cs="Arial"/>
                <w:b/>
                <w:color w:val="000000"/>
                <w:szCs w:val="20"/>
              </w:rPr>
              <w:t>0.3</w:t>
            </w:r>
          </w:p>
        </w:tc>
        <w:tc>
          <w:tcPr>
            <w:tcW w:w="717" w:type="pct"/>
            <w:tcBorders>
              <w:top w:val="nil"/>
              <w:left w:val="nil"/>
              <w:bottom w:val="single" w:sz="8" w:space="0" w:color="auto"/>
              <w:right w:val="single" w:sz="8" w:space="0" w:color="auto"/>
            </w:tcBorders>
            <w:shd w:val="clear" w:color="auto" w:fill="D9D9D9" w:themeFill="background1" w:themeFillShade="D9"/>
          </w:tcPr>
          <w:p w14:paraId="46711DB2" w14:textId="77777777" w:rsidR="009E3A91" w:rsidRPr="0059615B" w:rsidRDefault="009E3A91" w:rsidP="009E3A91">
            <w:pPr>
              <w:spacing w:after="0" w:line="240" w:lineRule="auto"/>
              <w:jc w:val="right"/>
              <w:rPr>
                <w:rFonts w:cs="Arial"/>
                <w:b/>
                <w:color w:val="000000"/>
                <w:szCs w:val="20"/>
              </w:rPr>
            </w:pPr>
            <w:r>
              <w:rPr>
                <w:rFonts w:cs="Arial"/>
                <w:b/>
                <w:color w:val="000000"/>
                <w:szCs w:val="20"/>
              </w:rPr>
              <w:t>0.1</w:t>
            </w:r>
          </w:p>
        </w:tc>
        <w:tc>
          <w:tcPr>
            <w:tcW w:w="717" w:type="pct"/>
            <w:tcBorders>
              <w:top w:val="nil"/>
              <w:left w:val="nil"/>
              <w:bottom w:val="single" w:sz="8" w:space="0" w:color="auto"/>
              <w:right w:val="single" w:sz="8" w:space="0" w:color="auto"/>
            </w:tcBorders>
            <w:shd w:val="clear" w:color="auto" w:fill="D9D9D9" w:themeFill="background1" w:themeFillShade="D9"/>
          </w:tcPr>
          <w:p w14:paraId="7C8CFD4B" w14:textId="77777777" w:rsidR="009E3A91" w:rsidRPr="0059615B" w:rsidRDefault="009E3A91" w:rsidP="009E3A91">
            <w:pPr>
              <w:spacing w:after="0" w:line="240" w:lineRule="auto"/>
              <w:jc w:val="right"/>
              <w:rPr>
                <w:rFonts w:cs="Arial"/>
                <w:b/>
                <w:color w:val="000000"/>
                <w:szCs w:val="20"/>
              </w:rPr>
            </w:pPr>
            <w:r>
              <w:rPr>
                <w:rFonts w:cs="Arial"/>
                <w:b/>
                <w:color w:val="000000"/>
                <w:szCs w:val="20"/>
              </w:rPr>
              <w:t>(0.1)</w:t>
            </w:r>
          </w:p>
        </w:tc>
        <w:tc>
          <w:tcPr>
            <w:tcW w:w="718" w:type="pct"/>
            <w:tcBorders>
              <w:top w:val="nil"/>
              <w:left w:val="nil"/>
              <w:bottom w:val="single" w:sz="8" w:space="0" w:color="auto"/>
              <w:right w:val="single" w:sz="8" w:space="0" w:color="auto"/>
            </w:tcBorders>
            <w:shd w:val="clear" w:color="auto" w:fill="D9D9D9" w:themeFill="background1" w:themeFillShade="D9"/>
          </w:tcPr>
          <w:p w14:paraId="47DE18F6" w14:textId="77777777" w:rsidR="009E3A91" w:rsidRPr="0059615B" w:rsidRDefault="009E3A91" w:rsidP="009E3A91">
            <w:pPr>
              <w:spacing w:after="0" w:line="240" w:lineRule="auto"/>
              <w:jc w:val="right"/>
              <w:rPr>
                <w:rFonts w:cs="Arial"/>
                <w:b/>
                <w:color w:val="000000"/>
                <w:szCs w:val="20"/>
              </w:rPr>
            </w:pPr>
            <w:r>
              <w:rPr>
                <w:rFonts w:cs="Arial"/>
                <w:b/>
                <w:color w:val="000000"/>
                <w:szCs w:val="20"/>
              </w:rPr>
              <w:t>1.7</w:t>
            </w:r>
          </w:p>
        </w:tc>
      </w:tr>
      <w:tr w:rsidR="009E3A91" w:rsidRPr="005A5B87" w14:paraId="05F0D3CF" w14:textId="77777777" w:rsidTr="009E3A91">
        <w:trPr>
          <w:trHeight w:val="66"/>
          <w:tblHeader/>
        </w:trPr>
        <w:tc>
          <w:tcPr>
            <w:tcW w:w="1412" w:type="pct"/>
            <w:tcBorders>
              <w:top w:val="nil"/>
              <w:left w:val="single" w:sz="4" w:space="0" w:color="auto"/>
              <w:bottom w:val="single" w:sz="8" w:space="0" w:color="auto"/>
              <w:right w:val="single" w:sz="8" w:space="0" w:color="auto"/>
            </w:tcBorders>
            <w:shd w:val="clear" w:color="auto" w:fill="D9D9D9" w:themeFill="background1" w:themeFillShade="D9"/>
          </w:tcPr>
          <w:p w14:paraId="2AF10FB8" w14:textId="77777777" w:rsidR="009E3A91" w:rsidRDefault="009E3A91" w:rsidP="009E3A91">
            <w:pPr>
              <w:spacing w:after="0" w:line="240" w:lineRule="auto"/>
              <w:rPr>
                <w:rFonts w:cs="Arial"/>
                <w:color w:val="000000"/>
                <w:szCs w:val="20"/>
              </w:rPr>
            </w:pPr>
            <w:r>
              <w:rPr>
                <w:rFonts w:cs="Arial"/>
                <w:b/>
                <w:bCs/>
                <w:color w:val="000000"/>
                <w:szCs w:val="20"/>
              </w:rPr>
              <w:t>Cumulative balance</w:t>
            </w:r>
          </w:p>
        </w:tc>
        <w:tc>
          <w:tcPr>
            <w:tcW w:w="717" w:type="pct"/>
            <w:tcBorders>
              <w:top w:val="nil"/>
              <w:left w:val="nil"/>
              <w:bottom w:val="single" w:sz="8" w:space="0" w:color="auto"/>
              <w:right w:val="single" w:sz="8" w:space="0" w:color="auto"/>
            </w:tcBorders>
            <w:shd w:val="clear" w:color="auto" w:fill="D9D9D9" w:themeFill="background1" w:themeFillShade="D9"/>
          </w:tcPr>
          <w:p w14:paraId="7CF4D93C" w14:textId="77777777" w:rsidR="009E3A91" w:rsidRPr="0059615B" w:rsidRDefault="009E3A91" w:rsidP="009E3A91">
            <w:pPr>
              <w:spacing w:after="0" w:line="240" w:lineRule="auto"/>
              <w:jc w:val="right"/>
              <w:rPr>
                <w:rFonts w:cs="Arial"/>
                <w:b/>
                <w:color w:val="000000"/>
                <w:szCs w:val="20"/>
              </w:rPr>
            </w:pPr>
            <w:r>
              <w:rPr>
                <w:rFonts w:cs="Arial"/>
                <w:b/>
                <w:color w:val="000000"/>
                <w:szCs w:val="20"/>
              </w:rPr>
              <w:t>(2.0)</w:t>
            </w:r>
          </w:p>
        </w:tc>
        <w:tc>
          <w:tcPr>
            <w:tcW w:w="717" w:type="pct"/>
            <w:tcBorders>
              <w:top w:val="nil"/>
              <w:left w:val="nil"/>
              <w:bottom w:val="single" w:sz="8" w:space="0" w:color="auto"/>
              <w:right w:val="single" w:sz="8" w:space="0" w:color="auto"/>
            </w:tcBorders>
            <w:shd w:val="clear" w:color="auto" w:fill="D9D9D9" w:themeFill="background1" w:themeFillShade="D9"/>
          </w:tcPr>
          <w:p w14:paraId="583ED95E" w14:textId="77777777" w:rsidR="009E3A91" w:rsidRPr="0059615B" w:rsidRDefault="009E3A91" w:rsidP="009E3A91">
            <w:pPr>
              <w:spacing w:after="0" w:line="240" w:lineRule="auto"/>
              <w:jc w:val="right"/>
              <w:rPr>
                <w:rFonts w:cs="Arial"/>
                <w:b/>
                <w:color w:val="000000"/>
                <w:szCs w:val="20"/>
              </w:rPr>
            </w:pPr>
            <w:r>
              <w:rPr>
                <w:rFonts w:cs="Arial"/>
                <w:b/>
                <w:color w:val="000000"/>
                <w:szCs w:val="20"/>
              </w:rPr>
              <w:t>(1.7)</w:t>
            </w:r>
          </w:p>
        </w:tc>
        <w:tc>
          <w:tcPr>
            <w:tcW w:w="717" w:type="pct"/>
            <w:tcBorders>
              <w:top w:val="nil"/>
              <w:left w:val="nil"/>
              <w:bottom w:val="single" w:sz="8" w:space="0" w:color="auto"/>
              <w:right w:val="single" w:sz="8" w:space="0" w:color="auto"/>
            </w:tcBorders>
            <w:shd w:val="clear" w:color="auto" w:fill="D9D9D9" w:themeFill="background1" w:themeFillShade="D9"/>
          </w:tcPr>
          <w:p w14:paraId="7E25CDAD" w14:textId="77777777" w:rsidR="009E3A91" w:rsidRPr="0059615B" w:rsidRDefault="009E3A91" w:rsidP="009E3A91">
            <w:pPr>
              <w:spacing w:after="0" w:line="240" w:lineRule="auto"/>
              <w:jc w:val="right"/>
              <w:rPr>
                <w:rFonts w:cs="Arial"/>
                <w:b/>
                <w:color w:val="000000"/>
                <w:szCs w:val="20"/>
              </w:rPr>
            </w:pPr>
            <w:r>
              <w:rPr>
                <w:rFonts w:cs="Arial"/>
                <w:b/>
                <w:color w:val="000000"/>
                <w:szCs w:val="20"/>
              </w:rPr>
              <w:t>(1.6)</w:t>
            </w:r>
          </w:p>
        </w:tc>
        <w:tc>
          <w:tcPr>
            <w:tcW w:w="717" w:type="pct"/>
            <w:tcBorders>
              <w:top w:val="nil"/>
              <w:left w:val="nil"/>
              <w:bottom w:val="single" w:sz="8" w:space="0" w:color="auto"/>
              <w:right w:val="single" w:sz="8" w:space="0" w:color="auto"/>
            </w:tcBorders>
            <w:shd w:val="clear" w:color="auto" w:fill="D9D9D9" w:themeFill="background1" w:themeFillShade="D9"/>
          </w:tcPr>
          <w:p w14:paraId="0B506095" w14:textId="77777777" w:rsidR="009E3A91" w:rsidRPr="0059615B" w:rsidRDefault="009E3A91" w:rsidP="009E3A91">
            <w:pPr>
              <w:spacing w:after="0" w:line="240" w:lineRule="auto"/>
              <w:jc w:val="right"/>
              <w:rPr>
                <w:rFonts w:cs="Arial"/>
                <w:b/>
                <w:color w:val="000000"/>
                <w:szCs w:val="20"/>
              </w:rPr>
            </w:pPr>
            <w:r>
              <w:rPr>
                <w:rFonts w:cs="Arial"/>
                <w:b/>
                <w:color w:val="000000"/>
                <w:szCs w:val="20"/>
              </w:rPr>
              <w:t>(1.7)</w:t>
            </w:r>
          </w:p>
        </w:tc>
        <w:tc>
          <w:tcPr>
            <w:tcW w:w="718" w:type="pct"/>
            <w:tcBorders>
              <w:top w:val="nil"/>
              <w:left w:val="nil"/>
              <w:bottom w:val="single" w:sz="8" w:space="0" w:color="auto"/>
              <w:right w:val="single" w:sz="8" w:space="0" w:color="auto"/>
            </w:tcBorders>
            <w:shd w:val="clear" w:color="auto" w:fill="D9D9D9" w:themeFill="background1" w:themeFillShade="D9"/>
          </w:tcPr>
          <w:p w14:paraId="2595FBFD" w14:textId="77777777" w:rsidR="009E3A91" w:rsidRPr="0059615B" w:rsidRDefault="009E3A91" w:rsidP="009E3A91">
            <w:pPr>
              <w:spacing w:after="0" w:line="240" w:lineRule="auto"/>
              <w:jc w:val="right"/>
              <w:rPr>
                <w:rFonts w:cs="Arial"/>
                <w:b/>
                <w:color w:val="000000"/>
                <w:szCs w:val="20"/>
              </w:rPr>
            </w:pPr>
            <w:r>
              <w:rPr>
                <w:rFonts w:cs="Arial"/>
                <w:b/>
                <w:color w:val="000000"/>
                <w:szCs w:val="20"/>
              </w:rPr>
              <w:t>0.0</w:t>
            </w:r>
          </w:p>
        </w:tc>
      </w:tr>
    </w:tbl>
    <w:p w14:paraId="02FA56D6" w14:textId="77777777" w:rsidR="009E3A91" w:rsidRDefault="009E3A91" w:rsidP="009E3A91">
      <w:pPr>
        <w:pStyle w:val="ACMASpaceaftertable"/>
      </w:pPr>
    </w:p>
    <w:p w14:paraId="58E210C7" w14:textId="77777777" w:rsidR="009E3A91" w:rsidRDefault="009E3A91" w:rsidP="009E3A91">
      <w:pPr>
        <w:rPr>
          <w:rFonts w:cs="Arial"/>
        </w:rPr>
      </w:pPr>
      <w:r w:rsidRPr="00544310">
        <w:rPr>
          <w:rFonts w:cs="Arial"/>
        </w:rPr>
        <w:t xml:space="preserve">These costs are to be recouped </w:t>
      </w:r>
      <w:r>
        <w:rPr>
          <w:rFonts w:cs="Arial"/>
        </w:rPr>
        <w:t>by</w:t>
      </w:r>
      <w:r w:rsidRPr="00544310">
        <w:rPr>
          <w:rFonts w:cs="Arial"/>
        </w:rPr>
        <w:t xml:space="preserve"> the ACLC, as enabled by the </w:t>
      </w:r>
      <w:r>
        <w:rPr>
          <w:rFonts w:cs="Arial"/>
        </w:rPr>
        <w:t>Act</w:t>
      </w:r>
      <w:r w:rsidRPr="0059615B">
        <w:rPr>
          <w:rFonts w:cs="Arial"/>
        </w:rPr>
        <w:t xml:space="preserve">. These charges are levied in the financial year </w:t>
      </w:r>
      <w:r>
        <w:rPr>
          <w:rFonts w:cs="Arial"/>
        </w:rPr>
        <w:t>after</w:t>
      </w:r>
      <w:r w:rsidRPr="0059615B">
        <w:rPr>
          <w:rFonts w:cs="Arial"/>
        </w:rPr>
        <w:t xml:space="preserve"> the financial year in which the costs are incurred, resulting in a deficit equal to the previous financial year’s expenses being carried forward.</w:t>
      </w:r>
    </w:p>
    <w:p w14:paraId="73AA959B" w14:textId="77777777" w:rsidR="009E3A91" w:rsidRDefault="009E3A91" w:rsidP="009E3A91">
      <w:r w:rsidRPr="0059615B">
        <w:rPr>
          <w:rFonts w:cs="Arial"/>
        </w:rPr>
        <w:t xml:space="preserve">Overall, the </w:t>
      </w:r>
      <w:r>
        <w:rPr>
          <w:rFonts w:cs="Arial"/>
        </w:rPr>
        <w:t>MBA</w:t>
      </w:r>
      <w:r w:rsidRPr="0059615B">
        <w:rPr>
          <w:rFonts w:cs="Arial"/>
        </w:rPr>
        <w:t xml:space="preserve"> program is budget neutral</w:t>
      </w:r>
      <w:r>
        <w:rPr>
          <w:rFonts w:cs="Arial"/>
        </w:rPr>
        <w:t>. T</w:t>
      </w:r>
      <w:r w:rsidRPr="0059615B">
        <w:rPr>
          <w:rFonts w:cs="Arial"/>
        </w:rPr>
        <w:t xml:space="preserve">he administrative costs associated with implementing the </w:t>
      </w:r>
      <w:r>
        <w:rPr>
          <w:rFonts w:cs="Arial"/>
        </w:rPr>
        <w:t>MBA</w:t>
      </w:r>
      <w:r w:rsidRPr="0059615B">
        <w:rPr>
          <w:rFonts w:cs="Arial"/>
        </w:rPr>
        <w:t xml:space="preserve"> program</w:t>
      </w:r>
      <w:r>
        <w:rPr>
          <w:rFonts w:cs="Arial"/>
        </w:rPr>
        <w:t xml:space="preserve"> will not be cost recovered under this program</w:t>
      </w:r>
      <w:r w:rsidRPr="0059615B">
        <w:rPr>
          <w:rFonts w:cs="Arial"/>
        </w:rPr>
        <w:t>.</w:t>
      </w:r>
      <w:r>
        <w:rPr>
          <w:rFonts w:cs="Arial"/>
        </w:rPr>
        <w:t xml:space="preserve"> Invoicing for this program as part of the annual carrier licence charge is</w:t>
      </w:r>
      <w:r w:rsidRPr="0059615B">
        <w:rPr>
          <w:rFonts w:cs="Arial"/>
        </w:rPr>
        <w:t xml:space="preserve"> not expected to </w:t>
      </w:r>
      <w:r>
        <w:rPr>
          <w:rFonts w:cs="Arial"/>
        </w:rPr>
        <w:t>start</w:t>
      </w:r>
      <w:r w:rsidRPr="0059615B">
        <w:rPr>
          <w:rFonts w:cs="Arial"/>
        </w:rPr>
        <w:t xml:space="preserve"> until early 20</w:t>
      </w:r>
      <w:r>
        <w:rPr>
          <w:rFonts w:cs="Arial"/>
        </w:rPr>
        <w:t>19–20</w:t>
      </w:r>
      <w:r w:rsidRPr="0059615B">
        <w:rPr>
          <w:rFonts w:cs="Arial"/>
        </w:rPr>
        <w:t>.</w:t>
      </w:r>
    </w:p>
    <w:p w14:paraId="723A610E" w14:textId="77777777" w:rsidR="009E3A91" w:rsidRPr="00CC3F4B" w:rsidRDefault="009E3A91" w:rsidP="009E3A91">
      <w:pPr>
        <w:pStyle w:val="Heading1"/>
      </w:pPr>
      <w:bookmarkStart w:id="198" w:name="_Toc511294497"/>
      <w:bookmarkStart w:id="199" w:name="_Toc511634432"/>
      <w:bookmarkStart w:id="200" w:name="_Toc532543439"/>
      <w:r>
        <w:t>7A.</w:t>
      </w:r>
      <w:r>
        <w:tab/>
      </w:r>
      <w:r w:rsidRPr="00CC3F4B">
        <w:t xml:space="preserve">Financial </w:t>
      </w:r>
      <w:r>
        <w:t>performance</w:t>
      </w:r>
      <w:bookmarkEnd w:id="198"/>
      <w:bookmarkEnd w:id="199"/>
      <w:bookmarkEnd w:id="200"/>
    </w:p>
    <w:p w14:paraId="44AA38C4" w14:textId="77777777" w:rsidR="009E3A91" w:rsidRDefault="009E3A91" w:rsidP="009E3A91">
      <w:pPr>
        <w:rPr>
          <w:rFonts w:cs="Arial"/>
          <w:iCs/>
        </w:rPr>
      </w:pPr>
      <w:r w:rsidRPr="00900472">
        <w:rPr>
          <w:rFonts w:cs="Arial"/>
          <w:iCs/>
        </w:rPr>
        <w:t xml:space="preserve">Actual financial performance data will be included in future CRIS documentation when it exists. This will include explanation of any material variation between actual annual expenses and revenue for the </w:t>
      </w:r>
      <w:r>
        <w:rPr>
          <w:rFonts w:cs="Arial"/>
          <w:iCs/>
        </w:rPr>
        <w:t>MBA</w:t>
      </w:r>
      <w:r w:rsidRPr="00900472">
        <w:rPr>
          <w:rFonts w:cs="Arial"/>
          <w:iCs/>
        </w:rPr>
        <w:t xml:space="preserve"> program.</w:t>
      </w:r>
    </w:p>
    <w:p w14:paraId="51509995" w14:textId="77777777" w:rsidR="009E3A91" w:rsidRPr="00CC3F4B" w:rsidRDefault="009E3A91" w:rsidP="009E3A91">
      <w:pPr>
        <w:pStyle w:val="Heading1"/>
      </w:pPr>
      <w:bookmarkStart w:id="201" w:name="_Toc511294498"/>
      <w:bookmarkStart w:id="202" w:name="_Toc511634433"/>
      <w:bookmarkStart w:id="203" w:name="_Toc532543440"/>
      <w:r>
        <w:t>7B.</w:t>
      </w:r>
      <w:r>
        <w:tab/>
        <w:t>Non-f</w:t>
      </w:r>
      <w:r w:rsidRPr="00CC3F4B">
        <w:t xml:space="preserve">inancial </w:t>
      </w:r>
      <w:r>
        <w:t>performance</w:t>
      </w:r>
      <w:bookmarkEnd w:id="201"/>
      <w:bookmarkEnd w:id="202"/>
      <w:bookmarkEnd w:id="203"/>
    </w:p>
    <w:p w14:paraId="1C20D5ED" w14:textId="77777777" w:rsidR="009E3A91" w:rsidRPr="004F748F" w:rsidRDefault="009E3A91" w:rsidP="009E3A91">
      <w:pPr>
        <w:spacing w:after="80" w:line="240" w:lineRule="auto"/>
      </w:pPr>
      <w:r w:rsidRPr="004F748F">
        <w:t xml:space="preserve">The ACCC is responsible for the economic regulation of the communications sector, </w:t>
      </w:r>
      <w:r>
        <w:t>which</w:t>
      </w:r>
      <w:r w:rsidRPr="004F748F">
        <w:t xml:space="preserve"> includes:</w:t>
      </w:r>
    </w:p>
    <w:p w14:paraId="32BBB50C" w14:textId="77777777" w:rsidR="009E3A91" w:rsidRPr="004F748F" w:rsidRDefault="009E3A91" w:rsidP="009E3A91">
      <w:pPr>
        <w:pStyle w:val="ListBullet"/>
      </w:pPr>
      <w:r w:rsidRPr="004F748F">
        <w:t xml:space="preserve">assessing and enforcing terms of access to the NBN in a </w:t>
      </w:r>
      <w:r>
        <w:t>standard access undertaking (</w:t>
      </w:r>
      <w:r w:rsidRPr="004F748F">
        <w:t>SAU</w:t>
      </w:r>
      <w:r>
        <w:t>)</w:t>
      </w:r>
      <w:r w:rsidRPr="004F748F">
        <w:t xml:space="preserve"> from NBN Co</w:t>
      </w:r>
    </w:p>
    <w:p w14:paraId="661D5FEE" w14:textId="77777777" w:rsidR="009E3A91" w:rsidRPr="004F748F" w:rsidRDefault="009E3A91" w:rsidP="009E3A91">
      <w:pPr>
        <w:pStyle w:val="ListBullet"/>
      </w:pPr>
      <w:r w:rsidRPr="004F748F">
        <w:t xml:space="preserve">assessing and enforcing Telstra’s </w:t>
      </w:r>
      <w:r>
        <w:t>structural separation undertaking (</w:t>
      </w:r>
      <w:r w:rsidRPr="004F748F">
        <w:t>SSU</w:t>
      </w:r>
      <w:r>
        <w:t>)</w:t>
      </w:r>
      <w:r w:rsidRPr="004F748F">
        <w:t xml:space="preserve"> and plan to migrate its customers to the NBN</w:t>
      </w:r>
    </w:p>
    <w:p w14:paraId="0FF60DBF" w14:textId="77777777" w:rsidR="009E3A91" w:rsidRPr="004F748F" w:rsidRDefault="009E3A91" w:rsidP="009E3A91">
      <w:pPr>
        <w:pStyle w:val="ListBullet"/>
      </w:pPr>
      <w:r w:rsidRPr="004F748F">
        <w:t>setting wholesale prices and wholesale terms of access for declared services</w:t>
      </w:r>
    </w:p>
    <w:p w14:paraId="6D7A1B85" w14:textId="77777777" w:rsidR="009E3A91" w:rsidRPr="004F748F" w:rsidRDefault="009E3A91" w:rsidP="009E3A91">
      <w:pPr>
        <w:pStyle w:val="ListBullet"/>
      </w:pPr>
      <w:r w:rsidRPr="004F748F">
        <w:t>monitoring and reporting on prices and competition in the communications sector</w:t>
      </w:r>
    </w:p>
    <w:p w14:paraId="007EB3EF" w14:textId="77777777" w:rsidR="009E3A91" w:rsidRPr="004F748F" w:rsidRDefault="009E3A91" w:rsidP="009E3A91">
      <w:pPr>
        <w:pStyle w:val="ListBulletLast"/>
      </w:pPr>
      <w:r w:rsidRPr="004F748F">
        <w:t xml:space="preserve">investigating claims of anti-competitive conduct in the communications sector. </w:t>
      </w:r>
    </w:p>
    <w:p w14:paraId="17C9799F" w14:textId="77777777" w:rsidR="009E3A91" w:rsidRPr="004F748F" w:rsidRDefault="009E3A91" w:rsidP="009E3A91">
      <w:pPr>
        <w:keepNext/>
        <w:spacing w:after="80" w:line="240" w:lineRule="auto"/>
      </w:pPr>
      <w:r w:rsidRPr="004F748F">
        <w:t xml:space="preserve">The ACCC’s performance measures for these deliverables include: </w:t>
      </w:r>
    </w:p>
    <w:p w14:paraId="274B792B" w14:textId="77777777" w:rsidR="009E3A91" w:rsidRPr="004F748F" w:rsidRDefault="009E3A91" w:rsidP="009E3A91">
      <w:pPr>
        <w:pStyle w:val="ListBullet"/>
      </w:pPr>
      <w:r w:rsidRPr="004F748F">
        <w:t>completing inquiries within statutory timeframes</w:t>
      </w:r>
    </w:p>
    <w:p w14:paraId="157432A4" w14:textId="77777777" w:rsidR="009E3A91" w:rsidRPr="004F748F" w:rsidRDefault="009E3A91" w:rsidP="009E3A91">
      <w:pPr>
        <w:pStyle w:val="ListBullet"/>
      </w:pPr>
      <w:r w:rsidRPr="004F748F">
        <w:t>providing outcomes that improve consume</w:t>
      </w:r>
      <w:r>
        <w:t>r</w:t>
      </w:r>
      <w:r w:rsidRPr="004F748F">
        <w:t xml:space="preserve"> welfare, are in the long</w:t>
      </w:r>
      <w:r>
        <w:t>-</w:t>
      </w:r>
      <w:r w:rsidRPr="004F748F">
        <w:t>term interests of telecommunications end</w:t>
      </w:r>
      <w:r>
        <w:t>-</w:t>
      </w:r>
      <w:r w:rsidRPr="004F748F">
        <w:t>users, protect</w:t>
      </w:r>
      <w:r>
        <w:t>ing</w:t>
      </w:r>
      <w:r w:rsidRPr="004F748F">
        <w:t xml:space="preserve"> competition and open</w:t>
      </w:r>
      <w:r>
        <w:t>ing</w:t>
      </w:r>
      <w:r w:rsidRPr="004F748F">
        <w:t xml:space="preserve"> markets to competition </w:t>
      </w:r>
    </w:p>
    <w:p w14:paraId="25C76867" w14:textId="77777777" w:rsidR="009E3A91" w:rsidRPr="004F748F" w:rsidRDefault="009E3A91" w:rsidP="009E3A91">
      <w:pPr>
        <w:pStyle w:val="ListBullet"/>
      </w:pPr>
      <w:r w:rsidRPr="004F748F">
        <w:t xml:space="preserve">contributing to market and competition analysis and investigations (especially under Part IV of the </w:t>
      </w:r>
      <w:r w:rsidRPr="004F748F">
        <w:rPr>
          <w:i/>
        </w:rPr>
        <w:t>Competition and Consumer Act 2010</w:t>
      </w:r>
      <w:r w:rsidRPr="004F748F">
        <w:t xml:space="preserve">) in relation to content, media and application services delivered over telecommunications networks  </w:t>
      </w:r>
    </w:p>
    <w:p w14:paraId="6DFCF6B1" w14:textId="77777777" w:rsidR="009E3A91" w:rsidRPr="004F748F" w:rsidRDefault="009E3A91" w:rsidP="009E3A91">
      <w:pPr>
        <w:pStyle w:val="ListBullet"/>
      </w:pPr>
      <w:r w:rsidRPr="004F748F">
        <w:t>advising other areas of the ACCC on implications of convergent technologies in the context of mergers, adjudication and enforcement activities</w:t>
      </w:r>
    </w:p>
    <w:p w14:paraId="1C90E07F" w14:textId="77777777" w:rsidR="009E3A91" w:rsidRPr="004F748F" w:rsidRDefault="009E3A91" w:rsidP="009E3A91">
      <w:pPr>
        <w:pStyle w:val="ListBulletLast"/>
        <w:rPr>
          <w:szCs w:val="20"/>
          <w:u w:val="single"/>
        </w:rPr>
      </w:pPr>
      <w:r w:rsidRPr="004F748F">
        <w:t>formulating briefing material and submissions to major government reviews, such as inquiries regarding the NBN, Senate estimates and other public inquiries.</w:t>
      </w:r>
    </w:p>
    <w:p w14:paraId="7D01317D" w14:textId="77777777" w:rsidR="009E3A91" w:rsidRDefault="009E3A91" w:rsidP="009E3A91">
      <w:r w:rsidRPr="00083A83">
        <w:t xml:space="preserve">Table </w:t>
      </w:r>
      <w:r>
        <w:t>6</w:t>
      </w:r>
      <w:r w:rsidRPr="00083A83">
        <w:t xml:space="preserve"> </w:t>
      </w:r>
      <w:r>
        <w:t>compares forecasts for the number of deployed monitoring devices against the actual number deployed.</w:t>
      </w:r>
    </w:p>
    <w:p w14:paraId="31D481F2" w14:textId="77777777" w:rsidR="009E3A91" w:rsidRPr="006A56FD" w:rsidRDefault="009E3A91" w:rsidP="009E3A91">
      <w:pPr>
        <w:pStyle w:val="ACMATableHeader"/>
      </w:pPr>
      <w:r w:rsidRPr="006A56FD">
        <w:t xml:space="preserve">The ACCC’s </w:t>
      </w:r>
      <w:r w:rsidRPr="00584E54">
        <w:t>anticipated device deployment profile</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57" w:type="dxa"/>
          <w:left w:w="57" w:type="dxa"/>
          <w:bottom w:w="57" w:type="dxa"/>
          <w:right w:w="57" w:type="dxa"/>
        </w:tblCellMar>
        <w:tblLook w:val="04A0" w:firstRow="1" w:lastRow="0" w:firstColumn="1" w:lastColumn="0" w:noHBand="0" w:noVBand="1"/>
        <w:tblCaption w:val="The ACCC’s anticipated device deployment profile"/>
      </w:tblPr>
      <w:tblGrid>
        <w:gridCol w:w="3678"/>
        <w:gridCol w:w="992"/>
        <w:gridCol w:w="994"/>
        <w:gridCol w:w="994"/>
        <w:gridCol w:w="997"/>
      </w:tblGrid>
      <w:tr w:rsidR="009E3A91" w:rsidRPr="00B4771B" w14:paraId="14BAA7A6" w14:textId="77777777" w:rsidTr="009E3A91">
        <w:trPr>
          <w:trHeight w:val="361"/>
          <w:tblHeader/>
        </w:trPr>
        <w:tc>
          <w:tcPr>
            <w:tcW w:w="2402" w:type="pct"/>
            <w:shd w:val="clear" w:color="auto" w:fill="404040" w:themeFill="text1" w:themeFillTint="BF"/>
          </w:tcPr>
          <w:p w14:paraId="4089EC5E" w14:textId="77777777" w:rsidR="009E3A91" w:rsidRPr="00AE2FD7" w:rsidRDefault="009E3A91" w:rsidP="009E3A91">
            <w:pPr>
              <w:pStyle w:val="TableHeading"/>
              <w:rPr>
                <w:b w:val="0"/>
                <w:color w:val="FFFFFF" w:themeColor="background1"/>
              </w:rPr>
            </w:pPr>
          </w:p>
        </w:tc>
        <w:tc>
          <w:tcPr>
            <w:tcW w:w="648" w:type="pct"/>
            <w:shd w:val="clear" w:color="auto" w:fill="404040" w:themeFill="text1" w:themeFillTint="BF"/>
            <w:vAlign w:val="center"/>
          </w:tcPr>
          <w:p w14:paraId="063DA89F" w14:textId="77777777" w:rsidR="009E3A91" w:rsidRPr="00AE2FD7" w:rsidRDefault="009E3A91" w:rsidP="009E3A91">
            <w:pPr>
              <w:pStyle w:val="TableHeading"/>
              <w:jc w:val="right"/>
              <w:rPr>
                <w:b w:val="0"/>
                <w:color w:val="FFFFFF" w:themeColor="background1"/>
              </w:rPr>
            </w:pPr>
            <w:r w:rsidRPr="00CE6BED">
              <w:rPr>
                <w:color w:val="FFFFFF" w:themeColor="background1"/>
              </w:rPr>
              <w:t>201</w:t>
            </w:r>
            <w:r>
              <w:rPr>
                <w:color w:val="FFFFFF" w:themeColor="background1"/>
              </w:rPr>
              <w:t>7</w:t>
            </w:r>
            <w:r w:rsidRPr="00CE6BED">
              <w:rPr>
                <w:color w:val="FFFFFF" w:themeColor="background1"/>
              </w:rPr>
              <w:t>–1</w:t>
            </w:r>
            <w:r>
              <w:rPr>
                <w:color w:val="FFFFFF" w:themeColor="background1"/>
              </w:rPr>
              <w:t>8</w:t>
            </w:r>
          </w:p>
        </w:tc>
        <w:tc>
          <w:tcPr>
            <w:tcW w:w="649" w:type="pct"/>
            <w:shd w:val="clear" w:color="auto" w:fill="404040" w:themeFill="text1" w:themeFillTint="BF"/>
            <w:vAlign w:val="center"/>
          </w:tcPr>
          <w:p w14:paraId="067A8068" w14:textId="77777777" w:rsidR="009E3A91" w:rsidRPr="00AE2FD7" w:rsidRDefault="009E3A91" w:rsidP="009E3A91">
            <w:pPr>
              <w:pStyle w:val="TableHeading"/>
              <w:jc w:val="right"/>
              <w:rPr>
                <w:color w:val="FFFFFF" w:themeColor="background1"/>
              </w:rPr>
            </w:pPr>
            <w:r w:rsidRPr="00CE6BED">
              <w:rPr>
                <w:color w:val="FFFFFF" w:themeColor="background1"/>
              </w:rPr>
              <w:t>201</w:t>
            </w:r>
            <w:r>
              <w:rPr>
                <w:color w:val="FFFFFF" w:themeColor="background1"/>
              </w:rPr>
              <w:t>8</w:t>
            </w:r>
            <w:r w:rsidRPr="00CE6BED">
              <w:rPr>
                <w:color w:val="FFFFFF" w:themeColor="background1"/>
              </w:rPr>
              <w:t>–1</w:t>
            </w:r>
            <w:r>
              <w:rPr>
                <w:color w:val="FFFFFF" w:themeColor="background1"/>
              </w:rPr>
              <w:t>9</w:t>
            </w:r>
          </w:p>
        </w:tc>
        <w:tc>
          <w:tcPr>
            <w:tcW w:w="649" w:type="pct"/>
            <w:shd w:val="clear" w:color="auto" w:fill="404040" w:themeFill="text1" w:themeFillTint="BF"/>
            <w:vAlign w:val="center"/>
          </w:tcPr>
          <w:p w14:paraId="249CC271" w14:textId="77777777" w:rsidR="009E3A91" w:rsidRPr="00AE2FD7" w:rsidRDefault="009E3A91" w:rsidP="009E3A91">
            <w:pPr>
              <w:pStyle w:val="TableHeading"/>
              <w:jc w:val="right"/>
              <w:rPr>
                <w:b w:val="0"/>
                <w:color w:val="FFFFFF" w:themeColor="background1"/>
              </w:rPr>
            </w:pPr>
            <w:r w:rsidRPr="00CE6BED">
              <w:rPr>
                <w:color w:val="FFFFFF" w:themeColor="background1"/>
              </w:rPr>
              <w:t>201</w:t>
            </w:r>
            <w:r>
              <w:rPr>
                <w:color w:val="FFFFFF" w:themeColor="background1"/>
              </w:rPr>
              <w:t>9</w:t>
            </w:r>
            <w:r w:rsidRPr="00CE6BED">
              <w:rPr>
                <w:color w:val="FFFFFF" w:themeColor="background1"/>
              </w:rPr>
              <w:t>–</w:t>
            </w:r>
            <w:r>
              <w:rPr>
                <w:color w:val="FFFFFF" w:themeColor="background1"/>
              </w:rPr>
              <w:t>20</w:t>
            </w:r>
          </w:p>
        </w:tc>
        <w:tc>
          <w:tcPr>
            <w:tcW w:w="651" w:type="pct"/>
            <w:tcBorders>
              <w:top w:val="single" w:sz="6" w:space="0" w:color="auto"/>
            </w:tcBorders>
            <w:shd w:val="clear" w:color="auto" w:fill="404040" w:themeFill="text1" w:themeFillTint="BF"/>
            <w:vAlign w:val="center"/>
          </w:tcPr>
          <w:p w14:paraId="2CDC266B" w14:textId="77777777" w:rsidR="009E3A91" w:rsidRPr="00584E54" w:rsidRDefault="009E3A91" w:rsidP="009E3A91">
            <w:pPr>
              <w:pStyle w:val="TableHeading"/>
              <w:jc w:val="right"/>
              <w:rPr>
                <w:color w:val="FFFFFF" w:themeColor="background1"/>
              </w:rPr>
            </w:pPr>
            <w:r w:rsidRPr="00CE6BED">
              <w:rPr>
                <w:color w:val="FFFFFF" w:themeColor="background1"/>
              </w:rPr>
              <w:t>20</w:t>
            </w:r>
            <w:r>
              <w:rPr>
                <w:color w:val="FFFFFF" w:themeColor="background1"/>
              </w:rPr>
              <w:t>19</w:t>
            </w:r>
            <w:r w:rsidRPr="00CE6BED">
              <w:rPr>
                <w:color w:val="FFFFFF" w:themeColor="background1"/>
              </w:rPr>
              <w:t>–</w:t>
            </w:r>
            <w:r>
              <w:rPr>
                <w:color w:val="FFFFFF" w:themeColor="background1"/>
              </w:rPr>
              <w:t>20</w:t>
            </w:r>
          </w:p>
        </w:tc>
      </w:tr>
      <w:tr w:rsidR="009E3A91" w:rsidRPr="00B4771B" w14:paraId="0B615755" w14:textId="77777777" w:rsidTr="009E3A91">
        <w:trPr>
          <w:trHeight w:val="256"/>
        </w:trPr>
        <w:tc>
          <w:tcPr>
            <w:tcW w:w="2402" w:type="pct"/>
          </w:tcPr>
          <w:p w14:paraId="57BE3770" w14:textId="77777777" w:rsidR="009E3A91" w:rsidRPr="00F45CD9" w:rsidRDefault="009E3A91" w:rsidP="009E3A91">
            <w:pPr>
              <w:keepNext/>
              <w:spacing w:after="0"/>
              <w:rPr>
                <w:rFonts w:cs="Arial"/>
                <w:szCs w:val="20"/>
              </w:rPr>
            </w:pPr>
            <w:r>
              <w:rPr>
                <w:rFonts w:cs="Arial"/>
                <w:szCs w:val="20"/>
              </w:rPr>
              <w:t>Forecast total n</w:t>
            </w:r>
            <w:r w:rsidRPr="00584E54">
              <w:rPr>
                <w:rFonts w:cs="Arial"/>
                <w:szCs w:val="20"/>
              </w:rPr>
              <w:t xml:space="preserve">umber of measurement devices </w:t>
            </w:r>
            <w:r>
              <w:rPr>
                <w:rFonts w:cs="Arial"/>
                <w:szCs w:val="20"/>
              </w:rPr>
              <w:t>deployed</w:t>
            </w:r>
          </w:p>
        </w:tc>
        <w:tc>
          <w:tcPr>
            <w:tcW w:w="648" w:type="pct"/>
          </w:tcPr>
          <w:p w14:paraId="37619D01" w14:textId="77777777" w:rsidR="009E3A91" w:rsidRDefault="009E3A91" w:rsidP="009E3A91">
            <w:pPr>
              <w:keepNext/>
              <w:spacing w:after="0"/>
              <w:jc w:val="right"/>
              <w:rPr>
                <w:rFonts w:cs="Arial"/>
                <w:color w:val="000000"/>
                <w:szCs w:val="20"/>
              </w:rPr>
            </w:pPr>
            <w:r w:rsidRPr="00F333FB">
              <w:t>2,500</w:t>
            </w:r>
          </w:p>
        </w:tc>
        <w:tc>
          <w:tcPr>
            <w:tcW w:w="649" w:type="pct"/>
          </w:tcPr>
          <w:p w14:paraId="36D0F69F" w14:textId="77777777" w:rsidR="009E3A91" w:rsidRDefault="009E3A91" w:rsidP="009E3A91">
            <w:pPr>
              <w:keepNext/>
              <w:spacing w:after="0"/>
              <w:jc w:val="right"/>
              <w:rPr>
                <w:rFonts w:cs="Arial"/>
                <w:color w:val="000000"/>
                <w:szCs w:val="20"/>
              </w:rPr>
            </w:pPr>
            <w:r w:rsidRPr="00F333FB">
              <w:t>3,300</w:t>
            </w:r>
          </w:p>
        </w:tc>
        <w:tc>
          <w:tcPr>
            <w:tcW w:w="649" w:type="pct"/>
          </w:tcPr>
          <w:p w14:paraId="099201A4" w14:textId="77777777" w:rsidR="009E3A91" w:rsidRDefault="009E3A91" w:rsidP="009E3A91">
            <w:pPr>
              <w:keepNext/>
              <w:spacing w:after="0"/>
              <w:jc w:val="right"/>
              <w:rPr>
                <w:rFonts w:cs="Arial"/>
                <w:color w:val="000000"/>
                <w:szCs w:val="20"/>
              </w:rPr>
            </w:pPr>
            <w:r w:rsidRPr="00F333FB">
              <w:t>3,800</w:t>
            </w:r>
          </w:p>
        </w:tc>
        <w:tc>
          <w:tcPr>
            <w:tcW w:w="651" w:type="pct"/>
          </w:tcPr>
          <w:p w14:paraId="415595D1" w14:textId="77777777" w:rsidR="009E3A91" w:rsidRDefault="009E3A91" w:rsidP="009E3A91">
            <w:pPr>
              <w:keepNext/>
              <w:spacing w:after="0"/>
              <w:jc w:val="right"/>
              <w:rPr>
                <w:rFonts w:cs="Arial"/>
                <w:color w:val="000000"/>
                <w:szCs w:val="20"/>
              </w:rPr>
            </w:pPr>
            <w:r w:rsidRPr="00F333FB">
              <w:t>&gt;=4,000</w:t>
            </w:r>
          </w:p>
        </w:tc>
      </w:tr>
      <w:tr w:rsidR="009E3A91" w:rsidRPr="00B4771B" w14:paraId="213B070F" w14:textId="77777777" w:rsidTr="009E3A91">
        <w:trPr>
          <w:trHeight w:val="446"/>
        </w:trPr>
        <w:tc>
          <w:tcPr>
            <w:tcW w:w="2402" w:type="pct"/>
          </w:tcPr>
          <w:p w14:paraId="30601AA4" w14:textId="77777777" w:rsidR="009E3A91" w:rsidRPr="00F45CD9" w:rsidRDefault="009E3A91" w:rsidP="009E3A91">
            <w:pPr>
              <w:keepNext/>
              <w:spacing w:after="0"/>
              <w:rPr>
                <w:rFonts w:cs="Arial"/>
                <w:szCs w:val="20"/>
              </w:rPr>
            </w:pPr>
            <w:r>
              <w:rPr>
                <w:rFonts w:cs="Arial"/>
                <w:szCs w:val="20"/>
              </w:rPr>
              <w:t xml:space="preserve">Actual total </w:t>
            </w:r>
            <w:r w:rsidRPr="00584E54">
              <w:rPr>
                <w:rFonts w:cs="Arial"/>
                <w:szCs w:val="20"/>
              </w:rPr>
              <w:t xml:space="preserve">number of measurement devices </w:t>
            </w:r>
            <w:r>
              <w:rPr>
                <w:rFonts w:cs="Arial"/>
                <w:szCs w:val="20"/>
              </w:rPr>
              <w:t>deployed</w:t>
            </w:r>
          </w:p>
        </w:tc>
        <w:tc>
          <w:tcPr>
            <w:tcW w:w="648" w:type="pct"/>
          </w:tcPr>
          <w:p w14:paraId="71EAD958" w14:textId="77777777" w:rsidR="009E3A91" w:rsidRPr="001F1E37" w:rsidRDefault="009E3A91" w:rsidP="009E3A91">
            <w:pPr>
              <w:keepNext/>
              <w:spacing w:after="0"/>
              <w:jc w:val="right"/>
              <w:rPr>
                <w:rFonts w:cs="Arial"/>
                <w:color w:val="000000"/>
                <w:szCs w:val="20"/>
              </w:rPr>
            </w:pPr>
            <w:r w:rsidRPr="001F1E37">
              <w:t>T</w:t>
            </w:r>
            <w:r>
              <w:t>o be reported</w:t>
            </w:r>
          </w:p>
        </w:tc>
        <w:tc>
          <w:tcPr>
            <w:tcW w:w="649" w:type="pct"/>
          </w:tcPr>
          <w:p w14:paraId="59A10804" w14:textId="77777777" w:rsidR="009E3A91" w:rsidRPr="001F1E37" w:rsidRDefault="009E3A91" w:rsidP="009E3A91">
            <w:pPr>
              <w:keepNext/>
              <w:spacing w:after="0"/>
              <w:jc w:val="right"/>
              <w:rPr>
                <w:rFonts w:cs="Arial"/>
                <w:color w:val="000000"/>
                <w:szCs w:val="20"/>
              </w:rPr>
            </w:pPr>
            <w:r w:rsidRPr="001F1E37">
              <w:t>To be reported</w:t>
            </w:r>
          </w:p>
        </w:tc>
        <w:tc>
          <w:tcPr>
            <w:tcW w:w="649" w:type="pct"/>
          </w:tcPr>
          <w:p w14:paraId="11BD75D2" w14:textId="77777777" w:rsidR="009E3A91" w:rsidRPr="001F1E37" w:rsidRDefault="009E3A91" w:rsidP="009E3A91">
            <w:pPr>
              <w:keepNext/>
              <w:spacing w:after="0"/>
              <w:jc w:val="right"/>
              <w:rPr>
                <w:rFonts w:cs="Arial"/>
                <w:color w:val="000000"/>
                <w:szCs w:val="20"/>
              </w:rPr>
            </w:pPr>
            <w:r w:rsidRPr="001F1E37">
              <w:t>To be reported</w:t>
            </w:r>
          </w:p>
        </w:tc>
        <w:tc>
          <w:tcPr>
            <w:tcW w:w="651" w:type="pct"/>
          </w:tcPr>
          <w:p w14:paraId="2C5DB023" w14:textId="77777777" w:rsidR="009E3A91" w:rsidRPr="001F1E37" w:rsidRDefault="009E3A91" w:rsidP="009E3A91">
            <w:pPr>
              <w:keepNext/>
              <w:spacing w:after="0"/>
              <w:jc w:val="right"/>
              <w:rPr>
                <w:rFonts w:cs="Arial"/>
                <w:color w:val="000000"/>
                <w:szCs w:val="20"/>
              </w:rPr>
            </w:pPr>
            <w:r w:rsidRPr="001F1E37">
              <w:t>To be reported</w:t>
            </w:r>
          </w:p>
        </w:tc>
      </w:tr>
      <w:tr w:rsidR="009E3A91" w:rsidRPr="00B4771B" w14:paraId="60FD8B3A" w14:textId="77777777" w:rsidTr="009E3A91">
        <w:trPr>
          <w:trHeight w:val="253"/>
        </w:trPr>
        <w:tc>
          <w:tcPr>
            <w:tcW w:w="2402" w:type="pct"/>
            <w:shd w:val="clear" w:color="auto" w:fill="D9D9D9" w:themeFill="background1" w:themeFillShade="D9"/>
          </w:tcPr>
          <w:p w14:paraId="708A83D7" w14:textId="77777777" w:rsidR="009E3A91" w:rsidRPr="00EE71B4" w:rsidRDefault="009E3A91" w:rsidP="009E3A91">
            <w:pPr>
              <w:keepNext/>
              <w:spacing w:after="0"/>
              <w:rPr>
                <w:rFonts w:cs="Arial"/>
                <w:b/>
                <w:szCs w:val="20"/>
              </w:rPr>
            </w:pPr>
            <w:r>
              <w:rPr>
                <w:rFonts w:cs="Arial"/>
                <w:b/>
                <w:szCs w:val="20"/>
              </w:rPr>
              <w:t>Variation</w:t>
            </w:r>
          </w:p>
        </w:tc>
        <w:tc>
          <w:tcPr>
            <w:tcW w:w="648" w:type="pct"/>
            <w:shd w:val="clear" w:color="auto" w:fill="D9D9D9" w:themeFill="background1" w:themeFillShade="D9"/>
          </w:tcPr>
          <w:p w14:paraId="0CF0D48E" w14:textId="77777777" w:rsidR="009E3A91" w:rsidRPr="00EE71B4" w:rsidRDefault="009E3A91" w:rsidP="009E3A91">
            <w:pPr>
              <w:keepNext/>
              <w:spacing w:after="0"/>
              <w:jc w:val="right"/>
              <w:rPr>
                <w:b/>
              </w:rPr>
            </w:pPr>
            <w:r>
              <w:rPr>
                <w:b/>
              </w:rPr>
              <w:t>To be reported</w:t>
            </w:r>
          </w:p>
        </w:tc>
        <w:tc>
          <w:tcPr>
            <w:tcW w:w="649" w:type="pct"/>
            <w:shd w:val="clear" w:color="auto" w:fill="D9D9D9" w:themeFill="background1" w:themeFillShade="D9"/>
          </w:tcPr>
          <w:p w14:paraId="0E171266" w14:textId="77777777" w:rsidR="009E3A91" w:rsidRPr="00EE71B4" w:rsidRDefault="009E3A91" w:rsidP="009E3A91">
            <w:pPr>
              <w:keepNext/>
              <w:spacing w:after="0"/>
              <w:jc w:val="right"/>
              <w:rPr>
                <w:b/>
              </w:rPr>
            </w:pPr>
            <w:r w:rsidRPr="00F37B15">
              <w:rPr>
                <w:b/>
              </w:rPr>
              <w:t>To be reported</w:t>
            </w:r>
          </w:p>
        </w:tc>
        <w:tc>
          <w:tcPr>
            <w:tcW w:w="649" w:type="pct"/>
            <w:shd w:val="clear" w:color="auto" w:fill="D9D9D9" w:themeFill="background1" w:themeFillShade="D9"/>
          </w:tcPr>
          <w:p w14:paraId="2629791F" w14:textId="77777777" w:rsidR="009E3A91" w:rsidRPr="00EE71B4" w:rsidRDefault="009E3A91" w:rsidP="009E3A91">
            <w:pPr>
              <w:keepNext/>
              <w:spacing w:after="0"/>
              <w:jc w:val="right"/>
              <w:rPr>
                <w:b/>
              </w:rPr>
            </w:pPr>
            <w:r>
              <w:rPr>
                <w:b/>
              </w:rPr>
              <w:t>To be reported</w:t>
            </w:r>
          </w:p>
        </w:tc>
        <w:tc>
          <w:tcPr>
            <w:tcW w:w="651" w:type="pct"/>
            <w:shd w:val="clear" w:color="auto" w:fill="D9D9D9" w:themeFill="background1" w:themeFillShade="D9"/>
          </w:tcPr>
          <w:p w14:paraId="2018583B" w14:textId="77777777" w:rsidR="009E3A91" w:rsidRPr="00EE71B4" w:rsidRDefault="009E3A91" w:rsidP="009E3A91">
            <w:pPr>
              <w:keepNext/>
              <w:spacing w:after="0"/>
              <w:jc w:val="right"/>
              <w:rPr>
                <w:b/>
              </w:rPr>
            </w:pPr>
            <w:r>
              <w:rPr>
                <w:b/>
              </w:rPr>
              <w:t>To be reported</w:t>
            </w:r>
          </w:p>
        </w:tc>
      </w:tr>
    </w:tbl>
    <w:p w14:paraId="79D307F5" w14:textId="77777777" w:rsidR="009E3A91" w:rsidRDefault="009E3A91" w:rsidP="009E3A91">
      <w:pPr>
        <w:spacing w:line="240" w:lineRule="auto"/>
      </w:pPr>
    </w:p>
    <w:p w14:paraId="2FE544AE" w14:textId="77777777" w:rsidR="009E3A91" w:rsidRDefault="009E3A91" w:rsidP="009E3A91">
      <w:pPr>
        <w:spacing w:line="240" w:lineRule="auto"/>
      </w:pPr>
      <w:r>
        <w:t xml:space="preserve">Public reporting of MBA program results will be published on the ACCC website, </w:t>
      </w:r>
      <w:hyperlink r:id="rId27" w:history="1">
        <w:r w:rsidRPr="004D19ED">
          <w:rPr>
            <w:rStyle w:val="Hyperlink"/>
          </w:rPr>
          <w:t>https://www.accc.gov.au/consumers/internet-phone/monitoring-broadband-performance</w:t>
        </w:r>
      </w:hyperlink>
      <w:r w:rsidRPr="00F37B15">
        <w:rPr>
          <w:rStyle w:val="Hyperlink"/>
          <w:color w:val="auto"/>
          <w:u w:val="none"/>
        </w:rPr>
        <w:t>.</w:t>
      </w:r>
    </w:p>
    <w:p w14:paraId="098898A9" w14:textId="77777777" w:rsidR="009E3A91" w:rsidRDefault="009E3A91" w:rsidP="009E3A91">
      <w:pPr>
        <w:spacing w:line="240" w:lineRule="auto"/>
      </w:pPr>
      <w:r>
        <w:t>Further n</w:t>
      </w:r>
      <w:r w:rsidRPr="00900472">
        <w:t>on-financial performance data will be included in future CRIS documentation.</w:t>
      </w:r>
    </w:p>
    <w:p w14:paraId="58554FE1" w14:textId="77777777" w:rsidR="009E3A91" w:rsidRPr="00CC3F4B" w:rsidRDefault="009E3A91" w:rsidP="009E3A91">
      <w:pPr>
        <w:pStyle w:val="Heading1"/>
      </w:pPr>
      <w:bookmarkStart w:id="204" w:name="_Toc511294499"/>
      <w:bookmarkStart w:id="205" w:name="_Toc511634434"/>
      <w:bookmarkStart w:id="206" w:name="_Toc532543441"/>
      <w:r>
        <w:t>8</w:t>
      </w:r>
      <w:r w:rsidRPr="00CC3F4B">
        <w:t>.</w:t>
      </w:r>
      <w:r w:rsidRPr="00CC3F4B">
        <w:tab/>
      </w:r>
      <w:r>
        <w:t>K</w:t>
      </w:r>
      <w:r w:rsidRPr="00CC3F4B">
        <w:t>ey forward dates and events</w:t>
      </w:r>
      <w:bookmarkEnd w:id="204"/>
      <w:bookmarkEnd w:id="205"/>
      <w:bookmarkEnd w:id="206"/>
    </w:p>
    <w:p w14:paraId="5BE64553" w14:textId="77777777" w:rsidR="009E3A91" w:rsidRDefault="009E3A91" w:rsidP="009E3A91">
      <w:r w:rsidRPr="00A84CBD">
        <w:t>Reflecting the annual nature of the ACLC, the CRIS is also updated on an annual basis. The key forward events and dates f</w:t>
      </w:r>
      <w:r>
        <w:t>or the ACLC process for the 2017</w:t>
      </w:r>
      <w:r w:rsidRPr="00A84CBD">
        <w:t>–</w:t>
      </w:r>
      <w:r>
        <w:t>18</w:t>
      </w:r>
      <w:r w:rsidRPr="00A84CBD">
        <w:t xml:space="preserve"> financial year are provided</w:t>
      </w:r>
      <w:r>
        <w:t xml:space="preserve"> in Table 7</w:t>
      </w:r>
      <w:r w:rsidRPr="00A84CBD">
        <w:t>.</w:t>
      </w:r>
    </w:p>
    <w:p w14:paraId="2BFE7225" w14:textId="77777777" w:rsidR="009E3A91" w:rsidRPr="006A56FD" w:rsidRDefault="009E3A91" w:rsidP="009E3A91">
      <w:pPr>
        <w:pStyle w:val="ACMATableHeader"/>
      </w:pPr>
      <w:r w:rsidRPr="006A56FD">
        <w:t>Key forward dates and events</w:t>
      </w:r>
    </w:p>
    <w:tbl>
      <w:tblPr>
        <w:tblW w:w="4821"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57" w:type="dxa"/>
          <w:bottom w:w="57" w:type="dxa"/>
        </w:tblCellMar>
        <w:tblLook w:val="04A0" w:firstRow="1" w:lastRow="0" w:firstColumn="1" w:lastColumn="0" w:noHBand="0" w:noVBand="1"/>
        <w:tblCaption w:val="Key forward dates and events"/>
        <w:tblDescription w:val="Update of forward financial estimates (section 6) in Dec 2016; Update of actual costs in May 2017."/>
      </w:tblPr>
      <w:tblGrid>
        <w:gridCol w:w="5255"/>
        <w:gridCol w:w="2126"/>
      </w:tblGrid>
      <w:tr w:rsidR="009E3A91" w:rsidRPr="000D6F80" w14:paraId="4BB24137" w14:textId="77777777" w:rsidTr="009E3A91">
        <w:trPr>
          <w:cantSplit/>
          <w:trHeight w:val="85"/>
          <w:tblHeader/>
        </w:trPr>
        <w:tc>
          <w:tcPr>
            <w:tcW w:w="3560" w:type="pct"/>
            <w:shd w:val="clear" w:color="auto" w:fill="404040" w:themeFill="text1" w:themeFillTint="BF"/>
          </w:tcPr>
          <w:p w14:paraId="5B6DCBFB" w14:textId="77777777" w:rsidR="009E3A91" w:rsidRPr="00E50A27" w:rsidRDefault="009E3A91" w:rsidP="009E3A91">
            <w:pPr>
              <w:pStyle w:val="TableHeading"/>
              <w:rPr>
                <w:b w:val="0"/>
                <w:color w:val="FFFFFF" w:themeColor="background1"/>
                <w:highlight w:val="yellow"/>
              </w:rPr>
            </w:pPr>
            <w:r w:rsidRPr="00E50A27">
              <w:rPr>
                <w:color w:val="FFFFFF" w:themeColor="background1"/>
              </w:rPr>
              <w:t>Key events</w:t>
            </w:r>
          </w:p>
        </w:tc>
        <w:tc>
          <w:tcPr>
            <w:tcW w:w="1440" w:type="pct"/>
            <w:tcBorders>
              <w:top w:val="single" w:sz="6" w:space="0" w:color="auto"/>
            </w:tcBorders>
            <w:shd w:val="clear" w:color="auto" w:fill="404040" w:themeFill="text1" w:themeFillTint="BF"/>
          </w:tcPr>
          <w:p w14:paraId="1E375485" w14:textId="77777777" w:rsidR="009E3A91" w:rsidRPr="00E50A27" w:rsidRDefault="009E3A91" w:rsidP="009E3A91">
            <w:pPr>
              <w:pStyle w:val="TableHeading"/>
              <w:rPr>
                <w:b w:val="0"/>
                <w:color w:val="FFFFFF" w:themeColor="background1"/>
              </w:rPr>
            </w:pPr>
            <w:r w:rsidRPr="00E50A27">
              <w:rPr>
                <w:color w:val="FFFFFF" w:themeColor="background1"/>
              </w:rPr>
              <w:t>Date</w:t>
            </w:r>
          </w:p>
        </w:tc>
      </w:tr>
      <w:tr w:rsidR="001F3D36" w:rsidRPr="000D6F80" w14:paraId="2D0F619A" w14:textId="77777777" w:rsidTr="009E3A91">
        <w:trPr>
          <w:cantSplit/>
          <w:trHeight w:val="247"/>
          <w:tblHeader/>
        </w:trPr>
        <w:tc>
          <w:tcPr>
            <w:tcW w:w="3560" w:type="pct"/>
          </w:tcPr>
          <w:p w14:paraId="3ACDBF7B" w14:textId="59599CE1" w:rsidR="001F3D36" w:rsidRDefault="001F3D36" w:rsidP="001F3D36">
            <w:pPr>
              <w:spacing w:after="0"/>
              <w:ind w:right="-142"/>
              <w:rPr>
                <w:rFonts w:cs="Arial"/>
                <w:szCs w:val="20"/>
              </w:rPr>
            </w:pPr>
            <w:r>
              <w:rPr>
                <w:rFonts w:cs="Arial"/>
                <w:szCs w:val="20"/>
              </w:rPr>
              <w:t>Update of forward estimates</w:t>
            </w:r>
          </w:p>
        </w:tc>
        <w:tc>
          <w:tcPr>
            <w:tcW w:w="1440" w:type="pct"/>
          </w:tcPr>
          <w:p w14:paraId="0237ADB3" w14:textId="57BB71F3" w:rsidR="001F3D36" w:rsidRPr="0039435F" w:rsidRDefault="001F3D36" w:rsidP="001F3D36">
            <w:pPr>
              <w:spacing w:after="0"/>
              <w:rPr>
                <w:rFonts w:cs="Arial"/>
                <w:szCs w:val="20"/>
              </w:rPr>
            </w:pPr>
            <w:r>
              <w:rPr>
                <w:rFonts w:cs="Arial"/>
                <w:szCs w:val="20"/>
              </w:rPr>
              <w:t>December 2018</w:t>
            </w:r>
          </w:p>
        </w:tc>
      </w:tr>
      <w:tr w:rsidR="001F3D36" w:rsidRPr="000D6F80" w14:paraId="5D351F18" w14:textId="77777777" w:rsidTr="009E3A91">
        <w:trPr>
          <w:cantSplit/>
          <w:trHeight w:val="197"/>
          <w:tblHeader/>
        </w:trPr>
        <w:tc>
          <w:tcPr>
            <w:tcW w:w="3560" w:type="pct"/>
          </w:tcPr>
          <w:p w14:paraId="422025EB" w14:textId="6350D369" w:rsidR="001F3D36" w:rsidRDefault="001F3D36" w:rsidP="001F3D36">
            <w:pPr>
              <w:spacing w:after="0"/>
              <w:ind w:right="-142"/>
              <w:rPr>
                <w:rFonts w:cs="Arial"/>
                <w:szCs w:val="20"/>
              </w:rPr>
            </w:pPr>
            <w:r>
              <w:rPr>
                <w:rFonts w:cs="Arial"/>
                <w:szCs w:val="20"/>
              </w:rPr>
              <w:t>Update of actual costs</w:t>
            </w:r>
          </w:p>
        </w:tc>
        <w:tc>
          <w:tcPr>
            <w:tcW w:w="1440" w:type="pct"/>
          </w:tcPr>
          <w:p w14:paraId="665B7219" w14:textId="2ECB3BC9" w:rsidR="001F3D36" w:rsidRDefault="001F3D36" w:rsidP="001F3D36">
            <w:pPr>
              <w:spacing w:after="0"/>
              <w:rPr>
                <w:rFonts w:cs="Arial"/>
                <w:szCs w:val="20"/>
                <w:highlight w:val="yellow"/>
              </w:rPr>
            </w:pPr>
            <w:r w:rsidRPr="0039435F">
              <w:rPr>
                <w:rFonts w:cs="Arial"/>
                <w:szCs w:val="20"/>
              </w:rPr>
              <w:t>May 201</w:t>
            </w:r>
            <w:r>
              <w:rPr>
                <w:rFonts w:cs="Arial"/>
                <w:szCs w:val="20"/>
              </w:rPr>
              <w:t>9</w:t>
            </w:r>
          </w:p>
        </w:tc>
      </w:tr>
    </w:tbl>
    <w:p w14:paraId="45A2D299" w14:textId="15B86176" w:rsidR="00E2517F" w:rsidRDefault="00E2517F" w:rsidP="00E2517F">
      <w:pPr>
        <w:pStyle w:val="Heading1"/>
        <w:spacing w:after="120"/>
        <w:ind w:right="-142"/>
      </w:pPr>
      <w:bookmarkStart w:id="207" w:name="_Toc483221510"/>
      <w:bookmarkStart w:id="208" w:name="_Toc532543442"/>
      <w:bookmarkStart w:id="209" w:name="_Toc511294500"/>
      <w:r w:rsidRPr="00F31CCF">
        <w:t xml:space="preserve">Attachment </w:t>
      </w:r>
      <w:bookmarkEnd w:id="207"/>
      <w:r w:rsidR="00E0161E">
        <w:t>C</w:t>
      </w:r>
      <w:bookmarkEnd w:id="208"/>
    </w:p>
    <w:p w14:paraId="127600F1" w14:textId="5FC00691" w:rsidR="00E2517F" w:rsidRPr="00E2517F" w:rsidRDefault="00E2517F" w:rsidP="00E2517F">
      <w:pPr>
        <w:pStyle w:val="Heading2"/>
        <w:spacing w:before="120" w:after="0"/>
        <w:rPr>
          <w:b w:val="0"/>
          <w:color w:val="262626" w:themeColor="text1" w:themeTint="D9"/>
          <w:sz w:val="53"/>
          <w:szCs w:val="53"/>
        </w:rPr>
      </w:pPr>
      <w:bookmarkStart w:id="210" w:name="_Toc417990971"/>
      <w:bookmarkStart w:id="211" w:name="_Toc424115079"/>
      <w:bookmarkStart w:id="212" w:name="_Toc483221511"/>
      <w:bookmarkStart w:id="213" w:name="_Toc532543443"/>
      <w:r w:rsidRPr="00E2517F">
        <w:rPr>
          <w:b w:val="0"/>
          <w:color w:val="262626" w:themeColor="text1" w:themeTint="D9"/>
          <w:sz w:val="53"/>
          <w:szCs w:val="53"/>
        </w:rPr>
        <w:t>A</w:t>
      </w:r>
      <w:r w:rsidR="00E0161E">
        <w:rPr>
          <w:b w:val="0"/>
          <w:color w:val="262626" w:themeColor="text1" w:themeTint="D9"/>
          <w:sz w:val="53"/>
          <w:szCs w:val="53"/>
        </w:rPr>
        <w:t>CLC for 2017</w:t>
      </w:r>
      <w:r w:rsidR="006123EF">
        <w:rPr>
          <w:b w:val="0"/>
          <w:color w:val="262626" w:themeColor="text1" w:themeTint="D9"/>
          <w:sz w:val="53"/>
          <w:szCs w:val="53"/>
        </w:rPr>
        <w:t>–</w:t>
      </w:r>
      <w:r w:rsidRPr="00E2517F">
        <w:rPr>
          <w:b w:val="0"/>
          <w:color w:val="262626" w:themeColor="text1" w:themeTint="D9"/>
          <w:sz w:val="53"/>
          <w:szCs w:val="53"/>
        </w:rPr>
        <w:t>1</w:t>
      </w:r>
      <w:bookmarkEnd w:id="210"/>
      <w:bookmarkEnd w:id="211"/>
      <w:bookmarkEnd w:id="212"/>
      <w:r w:rsidR="00E0161E">
        <w:rPr>
          <w:b w:val="0"/>
          <w:color w:val="262626" w:themeColor="text1" w:themeTint="D9"/>
          <w:sz w:val="53"/>
          <w:szCs w:val="53"/>
        </w:rPr>
        <w:t>8</w:t>
      </w:r>
      <w:bookmarkEnd w:id="213"/>
    </w:p>
    <w:tbl>
      <w:tblPr>
        <w:tblW w:w="9062" w:type="dxa"/>
        <w:tblLook w:val="04A0" w:firstRow="1" w:lastRow="0" w:firstColumn="1" w:lastColumn="0" w:noHBand="0" w:noVBand="1"/>
      </w:tblPr>
      <w:tblGrid>
        <w:gridCol w:w="960"/>
        <w:gridCol w:w="4133"/>
        <w:gridCol w:w="1985"/>
        <w:gridCol w:w="1984"/>
      </w:tblGrid>
      <w:tr w:rsidR="00E2517F" w:rsidRPr="00F31CCF" w14:paraId="27DE2CDB" w14:textId="77777777" w:rsidTr="00DC78B0">
        <w:trPr>
          <w:trHeight w:val="1155"/>
        </w:trPr>
        <w:tc>
          <w:tcPr>
            <w:tcW w:w="960" w:type="dxa"/>
            <w:tcBorders>
              <w:top w:val="single" w:sz="8" w:space="0" w:color="auto"/>
              <w:left w:val="single" w:sz="8" w:space="0" w:color="auto"/>
              <w:bottom w:val="single" w:sz="8" w:space="0" w:color="auto"/>
              <w:right w:val="single" w:sz="4" w:space="0" w:color="auto"/>
            </w:tcBorders>
            <w:shd w:val="clear" w:color="000000" w:fill="262626"/>
            <w:noWrap/>
            <w:vAlign w:val="center"/>
            <w:hideMark/>
          </w:tcPr>
          <w:p w14:paraId="540EE15C" w14:textId="77777777" w:rsidR="00E2517F" w:rsidRPr="0053216E" w:rsidRDefault="00E2517F" w:rsidP="0053216E">
            <w:pPr>
              <w:pStyle w:val="TableHeading"/>
              <w:rPr>
                <w:b w:val="0"/>
              </w:rPr>
            </w:pPr>
            <w:r w:rsidRPr="0053216E">
              <w:t>Item</w:t>
            </w:r>
          </w:p>
        </w:tc>
        <w:tc>
          <w:tcPr>
            <w:tcW w:w="4133" w:type="dxa"/>
            <w:tcBorders>
              <w:top w:val="single" w:sz="8" w:space="0" w:color="auto"/>
              <w:left w:val="nil"/>
              <w:bottom w:val="single" w:sz="8" w:space="0" w:color="auto"/>
              <w:right w:val="single" w:sz="4" w:space="0" w:color="auto"/>
            </w:tcBorders>
            <w:shd w:val="clear" w:color="000000" w:fill="262626"/>
            <w:vAlign w:val="center"/>
            <w:hideMark/>
          </w:tcPr>
          <w:p w14:paraId="59E86F05" w14:textId="77777777" w:rsidR="00E2517F" w:rsidRPr="006123EF" w:rsidRDefault="00E2517F" w:rsidP="0053216E">
            <w:pPr>
              <w:pStyle w:val="TableHeading"/>
            </w:pPr>
            <w:r w:rsidRPr="006123EF">
              <w:t>Participating Person Name</w:t>
            </w:r>
          </w:p>
        </w:tc>
        <w:tc>
          <w:tcPr>
            <w:tcW w:w="1985" w:type="dxa"/>
            <w:tcBorders>
              <w:top w:val="single" w:sz="8" w:space="0" w:color="auto"/>
              <w:left w:val="nil"/>
              <w:bottom w:val="single" w:sz="8" w:space="0" w:color="auto"/>
              <w:right w:val="single" w:sz="4" w:space="0" w:color="auto"/>
            </w:tcBorders>
            <w:shd w:val="clear" w:color="000000" w:fill="262626"/>
            <w:vAlign w:val="center"/>
            <w:hideMark/>
          </w:tcPr>
          <w:p w14:paraId="44F80289" w14:textId="6401906B" w:rsidR="00E2517F" w:rsidRPr="006123EF" w:rsidRDefault="00E2517F" w:rsidP="0053216E">
            <w:pPr>
              <w:pStyle w:val="TableHeading"/>
              <w:jc w:val="right"/>
            </w:pPr>
            <w:r w:rsidRPr="006123EF">
              <w:t xml:space="preserve">Carriers' Contribution Factor </w:t>
            </w:r>
          </w:p>
        </w:tc>
        <w:tc>
          <w:tcPr>
            <w:tcW w:w="1984" w:type="dxa"/>
            <w:tcBorders>
              <w:top w:val="single" w:sz="8" w:space="0" w:color="auto"/>
              <w:left w:val="nil"/>
              <w:bottom w:val="single" w:sz="8" w:space="0" w:color="auto"/>
              <w:right w:val="single" w:sz="8" w:space="0" w:color="auto"/>
            </w:tcBorders>
            <w:shd w:val="clear" w:color="000000" w:fill="262626"/>
            <w:vAlign w:val="center"/>
            <w:hideMark/>
          </w:tcPr>
          <w:p w14:paraId="798614F0" w14:textId="2B0E466B" w:rsidR="00E2517F" w:rsidRPr="006123EF" w:rsidRDefault="00E0161E" w:rsidP="0053216E">
            <w:pPr>
              <w:pStyle w:val="TableHeading"/>
              <w:jc w:val="right"/>
            </w:pPr>
            <w:r w:rsidRPr="006123EF">
              <w:t xml:space="preserve"> ACLC 2017</w:t>
            </w:r>
            <w:r w:rsidR="006123EF">
              <w:t>–</w:t>
            </w:r>
            <w:r w:rsidRPr="006123EF">
              <w:t xml:space="preserve">18 </w:t>
            </w:r>
          </w:p>
        </w:tc>
      </w:tr>
      <w:tr w:rsidR="003A1551" w:rsidRPr="00F31CCF" w14:paraId="64D0841A" w14:textId="77777777" w:rsidTr="00FC4391">
        <w:trPr>
          <w:trHeight w:val="300"/>
        </w:trPr>
        <w:tc>
          <w:tcPr>
            <w:tcW w:w="960" w:type="dxa"/>
            <w:tcBorders>
              <w:top w:val="single" w:sz="8" w:space="0" w:color="auto"/>
              <w:left w:val="single" w:sz="8" w:space="0" w:color="auto"/>
              <w:bottom w:val="single" w:sz="4" w:space="0" w:color="auto"/>
              <w:right w:val="single" w:sz="4" w:space="0" w:color="auto"/>
            </w:tcBorders>
            <w:shd w:val="clear" w:color="auto" w:fill="auto"/>
            <w:noWrap/>
            <w:vAlign w:val="center"/>
          </w:tcPr>
          <w:p w14:paraId="116B962B" w14:textId="0381D057" w:rsidR="003A1551" w:rsidRPr="006123EF" w:rsidRDefault="003A1551" w:rsidP="0053216E">
            <w:pPr>
              <w:pStyle w:val="TableBody"/>
            </w:pPr>
            <w:r w:rsidRPr="006123EF">
              <w:t>1</w:t>
            </w:r>
          </w:p>
        </w:tc>
        <w:tc>
          <w:tcPr>
            <w:tcW w:w="4133" w:type="dxa"/>
            <w:tcBorders>
              <w:top w:val="single" w:sz="8" w:space="0" w:color="auto"/>
              <w:left w:val="nil"/>
              <w:bottom w:val="single" w:sz="4" w:space="0" w:color="auto"/>
              <w:right w:val="single" w:sz="4" w:space="0" w:color="auto"/>
            </w:tcBorders>
            <w:shd w:val="clear" w:color="auto" w:fill="auto"/>
            <w:vAlign w:val="center"/>
          </w:tcPr>
          <w:p w14:paraId="676CA378" w14:textId="26225C12" w:rsidR="003A1551" w:rsidRPr="006123EF" w:rsidRDefault="003A1551" w:rsidP="0053216E">
            <w:pPr>
              <w:pStyle w:val="TableBody"/>
            </w:pPr>
            <w:proofErr w:type="spellStart"/>
            <w:r w:rsidRPr="006123EF">
              <w:t>AARNet</w:t>
            </w:r>
            <w:proofErr w:type="spellEnd"/>
            <w:r w:rsidRPr="006123EF">
              <w:t xml:space="preserve"> Pty Ltd</w:t>
            </w:r>
          </w:p>
        </w:tc>
        <w:tc>
          <w:tcPr>
            <w:tcW w:w="1985" w:type="dxa"/>
            <w:tcBorders>
              <w:top w:val="single" w:sz="8" w:space="0" w:color="auto"/>
              <w:left w:val="nil"/>
              <w:bottom w:val="single" w:sz="4" w:space="0" w:color="auto"/>
              <w:right w:val="single" w:sz="4" w:space="0" w:color="auto"/>
            </w:tcBorders>
            <w:shd w:val="clear" w:color="auto" w:fill="auto"/>
            <w:noWrap/>
            <w:vAlign w:val="center"/>
          </w:tcPr>
          <w:p w14:paraId="4DC8271B" w14:textId="439FA392" w:rsidR="003A1551" w:rsidRPr="001A63F3" w:rsidRDefault="003A1551" w:rsidP="0053216E">
            <w:pPr>
              <w:pStyle w:val="TableBody"/>
              <w:jc w:val="right"/>
              <w:rPr>
                <w:rFonts w:asciiTheme="minorHAnsi" w:hAnsiTheme="minorHAnsi"/>
              </w:rPr>
            </w:pPr>
            <w:r w:rsidRPr="00BE1A47">
              <w:t>0.1923101022%</w:t>
            </w:r>
          </w:p>
        </w:tc>
        <w:tc>
          <w:tcPr>
            <w:tcW w:w="1984" w:type="dxa"/>
            <w:tcBorders>
              <w:top w:val="single" w:sz="8" w:space="0" w:color="auto"/>
              <w:left w:val="nil"/>
              <w:bottom w:val="single" w:sz="4" w:space="0" w:color="auto"/>
              <w:right w:val="single" w:sz="8" w:space="0" w:color="auto"/>
            </w:tcBorders>
            <w:shd w:val="clear" w:color="auto" w:fill="auto"/>
            <w:noWrap/>
            <w:vAlign w:val="center"/>
          </w:tcPr>
          <w:p w14:paraId="129121F6" w14:textId="4DB0BD4D" w:rsidR="003A1551" w:rsidRPr="00B557CB" w:rsidRDefault="003A1551" w:rsidP="0053216E">
            <w:pPr>
              <w:pStyle w:val="TableBody"/>
              <w:jc w:val="right"/>
              <w:rPr>
                <w:rFonts w:asciiTheme="minorHAnsi" w:hAnsiTheme="minorHAnsi"/>
              </w:rPr>
            </w:pPr>
            <w:r w:rsidRPr="00B557CB">
              <w:t>$60,919</w:t>
            </w:r>
          </w:p>
        </w:tc>
      </w:tr>
      <w:tr w:rsidR="003A1551" w:rsidRPr="00F31CCF" w14:paraId="577C0323" w14:textId="77777777" w:rsidTr="00FC4391">
        <w:trPr>
          <w:trHeight w:val="300"/>
        </w:trPr>
        <w:tc>
          <w:tcPr>
            <w:tcW w:w="960" w:type="dxa"/>
            <w:tcBorders>
              <w:top w:val="nil"/>
              <w:left w:val="single" w:sz="8" w:space="0" w:color="auto"/>
              <w:bottom w:val="single" w:sz="4" w:space="0" w:color="auto"/>
              <w:right w:val="single" w:sz="4" w:space="0" w:color="auto"/>
            </w:tcBorders>
            <w:shd w:val="clear" w:color="auto" w:fill="auto"/>
            <w:noWrap/>
            <w:vAlign w:val="center"/>
          </w:tcPr>
          <w:p w14:paraId="2E68B9F4" w14:textId="78FECD8F" w:rsidR="003A1551" w:rsidRPr="006123EF" w:rsidRDefault="003A1551" w:rsidP="0053216E">
            <w:pPr>
              <w:pStyle w:val="TableBody"/>
            </w:pPr>
            <w:r w:rsidRPr="006123EF">
              <w:t>2</w:t>
            </w:r>
          </w:p>
        </w:tc>
        <w:tc>
          <w:tcPr>
            <w:tcW w:w="4133" w:type="dxa"/>
            <w:tcBorders>
              <w:top w:val="nil"/>
              <w:left w:val="nil"/>
              <w:bottom w:val="single" w:sz="4" w:space="0" w:color="auto"/>
              <w:right w:val="single" w:sz="4" w:space="0" w:color="auto"/>
            </w:tcBorders>
            <w:shd w:val="clear" w:color="auto" w:fill="auto"/>
            <w:vAlign w:val="center"/>
          </w:tcPr>
          <w:p w14:paraId="02B29DAF" w14:textId="6220F1A4" w:rsidR="003A1551" w:rsidRPr="006123EF" w:rsidRDefault="003A1551" w:rsidP="0053216E">
            <w:pPr>
              <w:pStyle w:val="TableBody"/>
            </w:pPr>
            <w:r w:rsidRPr="006123EF">
              <w:t>Allegro Networks Pty Ltd</w:t>
            </w:r>
          </w:p>
        </w:tc>
        <w:tc>
          <w:tcPr>
            <w:tcW w:w="1985" w:type="dxa"/>
            <w:tcBorders>
              <w:top w:val="nil"/>
              <w:left w:val="nil"/>
              <w:bottom w:val="single" w:sz="4" w:space="0" w:color="auto"/>
              <w:right w:val="single" w:sz="4" w:space="0" w:color="auto"/>
            </w:tcBorders>
            <w:shd w:val="clear" w:color="auto" w:fill="auto"/>
            <w:noWrap/>
            <w:vAlign w:val="center"/>
          </w:tcPr>
          <w:p w14:paraId="19580676" w14:textId="2DD9E4A3" w:rsidR="003A1551" w:rsidRPr="001A63F3" w:rsidRDefault="003A1551" w:rsidP="0053216E">
            <w:pPr>
              <w:pStyle w:val="TableBody"/>
              <w:jc w:val="right"/>
              <w:rPr>
                <w:rFonts w:asciiTheme="minorHAnsi" w:hAnsiTheme="minorHAnsi"/>
              </w:rPr>
            </w:pPr>
            <w:r w:rsidRPr="00BE1A47">
              <w:t>0.0142529560%</w:t>
            </w:r>
          </w:p>
        </w:tc>
        <w:tc>
          <w:tcPr>
            <w:tcW w:w="1984" w:type="dxa"/>
            <w:tcBorders>
              <w:top w:val="nil"/>
              <w:left w:val="nil"/>
              <w:bottom w:val="single" w:sz="4" w:space="0" w:color="auto"/>
              <w:right w:val="single" w:sz="8" w:space="0" w:color="auto"/>
            </w:tcBorders>
            <w:shd w:val="clear" w:color="auto" w:fill="auto"/>
            <w:noWrap/>
            <w:vAlign w:val="center"/>
          </w:tcPr>
          <w:p w14:paraId="60FCA613" w14:textId="10C510B4" w:rsidR="003A1551" w:rsidRPr="00B557CB" w:rsidRDefault="003A1551" w:rsidP="0053216E">
            <w:pPr>
              <w:pStyle w:val="TableBody"/>
              <w:jc w:val="right"/>
              <w:rPr>
                <w:rFonts w:asciiTheme="minorHAnsi" w:hAnsiTheme="minorHAnsi"/>
              </w:rPr>
            </w:pPr>
            <w:r w:rsidRPr="00B557CB">
              <w:t>$4,515</w:t>
            </w:r>
          </w:p>
        </w:tc>
      </w:tr>
      <w:tr w:rsidR="003A1551" w:rsidRPr="00F31CCF" w14:paraId="37A089E9" w14:textId="77777777" w:rsidTr="00FC4391">
        <w:trPr>
          <w:trHeight w:val="300"/>
        </w:trPr>
        <w:tc>
          <w:tcPr>
            <w:tcW w:w="960" w:type="dxa"/>
            <w:tcBorders>
              <w:top w:val="nil"/>
              <w:left w:val="single" w:sz="8" w:space="0" w:color="auto"/>
              <w:bottom w:val="single" w:sz="4" w:space="0" w:color="auto"/>
              <w:right w:val="single" w:sz="4" w:space="0" w:color="auto"/>
            </w:tcBorders>
            <w:shd w:val="clear" w:color="auto" w:fill="auto"/>
            <w:noWrap/>
            <w:vAlign w:val="center"/>
          </w:tcPr>
          <w:p w14:paraId="4B91468E" w14:textId="0A8F7DA5" w:rsidR="003A1551" w:rsidRPr="006123EF" w:rsidRDefault="003A1551" w:rsidP="0053216E">
            <w:pPr>
              <w:pStyle w:val="TableBody"/>
            </w:pPr>
            <w:r w:rsidRPr="006123EF">
              <w:t>3</w:t>
            </w:r>
          </w:p>
        </w:tc>
        <w:tc>
          <w:tcPr>
            <w:tcW w:w="4133" w:type="dxa"/>
            <w:tcBorders>
              <w:top w:val="nil"/>
              <w:left w:val="nil"/>
              <w:bottom w:val="single" w:sz="4" w:space="0" w:color="auto"/>
              <w:right w:val="single" w:sz="4" w:space="0" w:color="auto"/>
            </w:tcBorders>
            <w:shd w:val="clear" w:color="auto" w:fill="auto"/>
            <w:vAlign w:val="center"/>
          </w:tcPr>
          <w:p w14:paraId="1F4CA48F" w14:textId="3DD3CE66" w:rsidR="003A1551" w:rsidRPr="006123EF" w:rsidRDefault="003A1551" w:rsidP="0053216E">
            <w:pPr>
              <w:pStyle w:val="TableBody"/>
            </w:pPr>
            <w:proofErr w:type="spellStart"/>
            <w:r w:rsidRPr="006123EF">
              <w:t>BigAir</w:t>
            </w:r>
            <w:proofErr w:type="spellEnd"/>
            <w:r w:rsidRPr="006123EF">
              <w:t xml:space="preserve"> Cloud Managed Services Pty Ltd</w:t>
            </w:r>
          </w:p>
        </w:tc>
        <w:tc>
          <w:tcPr>
            <w:tcW w:w="1985" w:type="dxa"/>
            <w:tcBorders>
              <w:top w:val="nil"/>
              <w:left w:val="nil"/>
              <w:bottom w:val="single" w:sz="4" w:space="0" w:color="auto"/>
              <w:right w:val="single" w:sz="4" w:space="0" w:color="auto"/>
            </w:tcBorders>
            <w:shd w:val="clear" w:color="auto" w:fill="auto"/>
            <w:noWrap/>
            <w:vAlign w:val="center"/>
          </w:tcPr>
          <w:p w14:paraId="5A51B5CC" w14:textId="786C46B0" w:rsidR="003A1551" w:rsidRPr="001A63F3" w:rsidRDefault="003A1551" w:rsidP="0053216E">
            <w:pPr>
              <w:pStyle w:val="TableBody"/>
              <w:jc w:val="right"/>
              <w:rPr>
                <w:rFonts w:asciiTheme="minorHAnsi" w:hAnsiTheme="minorHAnsi"/>
              </w:rPr>
            </w:pPr>
            <w:r w:rsidRPr="00BE1A47">
              <w:t>0.0079505927%</w:t>
            </w:r>
          </w:p>
        </w:tc>
        <w:tc>
          <w:tcPr>
            <w:tcW w:w="1984" w:type="dxa"/>
            <w:tcBorders>
              <w:top w:val="nil"/>
              <w:left w:val="nil"/>
              <w:bottom w:val="single" w:sz="4" w:space="0" w:color="auto"/>
              <w:right w:val="single" w:sz="8" w:space="0" w:color="auto"/>
            </w:tcBorders>
            <w:shd w:val="clear" w:color="auto" w:fill="auto"/>
            <w:noWrap/>
            <w:vAlign w:val="center"/>
          </w:tcPr>
          <w:p w14:paraId="0BB847A0" w14:textId="7313A90B" w:rsidR="003A1551" w:rsidRPr="00B557CB" w:rsidRDefault="003A1551" w:rsidP="0053216E">
            <w:pPr>
              <w:pStyle w:val="TableBody"/>
              <w:jc w:val="right"/>
              <w:rPr>
                <w:rFonts w:asciiTheme="minorHAnsi" w:hAnsiTheme="minorHAnsi"/>
              </w:rPr>
            </w:pPr>
            <w:r w:rsidRPr="00B557CB">
              <w:t>$2,519</w:t>
            </w:r>
          </w:p>
        </w:tc>
      </w:tr>
      <w:tr w:rsidR="003A1551" w:rsidRPr="00F31CCF" w14:paraId="1C71F2D6" w14:textId="77777777" w:rsidTr="00FC4391">
        <w:trPr>
          <w:trHeight w:val="300"/>
        </w:trPr>
        <w:tc>
          <w:tcPr>
            <w:tcW w:w="960" w:type="dxa"/>
            <w:tcBorders>
              <w:top w:val="nil"/>
              <w:left w:val="single" w:sz="8" w:space="0" w:color="auto"/>
              <w:bottom w:val="single" w:sz="4" w:space="0" w:color="auto"/>
              <w:right w:val="single" w:sz="4" w:space="0" w:color="auto"/>
            </w:tcBorders>
            <w:shd w:val="clear" w:color="auto" w:fill="auto"/>
            <w:noWrap/>
            <w:vAlign w:val="center"/>
          </w:tcPr>
          <w:p w14:paraId="24D77FBF" w14:textId="681F7DFE" w:rsidR="003A1551" w:rsidRPr="006123EF" w:rsidRDefault="003A1551" w:rsidP="0053216E">
            <w:pPr>
              <w:pStyle w:val="TableBody"/>
            </w:pPr>
            <w:r w:rsidRPr="006123EF">
              <w:t>4</w:t>
            </w:r>
          </w:p>
        </w:tc>
        <w:tc>
          <w:tcPr>
            <w:tcW w:w="4133" w:type="dxa"/>
            <w:tcBorders>
              <w:top w:val="nil"/>
              <w:left w:val="nil"/>
              <w:bottom w:val="single" w:sz="4" w:space="0" w:color="auto"/>
              <w:right w:val="single" w:sz="4" w:space="0" w:color="auto"/>
            </w:tcBorders>
            <w:shd w:val="clear" w:color="auto" w:fill="auto"/>
            <w:vAlign w:val="center"/>
          </w:tcPr>
          <w:p w14:paraId="7A4C7C87" w14:textId="1B31700A" w:rsidR="003A1551" w:rsidRPr="006123EF" w:rsidRDefault="003A1551" w:rsidP="0053216E">
            <w:pPr>
              <w:pStyle w:val="TableBody"/>
            </w:pPr>
            <w:proofErr w:type="spellStart"/>
            <w:r w:rsidRPr="006123EF">
              <w:t>BigAir</w:t>
            </w:r>
            <w:proofErr w:type="spellEnd"/>
            <w:r w:rsidRPr="006123EF">
              <w:t xml:space="preserve"> Group Limited</w:t>
            </w:r>
          </w:p>
        </w:tc>
        <w:tc>
          <w:tcPr>
            <w:tcW w:w="1985" w:type="dxa"/>
            <w:tcBorders>
              <w:top w:val="nil"/>
              <w:left w:val="nil"/>
              <w:bottom w:val="single" w:sz="4" w:space="0" w:color="auto"/>
              <w:right w:val="single" w:sz="4" w:space="0" w:color="auto"/>
            </w:tcBorders>
            <w:shd w:val="clear" w:color="auto" w:fill="auto"/>
            <w:noWrap/>
            <w:vAlign w:val="center"/>
          </w:tcPr>
          <w:p w14:paraId="63524572" w14:textId="05C45EAD" w:rsidR="003A1551" w:rsidRPr="001A63F3" w:rsidRDefault="003A1551" w:rsidP="0053216E">
            <w:pPr>
              <w:pStyle w:val="TableBody"/>
              <w:jc w:val="right"/>
              <w:rPr>
                <w:rFonts w:asciiTheme="minorHAnsi" w:hAnsiTheme="minorHAnsi"/>
              </w:rPr>
            </w:pPr>
            <w:r w:rsidRPr="00BE1A47">
              <w:t>0.0755941637%</w:t>
            </w:r>
          </w:p>
        </w:tc>
        <w:tc>
          <w:tcPr>
            <w:tcW w:w="1984" w:type="dxa"/>
            <w:tcBorders>
              <w:top w:val="nil"/>
              <w:left w:val="nil"/>
              <w:bottom w:val="single" w:sz="4" w:space="0" w:color="auto"/>
              <w:right w:val="single" w:sz="8" w:space="0" w:color="auto"/>
            </w:tcBorders>
            <w:shd w:val="clear" w:color="auto" w:fill="auto"/>
            <w:noWrap/>
            <w:vAlign w:val="center"/>
          </w:tcPr>
          <w:p w14:paraId="663F10BC" w14:textId="0ED29136" w:rsidR="003A1551" w:rsidRPr="00B557CB" w:rsidRDefault="003A1551" w:rsidP="0053216E">
            <w:pPr>
              <w:pStyle w:val="TableBody"/>
              <w:jc w:val="right"/>
              <w:rPr>
                <w:rFonts w:asciiTheme="minorHAnsi" w:hAnsiTheme="minorHAnsi"/>
              </w:rPr>
            </w:pPr>
            <w:r w:rsidRPr="00B557CB">
              <w:t>$23,946</w:t>
            </w:r>
          </w:p>
        </w:tc>
      </w:tr>
      <w:tr w:rsidR="003A1551" w:rsidRPr="00F31CCF" w14:paraId="0BC90094" w14:textId="77777777" w:rsidTr="00FC4391">
        <w:trPr>
          <w:trHeight w:val="300"/>
        </w:trPr>
        <w:tc>
          <w:tcPr>
            <w:tcW w:w="960" w:type="dxa"/>
            <w:tcBorders>
              <w:top w:val="nil"/>
              <w:left w:val="single" w:sz="8" w:space="0" w:color="auto"/>
              <w:bottom w:val="single" w:sz="4" w:space="0" w:color="auto"/>
              <w:right w:val="single" w:sz="4" w:space="0" w:color="auto"/>
            </w:tcBorders>
            <w:shd w:val="clear" w:color="auto" w:fill="auto"/>
            <w:noWrap/>
            <w:vAlign w:val="center"/>
          </w:tcPr>
          <w:p w14:paraId="5A7DBCDB" w14:textId="3D0A716F" w:rsidR="003A1551" w:rsidRPr="006123EF" w:rsidRDefault="003A1551" w:rsidP="0053216E">
            <w:pPr>
              <w:pStyle w:val="TableBody"/>
            </w:pPr>
            <w:r w:rsidRPr="006123EF">
              <w:t>5</w:t>
            </w:r>
          </w:p>
        </w:tc>
        <w:tc>
          <w:tcPr>
            <w:tcW w:w="4133" w:type="dxa"/>
            <w:tcBorders>
              <w:top w:val="nil"/>
              <w:left w:val="nil"/>
              <w:bottom w:val="single" w:sz="4" w:space="0" w:color="auto"/>
              <w:right w:val="single" w:sz="4" w:space="0" w:color="auto"/>
            </w:tcBorders>
            <w:shd w:val="clear" w:color="auto" w:fill="auto"/>
            <w:vAlign w:val="center"/>
          </w:tcPr>
          <w:p w14:paraId="24C2F17B" w14:textId="54AE90F4" w:rsidR="003A1551" w:rsidRPr="006123EF" w:rsidRDefault="003A1551" w:rsidP="0053216E">
            <w:pPr>
              <w:pStyle w:val="TableBody"/>
            </w:pPr>
            <w:r w:rsidRPr="006123EF">
              <w:t>Caprock Communications (Australia) Pty Ltd</w:t>
            </w:r>
          </w:p>
        </w:tc>
        <w:tc>
          <w:tcPr>
            <w:tcW w:w="1985" w:type="dxa"/>
            <w:tcBorders>
              <w:top w:val="nil"/>
              <w:left w:val="nil"/>
              <w:bottom w:val="single" w:sz="4" w:space="0" w:color="auto"/>
              <w:right w:val="single" w:sz="4" w:space="0" w:color="auto"/>
            </w:tcBorders>
            <w:shd w:val="clear" w:color="auto" w:fill="auto"/>
            <w:noWrap/>
            <w:vAlign w:val="center"/>
          </w:tcPr>
          <w:p w14:paraId="65B6BFF1" w14:textId="566F7015" w:rsidR="003A1551" w:rsidRPr="001A63F3" w:rsidRDefault="003A1551" w:rsidP="0053216E">
            <w:pPr>
              <w:pStyle w:val="TableBody"/>
              <w:jc w:val="right"/>
              <w:rPr>
                <w:rFonts w:asciiTheme="minorHAnsi" w:hAnsiTheme="minorHAnsi"/>
              </w:rPr>
            </w:pPr>
            <w:r w:rsidRPr="00BE1A47">
              <w:t>0.0116323007%</w:t>
            </w:r>
          </w:p>
        </w:tc>
        <w:tc>
          <w:tcPr>
            <w:tcW w:w="1984" w:type="dxa"/>
            <w:tcBorders>
              <w:top w:val="nil"/>
              <w:left w:val="nil"/>
              <w:bottom w:val="single" w:sz="4" w:space="0" w:color="auto"/>
              <w:right w:val="single" w:sz="8" w:space="0" w:color="auto"/>
            </w:tcBorders>
            <w:shd w:val="clear" w:color="auto" w:fill="auto"/>
            <w:noWrap/>
            <w:vAlign w:val="center"/>
          </w:tcPr>
          <w:p w14:paraId="2EEE6C99" w14:textId="514609B0" w:rsidR="003A1551" w:rsidRPr="00B557CB" w:rsidRDefault="003A1551" w:rsidP="0053216E">
            <w:pPr>
              <w:pStyle w:val="TableBody"/>
              <w:jc w:val="right"/>
              <w:rPr>
                <w:rFonts w:asciiTheme="minorHAnsi" w:hAnsiTheme="minorHAnsi"/>
              </w:rPr>
            </w:pPr>
            <w:r w:rsidRPr="00B557CB">
              <w:t>$3,685</w:t>
            </w:r>
          </w:p>
        </w:tc>
      </w:tr>
      <w:tr w:rsidR="003A1551" w:rsidRPr="00F31CCF" w14:paraId="6531818B" w14:textId="77777777" w:rsidTr="00FC4391">
        <w:trPr>
          <w:trHeight w:val="300"/>
        </w:trPr>
        <w:tc>
          <w:tcPr>
            <w:tcW w:w="960" w:type="dxa"/>
            <w:tcBorders>
              <w:top w:val="nil"/>
              <w:left w:val="single" w:sz="8" w:space="0" w:color="auto"/>
              <w:bottom w:val="single" w:sz="4" w:space="0" w:color="auto"/>
              <w:right w:val="single" w:sz="4" w:space="0" w:color="auto"/>
            </w:tcBorders>
            <w:shd w:val="clear" w:color="auto" w:fill="auto"/>
            <w:noWrap/>
            <w:vAlign w:val="center"/>
          </w:tcPr>
          <w:p w14:paraId="3927DCD2" w14:textId="355D4E82" w:rsidR="003A1551" w:rsidRPr="006123EF" w:rsidRDefault="003A1551" w:rsidP="0053216E">
            <w:pPr>
              <w:pStyle w:val="TableBody"/>
            </w:pPr>
            <w:r w:rsidRPr="006123EF">
              <w:t>6</w:t>
            </w:r>
          </w:p>
        </w:tc>
        <w:tc>
          <w:tcPr>
            <w:tcW w:w="4133" w:type="dxa"/>
            <w:tcBorders>
              <w:top w:val="nil"/>
              <w:left w:val="nil"/>
              <w:bottom w:val="single" w:sz="4" w:space="0" w:color="auto"/>
              <w:right w:val="single" w:sz="4" w:space="0" w:color="auto"/>
            </w:tcBorders>
            <w:shd w:val="clear" w:color="auto" w:fill="auto"/>
            <w:vAlign w:val="center"/>
          </w:tcPr>
          <w:p w14:paraId="494F40D3" w14:textId="5799AE5C" w:rsidR="003A1551" w:rsidRPr="006123EF" w:rsidRDefault="003A1551" w:rsidP="0053216E">
            <w:pPr>
              <w:pStyle w:val="TableBody"/>
            </w:pPr>
            <w:r w:rsidRPr="006123EF">
              <w:t>Chime Communications Pty Ltd</w:t>
            </w:r>
          </w:p>
        </w:tc>
        <w:tc>
          <w:tcPr>
            <w:tcW w:w="1985" w:type="dxa"/>
            <w:tcBorders>
              <w:top w:val="nil"/>
              <w:left w:val="nil"/>
              <w:bottom w:val="single" w:sz="4" w:space="0" w:color="auto"/>
              <w:right w:val="single" w:sz="4" w:space="0" w:color="auto"/>
            </w:tcBorders>
            <w:shd w:val="clear" w:color="auto" w:fill="auto"/>
            <w:noWrap/>
            <w:vAlign w:val="center"/>
          </w:tcPr>
          <w:p w14:paraId="0076C502" w14:textId="042252D2" w:rsidR="003A1551" w:rsidRPr="001A63F3" w:rsidRDefault="003A1551" w:rsidP="0053216E">
            <w:pPr>
              <w:pStyle w:val="TableBody"/>
              <w:jc w:val="right"/>
              <w:rPr>
                <w:rFonts w:asciiTheme="minorHAnsi" w:hAnsiTheme="minorHAnsi"/>
              </w:rPr>
            </w:pPr>
            <w:r w:rsidRPr="00BE1A47">
              <w:t>1.7563832923%</w:t>
            </w:r>
          </w:p>
        </w:tc>
        <w:tc>
          <w:tcPr>
            <w:tcW w:w="1984" w:type="dxa"/>
            <w:tcBorders>
              <w:top w:val="nil"/>
              <w:left w:val="nil"/>
              <w:bottom w:val="single" w:sz="4" w:space="0" w:color="auto"/>
              <w:right w:val="single" w:sz="8" w:space="0" w:color="auto"/>
            </w:tcBorders>
            <w:shd w:val="clear" w:color="auto" w:fill="auto"/>
            <w:noWrap/>
            <w:vAlign w:val="center"/>
          </w:tcPr>
          <w:p w14:paraId="677095D9" w14:textId="09372ACD" w:rsidR="003A1551" w:rsidRPr="00B557CB" w:rsidRDefault="003A1551" w:rsidP="0053216E">
            <w:pPr>
              <w:pStyle w:val="TableBody"/>
              <w:jc w:val="right"/>
              <w:rPr>
                <w:rFonts w:asciiTheme="minorHAnsi" w:hAnsiTheme="minorHAnsi"/>
              </w:rPr>
            </w:pPr>
            <w:r w:rsidRPr="00B557CB">
              <w:t>$556,382</w:t>
            </w:r>
          </w:p>
        </w:tc>
      </w:tr>
      <w:tr w:rsidR="003A1551" w:rsidRPr="00F31CCF" w14:paraId="60F6B75B" w14:textId="77777777" w:rsidTr="00FC4391">
        <w:trPr>
          <w:trHeight w:val="300"/>
        </w:trPr>
        <w:tc>
          <w:tcPr>
            <w:tcW w:w="960" w:type="dxa"/>
            <w:tcBorders>
              <w:top w:val="nil"/>
              <w:left w:val="single" w:sz="8" w:space="0" w:color="auto"/>
              <w:bottom w:val="single" w:sz="4" w:space="0" w:color="auto"/>
              <w:right w:val="single" w:sz="4" w:space="0" w:color="auto"/>
            </w:tcBorders>
            <w:shd w:val="clear" w:color="auto" w:fill="auto"/>
            <w:noWrap/>
            <w:vAlign w:val="center"/>
          </w:tcPr>
          <w:p w14:paraId="3743A363" w14:textId="75F3A3DA" w:rsidR="003A1551" w:rsidRPr="006123EF" w:rsidRDefault="003A1551" w:rsidP="0053216E">
            <w:pPr>
              <w:pStyle w:val="TableBody"/>
            </w:pPr>
            <w:r w:rsidRPr="006123EF">
              <w:t>7</w:t>
            </w:r>
          </w:p>
        </w:tc>
        <w:tc>
          <w:tcPr>
            <w:tcW w:w="4133" w:type="dxa"/>
            <w:tcBorders>
              <w:top w:val="nil"/>
              <w:left w:val="nil"/>
              <w:bottom w:val="single" w:sz="4" w:space="0" w:color="auto"/>
              <w:right w:val="single" w:sz="4" w:space="0" w:color="auto"/>
            </w:tcBorders>
            <w:shd w:val="clear" w:color="auto" w:fill="auto"/>
            <w:vAlign w:val="center"/>
          </w:tcPr>
          <w:p w14:paraId="38DFEA67" w14:textId="1EE1D2D1" w:rsidR="003A1551" w:rsidRPr="006123EF" w:rsidRDefault="003A1551" w:rsidP="0053216E">
            <w:pPr>
              <w:pStyle w:val="TableBody"/>
            </w:pPr>
            <w:r w:rsidRPr="006123EF">
              <w:t>Integrated Data Labs Pty Ltd</w:t>
            </w:r>
          </w:p>
        </w:tc>
        <w:tc>
          <w:tcPr>
            <w:tcW w:w="1985" w:type="dxa"/>
            <w:tcBorders>
              <w:top w:val="nil"/>
              <w:left w:val="nil"/>
              <w:bottom w:val="single" w:sz="4" w:space="0" w:color="auto"/>
              <w:right w:val="single" w:sz="4" w:space="0" w:color="auto"/>
            </w:tcBorders>
            <w:shd w:val="clear" w:color="auto" w:fill="auto"/>
            <w:noWrap/>
            <w:vAlign w:val="center"/>
          </w:tcPr>
          <w:p w14:paraId="0130384E" w14:textId="4B05FE08" w:rsidR="003A1551" w:rsidRPr="001A63F3" w:rsidRDefault="003A1551" w:rsidP="0053216E">
            <w:pPr>
              <w:pStyle w:val="TableBody"/>
              <w:jc w:val="right"/>
              <w:rPr>
                <w:rFonts w:asciiTheme="minorHAnsi" w:hAnsiTheme="minorHAnsi"/>
              </w:rPr>
            </w:pPr>
            <w:r w:rsidRPr="00BE1A47">
              <w:t>0.0044164027%</w:t>
            </w:r>
          </w:p>
        </w:tc>
        <w:tc>
          <w:tcPr>
            <w:tcW w:w="1984" w:type="dxa"/>
            <w:tcBorders>
              <w:top w:val="nil"/>
              <w:left w:val="nil"/>
              <w:bottom w:val="single" w:sz="4" w:space="0" w:color="auto"/>
              <w:right w:val="single" w:sz="8" w:space="0" w:color="auto"/>
            </w:tcBorders>
            <w:shd w:val="clear" w:color="auto" w:fill="auto"/>
            <w:noWrap/>
            <w:vAlign w:val="center"/>
          </w:tcPr>
          <w:p w14:paraId="31ECB55E" w14:textId="38BDAE5B" w:rsidR="003A1551" w:rsidRPr="00B557CB" w:rsidRDefault="003A1551" w:rsidP="0053216E">
            <w:pPr>
              <w:pStyle w:val="TableBody"/>
              <w:jc w:val="right"/>
              <w:rPr>
                <w:rFonts w:asciiTheme="minorHAnsi" w:hAnsiTheme="minorHAnsi"/>
              </w:rPr>
            </w:pPr>
            <w:r w:rsidRPr="00B557CB">
              <w:t>$1,399</w:t>
            </w:r>
          </w:p>
        </w:tc>
      </w:tr>
      <w:tr w:rsidR="003A1551" w:rsidRPr="00F31CCF" w14:paraId="7645F14C" w14:textId="77777777" w:rsidTr="00FC4391">
        <w:trPr>
          <w:trHeight w:val="300"/>
        </w:trPr>
        <w:tc>
          <w:tcPr>
            <w:tcW w:w="960" w:type="dxa"/>
            <w:tcBorders>
              <w:top w:val="nil"/>
              <w:left w:val="single" w:sz="8" w:space="0" w:color="auto"/>
              <w:bottom w:val="single" w:sz="4" w:space="0" w:color="auto"/>
              <w:right w:val="single" w:sz="4" w:space="0" w:color="auto"/>
            </w:tcBorders>
            <w:shd w:val="clear" w:color="auto" w:fill="auto"/>
            <w:noWrap/>
            <w:vAlign w:val="center"/>
          </w:tcPr>
          <w:p w14:paraId="73E50C17" w14:textId="0BCD9750" w:rsidR="003A1551" w:rsidRPr="006123EF" w:rsidRDefault="003A1551" w:rsidP="0053216E">
            <w:pPr>
              <w:pStyle w:val="TableBody"/>
            </w:pPr>
            <w:r w:rsidRPr="006123EF">
              <w:t>8</w:t>
            </w:r>
          </w:p>
        </w:tc>
        <w:tc>
          <w:tcPr>
            <w:tcW w:w="4133" w:type="dxa"/>
            <w:tcBorders>
              <w:top w:val="nil"/>
              <w:left w:val="nil"/>
              <w:bottom w:val="single" w:sz="4" w:space="0" w:color="auto"/>
              <w:right w:val="single" w:sz="4" w:space="0" w:color="auto"/>
            </w:tcBorders>
            <w:shd w:val="clear" w:color="auto" w:fill="auto"/>
            <w:vAlign w:val="center"/>
          </w:tcPr>
          <w:p w14:paraId="350DB169" w14:textId="6932816C" w:rsidR="003A1551" w:rsidRPr="006123EF" w:rsidRDefault="003A1551" w:rsidP="0053216E">
            <w:pPr>
              <w:pStyle w:val="TableBody"/>
            </w:pPr>
            <w:r w:rsidRPr="006123EF">
              <w:t>Intelligent IP Communications Pty Ltd</w:t>
            </w:r>
          </w:p>
        </w:tc>
        <w:tc>
          <w:tcPr>
            <w:tcW w:w="1985" w:type="dxa"/>
            <w:tcBorders>
              <w:top w:val="nil"/>
              <w:left w:val="nil"/>
              <w:bottom w:val="single" w:sz="4" w:space="0" w:color="auto"/>
              <w:right w:val="single" w:sz="4" w:space="0" w:color="auto"/>
            </w:tcBorders>
            <w:shd w:val="clear" w:color="auto" w:fill="auto"/>
            <w:noWrap/>
            <w:vAlign w:val="center"/>
          </w:tcPr>
          <w:p w14:paraId="695BE814" w14:textId="5BC4B55E" w:rsidR="003A1551" w:rsidRPr="001A63F3" w:rsidRDefault="003A1551" w:rsidP="0053216E">
            <w:pPr>
              <w:pStyle w:val="TableBody"/>
              <w:jc w:val="right"/>
              <w:rPr>
                <w:rFonts w:asciiTheme="minorHAnsi" w:hAnsiTheme="minorHAnsi"/>
              </w:rPr>
            </w:pPr>
            <w:r w:rsidRPr="00BE1A47">
              <w:t>0.0168903907%</w:t>
            </w:r>
          </w:p>
        </w:tc>
        <w:tc>
          <w:tcPr>
            <w:tcW w:w="1984" w:type="dxa"/>
            <w:tcBorders>
              <w:top w:val="nil"/>
              <w:left w:val="nil"/>
              <w:bottom w:val="single" w:sz="4" w:space="0" w:color="auto"/>
              <w:right w:val="single" w:sz="8" w:space="0" w:color="auto"/>
            </w:tcBorders>
            <w:shd w:val="clear" w:color="auto" w:fill="auto"/>
            <w:noWrap/>
            <w:vAlign w:val="center"/>
          </w:tcPr>
          <w:p w14:paraId="05E3266E" w14:textId="47C873B0" w:rsidR="003A1551" w:rsidRPr="00B557CB" w:rsidRDefault="003A1551" w:rsidP="0053216E">
            <w:pPr>
              <w:pStyle w:val="TableBody"/>
              <w:jc w:val="right"/>
              <w:rPr>
                <w:rFonts w:asciiTheme="minorHAnsi" w:hAnsiTheme="minorHAnsi"/>
              </w:rPr>
            </w:pPr>
            <w:r w:rsidRPr="00B557CB">
              <w:t>$5,350</w:t>
            </w:r>
          </w:p>
        </w:tc>
      </w:tr>
      <w:tr w:rsidR="003A1551" w:rsidRPr="00F31CCF" w14:paraId="11F5E8BE" w14:textId="77777777" w:rsidTr="00FC4391">
        <w:trPr>
          <w:trHeight w:val="300"/>
        </w:trPr>
        <w:tc>
          <w:tcPr>
            <w:tcW w:w="960" w:type="dxa"/>
            <w:tcBorders>
              <w:top w:val="nil"/>
              <w:left w:val="single" w:sz="8" w:space="0" w:color="auto"/>
              <w:bottom w:val="single" w:sz="4" w:space="0" w:color="auto"/>
              <w:right w:val="single" w:sz="4" w:space="0" w:color="auto"/>
            </w:tcBorders>
            <w:shd w:val="clear" w:color="auto" w:fill="auto"/>
            <w:noWrap/>
            <w:vAlign w:val="center"/>
          </w:tcPr>
          <w:p w14:paraId="7446D84F" w14:textId="1EAD79ED" w:rsidR="003A1551" w:rsidRPr="006123EF" w:rsidRDefault="003A1551" w:rsidP="0053216E">
            <w:pPr>
              <w:pStyle w:val="TableBody"/>
            </w:pPr>
            <w:r w:rsidRPr="006123EF">
              <w:t>9</w:t>
            </w:r>
          </w:p>
        </w:tc>
        <w:tc>
          <w:tcPr>
            <w:tcW w:w="4133" w:type="dxa"/>
            <w:tcBorders>
              <w:top w:val="nil"/>
              <w:left w:val="nil"/>
              <w:bottom w:val="single" w:sz="4" w:space="0" w:color="auto"/>
              <w:right w:val="single" w:sz="4" w:space="0" w:color="auto"/>
            </w:tcBorders>
            <w:shd w:val="clear" w:color="auto" w:fill="auto"/>
            <w:vAlign w:val="center"/>
          </w:tcPr>
          <w:p w14:paraId="5CE53786" w14:textId="002B2D8D" w:rsidR="003A1551" w:rsidRPr="006123EF" w:rsidRDefault="003A1551" w:rsidP="0053216E">
            <w:pPr>
              <w:pStyle w:val="TableBody"/>
            </w:pPr>
            <w:proofErr w:type="spellStart"/>
            <w:r w:rsidRPr="006123EF">
              <w:t>iPSTAR</w:t>
            </w:r>
            <w:proofErr w:type="spellEnd"/>
            <w:r w:rsidRPr="006123EF">
              <w:t xml:space="preserve"> Australia Pty Ltd</w:t>
            </w:r>
          </w:p>
        </w:tc>
        <w:tc>
          <w:tcPr>
            <w:tcW w:w="1985" w:type="dxa"/>
            <w:tcBorders>
              <w:top w:val="nil"/>
              <w:left w:val="nil"/>
              <w:bottom w:val="single" w:sz="4" w:space="0" w:color="auto"/>
              <w:right w:val="single" w:sz="4" w:space="0" w:color="auto"/>
            </w:tcBorders>
            <w:shd w:val="clear" w:color="auto" w:fill="auto"/>
            <w:noWrap/>
            <w:vAlign w:val="center"/>
          </w:tcPr>
          <w:p w14:paraId="608FEE03" w14:textId="4709DA41" w:rsidR="003A1551" w:rsidRPr="001A63F3" w:rsidRDefault="003A1551" w:rsidP="0053216E">
            <w:pPr>
              <w:pStyle w:val="TableBody"/>
              <w:jc w:val="right"/>
              <w:rPr>
                <w:rFonts w:asciiTheme="minorHAnsi" w:hAnsiTheme="minorHAnsi"/>
              </w:rPr>
            </w:pPr>
            <w:r w:rsidRPr="00BE1A47">
              <w:t>0.1351460128%</w:t>
            </w:r>
          </w:p>
        </w:tc>
        <w:tc>
          <w:tcPr>
            <w:tcW w:w="1984" w:type="dxa"/>
            <w:tcBorders>
              <w:top w:val="nil"/>
              <w:left w:val="nil"/>
              <w:bottom w:val="single" w:sz="4" w:space="0" w:color="auto"/>
              <w:right w:val="single" w:sz="8" w:space="0" w:color="auto"/>
            </w:tcBorders>
            <w:shd w:val="clear" w:color="auto" w:fill="auto"/>
            <w:noWrap/>
            <w:vAlign w:val="center"/>
          </w:tcPr>
          <w:p w14:paraId="0CAADD3B" w14:textId="70E1C732" w:rsidR="003A1551" w:rsidRPr="00B557CB" w:rsidRDefault="003A1551" w:rsidP="0053216E">
            <w:pPr>
              <w:pStyle w:val="TableBody"/>
              <w:jc w:val="right"/>
              <w:rPr>
                <w:rFonts w:asciiTheme="minorHAnsi" w:hAnsiTheme="minorHAnsi"/>
              </w:rPr>
            </w:pPr>
            <w:r w:rsidRPr="00B557CB">
              <w:t>$42,811</w:t>
            </w:r>
          </w:p>
        </w:tc>
      </w:tr>
      <w:tr w:rsidR="003A1551" w:rsidRPr="00F31CCF" w14:paraId="55FAE7B4" w14:textId="77777777" w:rsidTr="00FC4391">
        <w:trPr>
          <w:trHeight w:val="300"/>
        </w:trPr>
        <w:tc>
          <w:tcPr>
            <w:tcW w:w="960" w:type="dxa"/>
            <w:tcBorders>
              <w:top w:val="nil"/>
              <w:left w:val="single" w:sz="8" w:space="0" w:color="auto"/>
              <w:bottom w:val="single" w:sz="4" w:space="0" w:color="auto"/>
              <w:right w:val="single" w:sz="4" w:space="0" w:color="auto"/>
            </w:tcBorders>
            <w:shd w:val="clear" w:color="auto" w:fill="auto"/>
            <w:noWrap/>
            <w:vAlign w:val="center"/>
          </w:tcPr>
          <w:p w14:paraId="21EE7F5E" w14:textId="5DE11379" w:rsidR="003A1551" w:rsidRPr="006123EF" w:rsidRDefault="003A1551" w:rsidP="0053216E">
            <w:pPr>
              <w:pStyle w:val="TableBody"/>
            </w:pPr>
            <w:r w:rsidRPr="006123EF">
              <w:t>10</w:t>
            </w:r>
          </w:p>
        </w:tc>
        <w:tc>
          <w:tcPr>
            <w:tcW w:w="4133" w:type="dxa"/>
            <w:tcBorders>
              <w:top w:val="nil"/>
              <w:left w:val="nil"/>
              <w:bottom w:val="single" w:sz="4" w:space="0" w:color="auto"/>
              <w:right w:val="single" w:sz="4" w:space="0" w:color="auto"/>
            </w:tcBorders>
            <w:shd w:val="clear" w:color="auto" w:fill="auto"/>
            <w:vAlign w:val="center"/>
          </w:tcPr>
          <w:p w14:paraId="5598F16B" w14:textId="1EB4F6B6" w:rsidR="003A1551" w:rsidRPr="006123EF" w:rsidRDefault="003A1551" w:rsidP="0053216E">
            <w:pPr>
              <w:pStyle w:val="TableBody"/>
            </w:pPr>
            <w:r w:rsidRPr="006123EF">
              <w:t>Macquarie Telecom Pty Ltd</w:t>
            </w:r>
          </w:p>
        </w:tc>
        <w:tc>
          <w:tcPr>
            <w:tcW w:w="1985" w:type="dxa"/>
            <w:tcBorders>
              <w:top w:val="nil"/>
              <w:left w:val="nil"/>
              <w:bottom w:val="single" w:sz="4" w:space="0" w:color="auto"/>
              <w:right w:val="single" w:sz="4" w:space="0" w:color="auto"/>
            </w:tcBorders>
            <w:shd w:val="clear" w:color="auto" w:fill="auto"/>
            <w:noWrap/>
            <w:vAlign w:val="center"/>
          </w:tcPr>
          <w:p w14:paraId="67727F85" w14:textId="7D1553B5" w:rsidR="003A1551" w:rsidRPr="001A63F3" w:rsidRDefault="003A1551" w:rsidP="0053216E">
            <w:pPr>
              <w:pStyle w:val="TableBody"/>
              <w:jc w:val="right"/>
              <w:rPr>
                <w:rFonts w:asciiTheme="minorHAnsi" w:hAnsiTheme="minorHAnsi"/>
              </w:rPr>
            </w:pPr>
            <w:r w:rsidRPr="00BE1A47">
              <w:t>0.2766644636%</w:t>
            </w:r>
          </w:p>
        </w:tc>
        <w:tc>
          <w:tcPr>
            <w:tcW w:w="1984" w:type="dxa"/>
            <w:tcBorders>
              <w:top w:val="nil"/>
              <w:left w:val="nil"/>
              <w:bottom w:val="single" w:sz="4" w:space="0" w:color="auto"/>
              <w:right w:val="single" w:sz="8" w:space="0" w:color="auto"/>
            </w:tcBorders>
            <w:shd w:val="clear" w:color="auto" w:fill="auto"/>
            <w:noWrap/>
            <w:vAlign w:val="center"/>
          </w:tcPr>
          <w:p w14:paraId="2E92EF81" w14:textId="4493C25D" w:rsidR="003A1551" w:rsidRPr="00B557CB" w:rsidRDefault="003A1551" w:rsidP="0053216E">
            <w:pPr>
              <w:pStyle w:val="TableBody"/>
              <w:jc w:val="right"/>
              <w:rPr>
                <w:rFonts w:asciiTheme="minorHAnsi" w:hAnsiTheme="minorHAnsi"/>
              </w:rPr>
            </w:pPr>
            <w:r w:rsidRPr="00B557CB">
              <w:t>$87,641</w:t>
            </w:r>
          </w:p>
        </w:tc>
      </w:tr>
      <w:tr w:rsidR="003A1551" w:rsidRPr="00F31CCF" w14:paraId="05BAE80F" w14:textId="77777777" w:rsidTr="00FC4391">
        <w:trPr>
          <w:trHeight w:val="300"/>
        </w:trPr>
        <w:tc>
          <w:tcPr>
            <w:tcW w:w="960" w:type="dxa"/>
            <w:tcBorders>
              <w:top w:val="nil"/>
              <w:left w:val="single" w:sz="8" w:space="0" w:color="auto"/>
              <w:bottom w:val="single" w:sz="4" w:space="0" w:color="auto"/>
              <w:right w:val="single" w:sz="4" w:space="0" w:color="auto"/>
            </w:tcBorders>
            <w:shd w:val="clear" w:color="auto" w:fill="auto"/>
            <w:noWrap/>
            <w:vAlign w:val="center"/>
          </w:tcPr>
          <w:p w14:paraId="1597B4F1" w14:textId="2712E5F2" w:rsidR="003A1551" w:rsidRPr="006123EF" w:rsidRDefault="003A1551" w:rsidP="0053216E">
            <w:pPr>
              <w:pStyle w:val="TableBody"/>
            </w:pPr>
            <w:r w:rsidRPr="006123EF">
              <w:t>11</w:t>
            </w:r>
          </w:p>
        </w:tc>
        <w:tc>
          <w:tcPr>
            <w:tcW w:w="4133" w:type="dxa"/>
            <w:tcBorders>
              <w:top w:val="nil"/>
              <w:left w:val="nil"/>
              <w:bottom w:val="single" w:sz="4" w:space="0" w:color="auto"/>
              <w:right w:val="single" w:sz="4" w:space="0" w:color="auto"/>
            </w:tcBorders>
            <w:shd w:val="clear" w:color="auto" w:fill="auto"/>
            <w:vAlign w:val="center"/>
          </w:tcPr>
          <w:p w14:paraId="78053F24" w14:textId="1B0C319C" w:rsidR="003A1551" w:rsidRPr="006123EF" w:rsidRDefault="003A1551" w:rsidP="0053216E">
            <w:pPr>
              <w:pStyle w:val="TableBody"/>
            </w:pPr>
            <w:r w:rsidRPr="006123EF">
              <w:t>NBN Co Limited</w:t>
            </w:r>
          </w:p>
        </w:tc>
        <w:tc>
          <w:tcPr>
            <w:tcW w:w="1985" w:type="dxa"/>
            <w:tcBorders>
              <w:top w:val="nil"/>
              <w:left w:val="nil"/>
              <w:bottom w:val="single" w:sz="4" w:space="0" w:color="auto"/>
              <w:right w:val="single" w:sz="4" w:space="0" w:color="auto"/>
            </w:tcBorders>
            <w:shd w:val="clear" w:color="auto" w:fill="auto"/>
            <w:noWrap/>
            <w:vAlign w:val="center"/>
          </w:tcPr>
          <w:p w14:paraId="7C542DC1" w14:textId="504CA0C4" w:rsidR="003A1551" w:rsidRPr="001A63F3" w:rsidRDefault="003A1551" w:rsidP="0053216E">
            <w:pPr>
              <w:pStyle w:val="TableBody"/>
              <w:jc w:val="right"/>
              <w:rPr>
                <w:rFonts w:asciiTheme="minorHAnsi" w:hAnsiTheme="minorHAnsi"/>
              </w:rPr>
            </w:pPr>
            <w:r w:rsidRPr="00BE1A47">
              <w:t>0.9514432161%</w:t>
            </w:r>
          </w:p>
        </w:tc>
        <w:tc>
          <w:tcPr>
            <w:tcW w:w="1984" w:type="dxa"/>
            <w:tcBorders>
              <w:top w:val="nil"/>
              <w:left w:val="nil"/>
              <w:bottom w:val="single" w:sz="4" w:space="0" w:color="auto"/>
              <w:right w:val="single" w:sz="8" w:space="0" w:color="auto"/>
            </w:tcBorders>
            <w:shd w:val="clear" w:color="auto" w:fill="auto"/>
            <w:noWrap/>
            <w:vAlign w:val="center"/>
          </w:tcPr>
          <w:p w14:paraId="446C31AF" w14:textId="19F602AC" w:rsidR="003A1551" w:rsidRPr="00B557CB" w:rsidRDefault="003A1551" w:rsidP="0053216E">
            <w:pPr>
              <w:pStyle w:val="TableBody"/>
              <w:jc w:val="right"/>
              <w:rPr>
                <w:rFonts w:asciiTheme="minorHAnsi" w:hAnsiTheme="minorHAnsi"/>
              </w:rPr>
            </w:pPr>
            <w:r w:rsidRPr="00B557CB">
              <w:t>$301,395</w:t>
            </w:r>
          </w:p>
        </w:tc>
      </w:tr>
      <w:tr w:rsidR="003A1551" w:rsidRPr="00F31CCF" w14:paraId="213CA17D" w14:textId="77777777" w:rsidTr="00FC4391">
        <w:trPr>
          <w:trHeight w:val="300"/>
        </w:trPr>
        <w:tc>
          <w:tcPr>
            <w:tcW w:w="960" w:type="dxa"/>
            <w:tcBorders>
              <w:top w:val="nil"/>
              <w:left w:val="single" w:sz="8" w:space="0" w:color="auto"/>
              <w:bottom w:val="single" w:sz="4" w:space="0" w:color="auto"/>
              <w:right w:val="single" w:sz="4" w:space="0" w:color="auto"/>
            </w:tcBorders>
            <w:shd w:val="clear" w:color="auto" w:fill="auto"/>
            <w:noWrap/>
            <w:vAlign w:val="center"/>
          </w:tcPr>
          <w:p w14:paraId="6E6546FC" w14:textId="6D0EAE7E" w:rsidR="003A1551" w:rsidRPr="006123EF" w:rsidRDefault="003A1551" w:rsidP="0053216E">
            <w:pPr>
              <w:pStyle w:val="TableBody"/>
            </w:pPr>
            <w:r w:rsidRPr="006123EF">
              <w:t>12</w:t>
            </w:r>
          </w:p>
        </w:tc>
        <w:tc>
          <w:tcPr>
            <w:tcW w:w="4133" w:type="dxa"/>
            <w:tcBorders>
              <w:top w:val="nil"/>
              <w:left w:val="nil"/>
              <w:bottom w:val="single" w:sz="4" w:space="0" w:color="auto"/>
              <w:right w:val="single" w:sz="4" w:space="0" w:color="auto"/>
            </w:tcBorders>
            <w:shd w:val="clear" w:color="auto" w:fill="auto"/>
            <w:vAlign w:val="center"/>
          </w:tcPr>
          <w:p w14:paraId="3E6132F3" w14:textId="6748FEB9" w:rsidR="003A1551" w:rsidRPr="006123EF" w:rsidRDefault="003A1551" w:rsidP="0053216E">
            <w:pPr>
              <w:pStyle w:val="TableBody"/>
            </w:pPr>
            <w:r w:rsidRPr="006123EF">
              <w:t>New Skies Satellites Australia Pty Ltd</w:t>
            </w:r>
          </w:p>
        </w:tc>
        <w:tc>
          <w:tcPr>
            <w:tcW w:w="1985" w:type="dxa"/>
            <w:tcBorders>
              <w:top w:val="nil"/>
              <w:left w:val="nil"/>
              <w:bottom w:val="single" w:sz="4" w:space="0" w:color="auto"/>
              <w:right w:val="single" w:sz="4" w:space="0" w:color="auto"/>
            </w:tcBorders>
            <w:shd w:val="clear" w:color="auto" w:fill="auto"/>
            <w:noWrap/>
            <w:vAlign w:val="center"/>
          </w:tcPr>
          <w:p w14:paraId="31EC626E" w14:textId="3B9DB2BF" w:rsidR="003A1551" w:rsidRPr="001A63F3" w:rsidRDefault="003A1551" w:rsidP="0053216E">
            <w:pPr>
              <w:pStyle w:val="TableBody"/>
              <w:jc w:val="right"/>
              <w:rPr>
                <w:rFonts w:asciiTheme="minorHAnsi" w:hAnsiTheme="minorHAnsi"/>
              </w:rPr>
            </w:pPr>
            <w:r w:rsidRPr="00BE1A47">
              <w:t>0.0675226642%</w:t>
            </w:r>
          </w:p>
        </w:tc>
        <w:tc>
          <w:tcPr>
            <w:tcW w:w="1984" w:type="dxa"/>
            <w:tcBorders>
              <w:top w:val="nil"/>
              <w:left w:val="nil"/>
              <w:bottom w:val="single" w:sz="4" w:space="0" w:color="auto"/>
              <w:right w:val="single" w:sz="8" w:space="0" w:color="auto"/>
            </w:tcBorders>
            <w:shd w:val="clear" w:color="auto" w:fill="auto"/>
            <w:noWrap/>
            <w:vAlign w:val="center"/>
          </w:tcPr>
          <w:p w14:paraId="5488DABF" w14:textId="2D16BDCD" w:rsidR="003A1551" w:rsidRPr="00B557CB" w:rsidRDefault="003A1551" w:rsidP="0053216E">
            <w:pPr>
              <w:pStyle w:val="TableBody"/>
              <w:jc w:val="right"/>
              <w:rPr>
                <w:rFonts w:asciiTheme="minorHAnsi" w:hAnsiTheme="minorHAnsi"/>
              </w:rPr>
            </w:pPr>
            <w:r w:rsidRPr="00B557CB">
              <w:t>$21,390</w:t>
            </w:r>
          </w:p>
        </w:tc>
      </w:tr>
      <w:tr w:rsidR="003A1551" w:rsidRPr="00F31CCF" w14:paraId="07C317DE" w14:textId="77777777" w:rsidTr="00FC4391">
        <w:trPr>
          <w:trHeight w:val="300"/>
        </w:trPr>
        <w:tc>
          <w:tcPr>
            <w:tcW w:w="960" w:type="dxa"/>
            <w:tcBorders>
              <w:top w:val="nil"/>
              <w:left w:val="single" w:sz="8" w:space="0" w:color="auto"/>
              <w:bottom w:val="single" w:sz="4" w:space="0" w:color="auto"/>
              <w:right w:val="single" w:sz="4" w:space="0" w:color="auto"/>
            </w:tcBorders>
            <w:shd w:val="clear" w:color="auto" w:fill="auto"/>
            <w:noWrap/>
            <w:vAlign w:val="center"/>
          </w:tcPr>
          <w:p w14:paraId="2E0BF28E" w14:textId="757B4314" w:rsidR="003A1551" w:rsidRPr="006123EF" w:rsidRDefault="003A1551" w:rsidP="0053216E">
            <w:pPr>
              <w:pStyle w:val="TableBody"/>
            </w:pPr>
            <w:r w:rsidRPr="006123EF">
              <w:t>13</w:t>
            </w:r>
          </w:p>
        </w:tc>
        <w:tc>
          <w:tcPr>
            <w:tcW w:w="4133" w:type="dxa"/>
            <w:tcBorders>
              <w:top w:val="nil"/>
              <w:left w:val="nil"/>
              <w:bottom w:val="single" w:sz="4" w:space="0" w:color="auto"/>
              <w:right w:val="single" w:sz="4" w:space="0" w:color="auto"/>
            </w:tcBorders>
            <w:shd w:val="clear" w:color="auto" w:fill="auto"/>
            <w:vAlign w:val="center"/>
          </w:tcPr>
          <w:p w14:paraId="1B6509A1" w14:textId="14C954AC" w:rsidR="003A1551" w:rsidRPr="006123EF" w:rsidRDefault="003A1551" w:rsidP="0053216E">
            <w:pPr>
              <w:pStyle w:val="TableBody"/>
            </w:pPr>
            <w:r w:rsidRPr="006123EF">
              <w:t>Nextgen Networks Pty Ltd</w:t>
            </w:r>
          </w:p>
        </w:tc>
        <w:tc>
          <w:tcPr>
            <w:tcW w:w="1985" w:type="dxa"/>
            <w:tcBorders>
              <w:top w:val="nil"/>
              <w:left w:val="nil"/>
              <w:bottom w:val="single" w:sz="4" w:space="0" w:color="auto"/>
              <w:right w:val="single" w:sz="4" w:space="0" w:color="auto"/>
            </w:tcBorders>
            <w:shd w:val="clear" w:color="auto" w:fill="auto"/>
            <w:noWrap/>
            <w:vAlign w:val="center"/>
          </w:tcPr>
          <w:p w14:paraId="0E2F2960" w14:textId="2A8DD749" w:rsidR="003A1551" w:rsidRPr="001A63F3" w:rsidRDefault="003A1551" w:rsidP="0053216E">
            <w:pPr>
              <w:pStyle w:val="TableBody"/>
              <w:jc w:val="right"/>
              <w:rPr>
                <w:rFonts w:asciiTheme="minorHAnsi" w:hAnsiTheme="minorHAnsi"/>
              </w:rPr>
            </w:pPr>
            <w:r w:rsidRPr="00BE1A47">
              <w:t>0.4730035048%</w:t>
            </w:r>
          </w:p>
        </w:tc>
        <w:tc>
          <w:tcPr>
            <w:tcW w:w="1984" w:type="dxa"/>
            <w:tcBorders>
              <w:top w:val="nil"/>
              <w:left w:val="nil"/>
              <w:bottom w:val="single" w:sz="4" w:space="0" w:color="auto"/>
              <w:right w:val="single" w:sz="8" w:space="0" w:color="auto"/>
            </w:tcBorders>
            <w:shd w:val="clear" w:color="auto" w:fill="auto"/>
            <w:noWrap/>
            <w:vAlign w:val="center"/>
          </w:tcPr>
          <w:p w14:paraId="42531115" w14:textId="21BAA33E" w:rsidR="003A1551" w:rsidRPr="00B557CB" w:rsidRDefault="003A1551" w:rsidP="0053216E">
            <w:pPr>
              <w:pStyle w:val="TableBody"/>
              <w:jc w:val="right"/>
              <w:rPr>
                <w:rFonts w:asciiTheme="minorHAnsi" w:hAnsiTheme="minorHAnsi"/>
              </w:rPr>
            </w:pPr>
            <w:r w:rsidRPr="00B557CB">
              <w:t>$149,837</w:t>
            </w:r>
          </w:p>
        </w:tc>
      </w:tr>
      <w:tr w:rsidR="003A1551" w:rsidRPr="00F31CCF" w14:paraId="4D6A60D4" w14:textId="77777777" w:rsidTr="00FC4391">
        <w:trPr>
          <w:trHeight w:val="300"/>
        </w:trPr>
        <w:tc>
          <w:tcPr>
            <w:tcW w:w="960" w:type="dxa"/>
            <w:tcBorders>
              <w:top w:val="nil"/>
              <w:left w:val="single" w:sz="8" w:space="0" w:color="auto"/>
              <w:bottom w:val="single" w:sz="4" w:space="0" w:color="auto"/>
              <w:right w:val="single" w:sz="4" w:space="0" w:color="auto"/>
            </w:tcBorders>
            <w:shd w:val="clear" w:color="auto" w:fill="auto"/>
            <w:noWrap/>
            <w:vAlign w:val="center"/>
          </w:tcPr>
          <w:p w14:paraId="62774CD4" w14:textId="0DB090F9" w:rsidR="003A1551" w:rsidRPr="006123EF" w:rsidRDefault="003A1551" w:rsidP="0053216E">
            <w:pPr>
              <w:pStyle w:val="TableBody"/>
            </w:pPr>
            <w:r w:rsidRPr="006123EF">
              <w:t>14</w:t>
            </w:r>
          </w:p>
        </w:tc>
        <w:tc>
          <w:tcPr>
            <w:tcW w:w="4133" w:type="dxa"/>
            <w:tcBorders>
              <w:top w:val="nil"/>
              <w:left w:val="nil"/>
              <w:bottom w:val="single" w:sz="4" w:space="0" w:color="auto"/>
              <w:right w:val="single" w:sz="4" w:space="0" w:color="auto"/>
            </w:tcBorders>
            <w:shd w:val="clear" w:color="auto" w:fill="auto"/>
            <w:vAlign w:val="center"/>
          </w:tcPr>
          <w:p w14:paraId="15CB4F2A" w14:textId="49B64E03" w:rsidR="003A1551" w:rsidRPr="006123EF" w:rsidRDefault="003A1551" w:rsidP="0053216E">
            <w:pPr>
              <w:pStyle w:val="TableBody"/>
            </w:pPr>
            <w:r w:rsidRPr="006123EF">
              <w:t>O3B Teleport Services (Australia) Pty Ltd</w:t>
            </w:r>
          </w:p>
        </w:tc>
        <w:tc>
          <w:tcPr>
            <w:tcW w:w="1985" w:type="dxa"/>
            <w:tcBorders>
              <w:top w:val="nil"/>
              <w:left w:val="nil"/>
              <w:bottom w:val="single" w:sz="4" w:space="0" w:color="auto"/>
              <w:right w:val="single" w:sz="4" w:space="0" w:color="auto"/>
            </w:tcBorders>
            <w:shd w:val="clear" w:color="auto" w:fill="auto"/>
            <w:noWrap/>
            <w:vAlign w:val="center"/>
          </w:tcPr>
          <w:p w14:paraId="33A8B22F" w14:textId="04862F97" w:rsidR="003A1551" w:rsidRPr="001A63F3" w:rsidRDefault="003A1551" w:rsidP="0053216E">
            <w:pPr>
              <w:pStyle w:val="TableBody"/>
              <w:jc w:val="right"/>
              <w:rPr>
                <w:rFonts w:asciiTheme="minorHAnsi" w:hAnsiTheme="minorHAnsi"/>
              </w:rPr>
            </w:pPr>
            <w:r w:rsidRPr="00BE1A47">
              <w:t>0.0770724016%</w:t>
            </w:r>
          </w:p>
        </w:tc>
        <w:tc>
          <w:tcPr>
            <w:tcW w:w="1984" w:type="dxa"/>
            <w:tcBorders>
              <w:top w:val="nil"/>
              <w:left w:val="nil"/>
              <w:bottom w:val="single" w:sz="4" w:space="0" w:color="auto"/>
              <w:right w:val="single" w:sz="8" w:space="0" w:color="auto"/>
            </w:tcBorders>
            <w:shd w:val="clear" w:color="auto" w:fill="auto"/>
            <w:noWrap/>
            <w:vAlign w:val="center"/>
          </w:tcPr>
          <w:p w14:paraId="69C88A31" w14:textId="196E095D" w:rsidR="003A1551" w:rsidRPr="00B557CB" w:rsidRDefault="003A1551" w:rsidP="0053216E">
            <w:pPr>
              <w:pStyle w:val="TableBody"/>
              <w:jc w:val="right"/>
              <w:rPr>
                <w:rFonts w:asciiTheme="minorHAnsi" w:hAnsiTheme="minorHAnsi"/>
              </w:rPr>
            </w:pPr>
            <w:r w:rsidRPr="00B557CB">
              <w:t>$24,415</w:t>
            </w:r>
          </w:p>
        </w:tc>
      </w:tr>
      <w:tr w:rsidR="003A1551" w:rsidRPr="00F31CCF" w14:paraId="61FDD35D" w14:textId="77777777" w:rsidTr="00FC4391">
        <w:trPr>
          <w:trHeight w:val="300"/>
        </w:trPr>
        <w:tc>
          <w:tcPr>
            <w:tcW w:w="960" w:type="dxa"/>
            <w:tcBorders>
              <w:top w:val="nil"/>
              <w:left w:val="single" w:sz="8" w:space="0" w:color="auto"/>
              <w:bottom w:val="single" w:sz="4" w:space="0" w:color="auto"/>
              <w:right w:val="single" w:sz="4" w:space="0" w:color="auto"/>
            </w:tcBorders>
            <w:shd w:val="clear" w:color="auto" w:fill="auto"/>
            <w:noWrap/>
            <w:vAlign w:val="center"/>
          </w:tcPr>
          <w:p w14:paraId="0511757E" w14:textId="15BFD767" w:rsidR="003A1551" w:rsidRPr="006123EF" w:rsidRDefault="003A1551" w:rsidP="0053216E">
            <w:pPr>
              <w:pStyle w:val="TableBody"/>
            </w:pPr>
            <w:r w:rsidRPr="006123EF">
              <w:t>15</w:t>
            </w:r>
          </w:p>
        </w:tc>
        <w:tc>
          <w:tcPr>
            <w:tcW w:w="4133" w:type="dxa"/>
            <w:tcBorders>
              <w:top w:val="nil"/>
              <w:left w:val="nil"/>
              <w:bottom w:val="single" w:sz="4" w:space="0" w:color="auto"/>
              <w:right w:val="single" w:sz="4" w:space="0" w:color="auto"/>
            </w:tcBorders>
            <w:shd w:val="clear" w:color="auto" w:fill="auto"/>
            <w:vAlign w:val="center"/>
          </w:tcPr>
          <w:p w14:paraId="09D51966" w14:textId="7BB74768" w:rsidR="003A1551" w:rsidRPr="006123EF" w:rsidRDefault="003A1551" w:rsidP="0053216E">
            <w:pPr>
              <w:pStyle w:val="TableBody"/>
            </w:pPr>
            <w:r w:rsidRPr="006123EF">
              <w:t xml:space="preserve">Optus Fixed Infrastructure Pty Ltd </w:t>
            </w:r>
          </w:p>
        </w:tc>
        <w:tc>
          <w:tcPr>
            <w:tcW w:w="1985" w:type="dxa"/>
            <w:tcBorders>
              <w:top w:val="nil"/>
              <w:left w:val="nil"/>
              <w:bottom w:val="single" w:sz="4" w:space="0" w:color="auto"/>
              <w:right w:val="single" w:sz="4" w:space="0" w:color="auto"/>
            </w:tcBorders>
            <w:shd w:val="clear" w:color="auto" w:fill="auto"/>
            <w:noWrap/>
            <w:vAlign w:val="center"/>
          </w:tcPr>
          <w:p w14:paraId="4F3C217D" w14:textId="63D120EC" w:rsidR="003A1551" w:rsidRPr="001A63F3" w:rsidRDefault="003A1551" w:rsidP="0053216E">
            <w:pPr>
              <w:pStyle w:val="TableBody"/>
              <w:jc w:val="right"/>
              <w:rPr>
                <w:rFonts w:asciiTheme="minorHAnsi" w:hAnsiTheme="minorHAnsi"/>
              </w:rPr>
            </w:pPr>
            <w:r w:rsidRPr="00BE1A47">
              <w:t>0.0965376813%</w:t>
            </w:r>
          </w:p>
        </w:tc>
        <w:tc>
          <w:tcPr>
            <w:tcW w:w="1984" w:type="dxa"/>
            <w:tcBorders>
              <w:top w:val="nil"/>
              <w:left w:val="nil"/>
              <w:bottom w:val="single" w:sz="4" w:space="0" w:color="auto"/>
              <w:right w:val="single" w:sz="8" w:space="0" w:color="auto"/>
            </w:tcBorders>
            <w:shd w:val="clear" w:color="auto" w:fill="auto"/>
            <w:noWrap/>
            <w:vAlign w:val="center"/>
          </w:tcPr>
          <w:p w14:paraId="50DDA488" w14:textId="5475D333" w:rsidR="003A1551" w:rsidRPr="00B557CB" w:rsidRDefault="003A1551" w:rsidP="0053216E">
            <w:pPr>
              <w:pStyle w:val="TableBody"/>
              <w:jc w:val="right"/>
              <w:rPr>
                <w:rFonts w:asciiTheme="minorHAnsi" w:hAnsiTheme="minorHAnsi"/>
              </w:rPr>
            </w:pPr>
            <w:r w:rsidRPr="00B557CB">
              <w:t>$30,581</w:t>
            </w:r>
          </w:p>
        </w:tc>
      </w:tr>
      <w:tr w:rsidR="003A1551" w:rsidRPr="00F31CCF" w14:paraId="6351762E" w14:textId="77777777" w:rsidTr="00FC4391">
        <w:trPr>
          <w:trHeight w:val="300"/>
        </w:trPr>
        <w:tc>
          <w:tcPr>
            <w:tcW w:w="960" w:type="dxa"/>
            <w:tcBorders>
              <w:top w:val="nil"/>
              <w:left w:val="single" w:sz="8" w:space="0" w:color="auto"/>
              <w:bottom w:val="single" w:sz="4" w:space="0" w:color="auto"/>
              <w:right w:val="single" w:sz="4" w:space="0" w:color="auto"/>
            </w:tcBorders>
            <w:shd w:val="clear" w:color="auto" w:fill="auto"/>
            <w:noWrap/>
            <w:vAlign w:val="center"/>
          </w:tcPr>
          <w:p w14:paraId="61A28E72" w14:textId="4BBA02B2" w:rsidR="003A1551" w:rsidRPr="006123EF" w:rsidRDefault="003A1551" w:rsidP="0053216E">
            <w:pPr>
              <w:pStyle w:val="TableBody"/>
            </w:pPr>
            <w:r w:rsidRPr="006123EF">
              <w:t>16</w:t>
            </w:r>
          </w:p>
        </w:tc>
        <w:tc>
          <w:tcPr>
            <w:tcW w:w="4133" w:type="dxa"/>
            <w:tcBorders>
              <w:top w:val="nil"/>
              <w:left w:val="nil"/>
              <w:bottom w:val="single" w:sz="4" w:space="0" w:color="auto"/>
              <w:right w:val="single" w:sz="4" w:space="0" w:color="auto"/>
            </w:tcBorders>
            <w:shd w:val="clear" w:color="auto" w:fill="auto"/>
            <w:vAlign w:val="center"/>
          </w:tcPr>
          <w:p w14:paraId="343F8854" w14:textId="3A063B69" w:rsidR="003A1551" w:rsidRPr="006123EF" w:rsidRDefault="003A1551" w:rsidP="0053216E">
            <w:pPr>
              <w:pStyle w:val="TableBody"/>
            </w:pPr>
            <w:r w:rsidRPr="006123EF">
              <w:t>Optus Mobile Pty Ltd</w:t>
            </w:r>
          </w:p>
        </w:tc>
        <w:tc>
          <w:tcPr>
            <w:tcW w:w="1985" w:type="dxa"/>
            <w:tcBorders>
              <w:top w:val="nil"/>
              <w:left w:val="nil"/>
              <w:bottom w:val="single" w:sz="4" w:space="0" w:color="auto"/>
              <w:right w:val="single" w:sz="4" w:space="0" w:color="auto"/>
            </w:tcBorders>
            <w:shd w:val="clear" w:color="auto" w:fill="auto"/>
            <w:noWrap/>
            <w:vAlign w:val="center"/>
          </w:tcPr>
          <w:p w14:paraId="045DBAFD" w14:textId="4846CCB4" w:rsidR="003A1551" w:rsidRPr="001A63F3" w:rsidRDefault="003A1551" w:rsidP="0053216E">
            <w:pPr>
              <w:pStyle w:val="TableBody"/>
              <w:jc w:val="right"/>
              <w:rPr>
                <w:rFonts w:asciiTheme="minorHAnsi" w:hAnsiTheme="minorHAnsi"/>
              </w:rPr>
            </w:pPr>
            <w:r w:rsidRPr="00BE1A47">
              <w:t>14.8896598008%</w:t>
            </w:r>
          </w:p>
        </w:tc>
        <w:tc>
          <w:tcPr>
            <w:tcW w:w="1984" w:type="dxa"/>
            <w:tcBorders>
              <w:top w:val="nil"/>
              <w:left w:val="nil"/>
              <w:bottom w:val="single" w:sz="4" w:space="0" w:color="auto"/>
              <w:right w:val="single" w:sz="8" w:space="0" w:color="auto"/>
            </w:tcBorders>
            <w:shd w:val="clear" w:color="auto" w:fill="auto"/>
            <w:noWrap/>
            <w:vAlign w:val="center"/>
          </w:tcPr>
          <w:p w14:paraId="1ADB1F6E" w14:textId="36ACD745" w:rsidR="003A1551" w:rsidRPr="00B557CB" w:rsidRDefault="003A1551" w:rsidP="0053216E">
            <w:pPr>
              <w:pStyle w:val="TableBody"/>
              <w:jc w:val="right"/>
              <w:rPr>
                <w:rFonts w:asciiTheme="minorHAnsi" w:hAnsiTheme="minorHAnsi"/>
              </w:rPr>
            </w:pPr>
            <w:r w:rsidRPr="00B557CB">
              <w:t>$4,716,702</w:t>
            </w:r>
          </w:p>
        </w:tc>
      </w:tr>
      <w:tr w:rsidR="003A1551" w:rsidRPr="00F31CCF" w14:paraId="7BE63803" w14:textId="77777777" w:rsidTr="00FC4391">
        <w:trPr>
          <w:trHeight w:val="300"/>
        </w:trPr>
        <w:tc>
          <w:tcPr>
            <w:tcW w:w="960" w:type="dxa"/>
            <w:tcBorders>
              <w:top w:val="nil"/>
              <w:left w:val="single" w:sz="8" w:space="0" w:color="auto"/>
              <w:bottom w:val="single" w:sz="4" w:space="0" w:color="auto"/>
              <w:right w:val="single" w:sz="4" w:space="0" w:color="auto"/>
            </w:tcBorders>
            <w:shd w:val="clear" w:color="auto" w:fill="auto"/>
            <w:noWrap/>
            <w:vAlign w:val="center"/>
          </w:tcPr>
          <w:p w14:paraId="472FBDE5" w14:textId="30BEF855" w:rsidR="003A1551" w:rsidRPr="006123EF" w:rsidRDefault="003A1551" w:rsidP="0053216E">
            <w:pPr>
              <w:pStyle w:val="TableBody"/>
            </w:pPr>
            <w:r w:rsidRPr="006123EF">
              <w:t>17</w:t>
            </w:r>
          </w:p>
        </w:tc>
        <w:tc>
          <w:tcPr>
            <w:tcW w:w="4133" w:type="dxa"/>
            <w:tcBorders>
              <w:top w:val="nil"/>
              <w:left w:val="nil"/>
              <w:bottom w:val="single" w:sz="4" w:space="0" w:color="auto"/>
              <w:right w:val="single" w:sz="4" w:space="0" w:color="auto"/>
            </w:tcBorders>
            <w:shd w:val="clear" w:color="auto" w:fill="auto"/>
            <w:vAlign w:val="center"/>
          </w:tcPr>
          <w:p w14:paraId="0D94C559" w14:textId="2949A9ED" w:rsidR="003A1551" w:rsidRPr="006123EF" w:rsidRDefault="003A1551" w:rsidP="0053216E">
            <w:pPr>
              <w:pStyle w:val="TableBody"/>
            </w:pPr>
            <w:r w:rsidRPr="006123EF">
              <w:t>Optus Networks Pty Ltd</w:t>
            </w:r>
          </w:p>
        </w:tc>
        <w:tc>
          <w:tcPr>
            <w:tcW w:w="1985" w:type="dxa"/>
            <w:tcBorders>
              <w:top w:val="nil"/>
              <w:left w:val="nil"/>
              <w:bottom w:val="single" w:sz="4" w:space="0" w:color="auto"/>
              <w:right w:val="single" w:sz="4" w:space="0" w:color="auto"/>
            </w:tcBorders>
            <w:shd w:val="clear" w:color="auto" w:fill="auto"/>
            <w:noWrap/>
            <w:vAlign w:val="center"/>
          </w:tcPr>
          <w:p w14:paraId="1F63A1EE" w14:textId="194B2508" w:rsidR="003A1551" w:rsidRPr="001A63F3" w:rsidRDefault="003A1551" w:rsidP="0053216E">
            <w:pPr>
              <w:pStyle w:val="TableBody"/>
              <w:jc w:val="right"/>
              <w:rPr>
                <w:rFonts w:asciiTheme="minorHAnsi" w:hAnsiTheme="minorHAnsi"/>
              </w:rPr>
            </w:pPr>
            <w:r w:rsidRPr="00BE1A47">
              <w:t>3.3411120212%</w:t>
            </w:r>
          </w:p>
        </w:tc>
        <w:tc>
          <w:tcPr>
            <w:tcW w:w="1984" w:type="dxa"/>
            <w:tcBorders>
              <w:top w:val="nil"/>
              <w:left w:val="nil"/>
              <w:bottom w:val="single" w:sz="4" w:space="0" w:color="auto"/>
              <w:right w:val="single" w:sz="8" w:space="0" w:color="auto"/>
            </w:tcBorders>
            <w:shd w:val="clear" w:color="auto" w:fill="auto"/>
            <w:noWrap/>
            <w:vAlign w:val="center"/>
          </w:tcPr>
          <w:p w14:paraId="4C47DC96" w14:textId="537128DE" w:rsidR="003A1551" w:rsidRPr="00B557CB" w:rsidRDefault="003A1551" w:rsidP="0053216E">
            <w:pPr>
              <w:pStyle w:val="TableBody"/>
              <w:jc w:val="right"/>
              <w:rPr>
                <w:rFonts w:asciiTheme="minorHAnsi" w:hAnsiTheme="minorHAnsi"/>
              </w:rPr>
            </w:pPr>
            <w:r w:rsidRPr="00B557CB">
              <w:t>$1,058,388</w:t>
            </w:r>
          </w:p>
        </w:tc>
      </w:tr>
      <w:tr w:rsidR="003A1551" w:rsidRPr="00F31CCF" w14:paraId="1684FD07" w14:textId="77777777" w:rsidTr="00FC4391">
        <w:trPr>
          <w:trHeight w:val="300"/>
        </w:trPr>
        <w:tc>
          <w:tcPr>
            <w:tcW w:w="960" w:type="dxa"/>
            <w:tcBorders>
              <w:top w:val="nil"/>
              <w:left w:val="single" w:sz="8" w:space="0" w:color="auto"/>
              <w:bottom w:val="single" w:sz="4" w:space="0" w:color="auto"/>
              <w:right w:val="single" w:sz="4" w:space="0" w:color="auto"/>
            </w:tcBorders>
            <w:shd w:val="clear" w:color="auto" w:fill="auto"/>
            <w:noWrap/>
            <w:vAlign w:val="center"/>
          </w:tcPr>
          <w:p w14:paraId="49FFBCE8" w14:textId="03B15839" w:rsidR="003A1551" w:rsidRPr="006123EF" w:rsidRDefault="003A1551" w:rsidP="0053216E">
            <w:pPr>
              <w:pStyle w:val="TableBody"/>
            </w:pPr>
            <w:r w:rsidRPr="006123EF">
              <w:t>18</w:t>
            </w:r>
          </w:p>
        </w:tc>
        <w:tc>
          <w:tcPr>
            <w:tcW w:w="4133" w:type="dxa"/>
            <w:tcBorders>
              <w:top w:val="nil"/>
              <w:left w:val="nil"/>
              <w:bottom w:val="single" w:sz="4" w:space="0" w:color="auto"/>
              <w:right w:val="single" w:sz="4" w:space="0" w:color="auto"/>
            </w:tcBorders>
            <w:shd w:val="clear" w:color="auto" w:fill="auto"/>
            <w:vAlign w:val="center"/>
          </w:tcPr>
          <w:p w14:paraId="72FEE6D2" w14:textId="4592234D" w:rsidR="003A1551" w:rsidRPr="006123EF" w:rsidRDefault="003A1551" w:rsidP="0053216E">
            <w:pPr>
              <w:pStyle w:val="TableBody"/>
            </w:pPr>
            <w:r w:rsidRPr="006123EF">
              <w:t>Optus Satellite Network Pty Ltd</w:t>
            </w:r>
          </w:p>
        </w:tc>
        <w:tc>
          <w:tcPr>
            <w:tcW w:w="1985" w:type="dxa"/>
            <w:tcBorders>
              <w:top w:val="nil"/>
              <w:left w:val="nil"/>
              <w:bottom w:val="single" w:sz="4" w:space="0" w:color="auto"/>
              <w:right w:val="single" w:sz="4" w:space="0" w:color="auto"/>
            </w:tcBorders>
            <w:shd w:val="clear" w:color="auto" w:fill="auto"/>
            <w:noWrap/>
            <w:vAlign w:val="center"/>
          </w:tcPr>
          <w:p w14:paraId="37E9FEA0" w14:textId="72EA61C2" w:rsidR="003A1551" w:rsidRPr="001A63F3" w:rsidRDefault="003A1551" w:rsidP="0053216E">
            <w:pPr>
              <w:pStyle w:val="TableBody"/>
              <w:jc w:val="right"/>
              <w:rPr>
                <w:rFonts w:asciiTheme="minorHAnsi" w:hAnsiTheme="minorHAnsi"/>
              </w:rPr>
            </w:pPr>
            <w:r w:rsidRPr="00BE1A47">
              <w:t>0.7750133861%</w:t>
            </w:r>
          </w:p>
        </w:tc>
        <w:tc>
          <w:tcPr>
            <w:tcW w:w="1984" w:type="dxa"/>
            <w:tcBorders>
              <w:top w:val="nil"/>
              <w:left w:val="nil"/>
              <w:bottom w:val="single" w:sz="4" w:space="0" w:color="auto"/>
              <w:right w:val="single" w:sz="8" w:space="0" w:color="auto"/>
            </w:tcBorders>
            <w:shd w:val="clear" w:color="auto" w:fill="auto"/>
            <w:noWrap/>
            <w:vAlign w:val="center"/>
          </w:tcPr>
          <w:p w14:paraId="26DA0F2D" w14:textId="3CC2B7E8" w:rsidR="003A1551" w:rsidRPr="00B557CB" w:rsidRDefault="003A1551" w:rsidP="0053216E">
            <w:pPr>
              <w:pStyle w:val="TableBody"/>
              <w:jc w:val="right"/>
              <w:rPr>
                <w:rFonts w:asciiTheme="minorHAnsi" w:hAnsiTheme="minorHAnsi"/>
              </w:rPr>
            </w:pPr>
            <w:r w:rsidRPr="00B557CB">
              <w:t>$245,506</w:t>
            </w:r>
          </w:p>
        </w:tc>
      </w:tr>
      <w:tr w:rsidR="003A1551" w:rsidRPr="00F31CCF" w14:paraId="41DF2B20" w14:textId="77777777" w:rsidTr="00FC4391">
        <w:trPr>
          <w:trHeight w:val="300"/>
        </w:trPr>
        <w:tc>
          <w:tcPr>
            <w:tcW w:w="960" w:type="dxa"/>
            <w:tcBorders>
              <w:top w:val="nil"/>
              <w:left w:val="single" w:sz="8" w:space="0" w:color="auto"/>
              <w:bottom w:val="single" w:sz="4" w:space="0" w:color="auto"/>
              <w:right w:val="single" w:sz="4" w:space="0" w:color="auto"/>
            </w:tcBorders>
            <w:shd w:val="clear" w:color="auto" w:fill="auto"/>
            <w:noWrap/>
            <w:vAlign w:val="center"/>
          </w:tcPr>
          <w:p w14:paraId="06EBBA8E" w14:textId="09FB0F6D" w:rsidR="003A1551" w:rsidRPr="006123EF" w:rsidRDefault="003A1551" w:rsidP="0053216E">
            <w:pPr>
              <w:pStyle w:val="TableBody"/>
            </w:pPr>
            <w:r w:rsidRPr="006123EF">
              <w:t>19</w:t>
            </w:r>
          </w:p>
        </w:tc>
        <w:tc>
          <w:tcPr>
            <w:tcW w:w="4133" w:type="dxa"/>
            <w:tcBorders>
              <w:top w:val="nil"/>
              <w:left w:val="nil"/>
              <w:bottom w:val="single" w:sz="4" w:space="0" w:color="auto"/>
              <w:right w:val="single" w:sz="4" w:space="0" w:color="auto"/>
            </w:tcBorders>
            <w:shd w:val="clear" w:color="auto" w:fill="auto"/>
            <w:vAlign w:val="center"/>
          </w:tcPr>
          <w:p w14:paraId="1C60983A" w14:textId="7F8B7314" w:rsidR="003A1551" w:rsidRPr="006123EF" w:rsidRDefault="003A1551" w:rsidP="0053216E">
            <w:pPr>
              <w:pStyle w:val="TableBody"/>
            </w:pPr>
            <w:r w:rsidRPr="006123EF">
              <w:t>Orion Satellite Systems Pty Ltd</w:t>
            </w:r>
          </w:p>
        </w:tc>
        <w:tc>
          <w:tcPr>
            <w:tcW w:w="1985" w:type="dxa"/>
            <w:tcBorders>
              <w:top w:val="nil"/>
              <w:left w:val="nil"/>
              <w:bottom w:val="single" w:sz="4" w:space="0" w:color="auto"/>
              <w:right w:val="single" w:sz="4" w:space="0" w:color="auto"/>
            </w:tcBorders>
            <w:shd w:val="clear" w:color="auto" w:fill="auto"/>
            <w:noWrap/>
            <w:vAlign w:val="center"/>
          </w:tcPr>
          <w:p w14:paraId="40BCBD37" w14:textId="5A909A07" w:rsidR="003A1551" w:rsidRPr="001A63F3" w:rsidRDefault="003A1551" w:rsidP="0053216E">
            <w:pPr>
              <w:pStyle w:val="TableBody"/>
              <w:jc w:val="right"/>
              <w:rPr>
                <w:rFonts w:asciiTheme="minorHAnsi" w:hAnsiTheme="minorHAnsi"/>
              </w:rPr>
            </w:pPr>
            <w:r w:rsidRPr="00BE1A47">
              <w:t>0.0086487314%</w:t>
            </w:r>
          </w:p>
        </w:tc>
        <w:tc>
          <w:tcPr>
            <w:tcW w:w="1984" w:type="dxa"/>
            <w:tcBorders>
              <w:top w:val="nil"/>
              <w:left w:val="nil"/>
              <w:bottom w:val="single" w:sz="4" w:space="0" w:color="auto"/>
              <w:right w:val="single" w:sz="8" w:space="0" w:color="auto"/>
            </w:tcBorders>
            <w:shd w:val="clear" w:color="auto" w:fill="auto"/>
            <w:noWrap/>
            <w:vAlign w:val="center"/>
          </w:tcPr>
          <w:p w14:paraId="23B3C026" w14:textId="0A7B5B33" w:rsidR="003A1551" w:rsidRPr="00B557CB" w:rsidRDefault="003A1551" w:rsidP="0053216E">
            <w:pPr>
              <w:pStyle w:val="TableBody"/>
              <w:jc w:val="right"/>
              <w:rPr>
                <w:rFonts w:asciiTheme="minorHAnsi" w:hAnsiTheme="minorHAnsi"/>
              </w:rPr>
            </w:pPr>
            <w:r w:rsidRPr="00B557CB">
              <w:t>$2,740</w:t>
            </w:r>
          </w:p>
        </w:tc>
      </w:tr>
      <w:tr w:rsidR="003A1551" w:rsidRPr="00F31CCF" w14:paraId="666ABB5C" w14:textId="77777777" w:rsidTr="00FC4391">
        <w:trPr>
          <w:trHeight w:val="300"/>
        </w:trPr>
        <w:tc>
          <w:tcPr>
            <w:tcW w:w="960" w:type="dxa"/>
            <w:tcBorders>
              <w:top w:val="nil"/>
              <w:left w:val="single" w:sz="8" w:space="0" w:color="auto"/>
              <w:bottom w:val="single" w:sz="4" w:space="0" w:color="auto"/>
              <w:right w:val="single" w:sz="4" w:space="0" w:color="auto"/>
            </w:tcBorders>
            <w:shd w:val="clear" w:color="auto" w:fill="auto"/>
            <w:noWrap/>
            <w:vAlign w:val="center"/>
          </w:tcPr>
          <w:p w14:paraId="298642BE" w14:textId="68BEA761" w:rsidR="003A1551" w:rsidRPr="006123EF" w:rsidRDefault="003A1551" w:rsidP="0053216E">
            <w:pPr>
              <w:pStyle w:val="TableBody"/>
            </w:pPr>
            <w:r w:rsidRPr="006123EF">
              <w:t>20</w:t>
            </w:r>
          </w:p>
        </w:tc>
        <w:tc>
          <w:tcPr>
            <w:tcW w:w="4133" w:type="dxa"/>
            <w:tcBorders>
              <w:top w:val="nil"/>
              <w:left w:val="nil"/>
              <w:bottom w:val="single" w:sz="4" w:space="0" w:color="auto"/>
              <w:right w:val="single" w:sz="4" w:space="0" w:color="auto"/>
            </w:tcBorders>
            <w:shd w:val="clear" w:color="auto" w:fill="auto"/>
            <w:vAlign w:val="center"/>
          </w:tcPr>
          <w:p w14:paraId="1EBB3DE1" w14:textId="75281EB5" w:rsidR="003A1551" w:rsidRPr="006123EF" w:rsidRDefault="003A1551" w:rsidP="0053216E">
            <w:pPr>
              <w:pStyle w:val="TableBody"/>
            </w:pPr>
            <w:r w:rsidRPr="006123EF">
              <w:t>Primus Telecommunications Pty Ltd</w:t>
            </w:r>
          </w:p>
        </w:tc>
        <w:tc>
          <w:tcPr>
            <w:tcW w:w="1985" w:type="dxa"/>
            <w:tcBorders>
              <w:top w:val="nil"/>
              <w:left w:val="nil"/>
              <w:bottom w:val="single" w:sz="4" w:space="0" w:color="auto"/>
              <w:right w:val="single" w:sz="4" w:space="0" w:color="auto"/>
            </w:tcBorders>
            <w:shd w:val="clear" w:color="auto" w:fill="auto"/>
            <w:noWrap/>
            <w:vAlign w:val="center"/>
          </w:tcPr>
          <w:p w14:paraId="1041A5D3" w14:textId="41E320A5" w:rsidR="003A1551" w:rsidRPr="001A63F3" w:rsidRDefault="003A1551" w:rsidP="0053216E">
            <w:pPr>
              <w:pStyle w:val="TableBody"/>
              <w:jc w:val="right"/>
              <w:rPr>
                <w:rFonts w:asciiTheme="minorHAnsi" w:hAnsiTheme="minorHAnsi"/>
              </w:rPr>
            </w:pPr>
            <w:r w:rsidRPr="00BE1A47">
              <w:t>1.1198444364%</w:t>
            </w:r>
          </w:p>
        </w:tc>
        <w:tc>
          <w:tcPr>
            <w:tcW w:w="1984" w:type="dxa"/>
            <w:tcBorders>
              <w:top w:val="nil"/>
              <w:left w:val="nil"/>
              <w:bottom w:val="single" w:sz="4" w:space="0" w:color="auto"/>
              <w:right w:val="single" w:sz="8" w:space="0" w:color="auto"/>
            </w:tcBorders>
            <w:shd w:val="clear" w:color="auto" w:fill="auto"/>
            <w:noWrap/>
            <w:vAlign w:val="center"/>
          </w:tcPr>
          <w:p w14:paraId="41835543" w14:textId="269BF948" w:rsidR="003A1551" w:rsidRPr="00B557CB" w:rsidRDefault="003A1551" w:rsidP="0053216E">
            <w:pPr>
              <w:pStyle w:val="TableBody"/>
              <w:jc w:val="right"/>
              <w:rPr>
                <w:rFonts w:asciiTheme="minorHAnsi" w:hAnsiTheme="minorHAnsi"/>
              </w:rPr>
            </w:pPr>
            <w:r w:rsidRPr="00B557CB">
              <w:t>$354,741</w:t>
            </w:r>
          </w:p>
        </w:tc>
      </w:tr>
      <w:tr w:rsidR="003A1551" w:rsidRPr="00F31CCF" w14:paraId="3DF20BD9" w14:textId="77777777" w:rsidTr="00FC4391">
        <w:trPr>
          <w:trHeight w:val="300"/>
        </w:trPr>
        <w:tc>
          <w:tcPr>
            <w:tcW w:w="960" w:type="dxa"/>
            <w:tcBorders>
              <w:top w:val="nil"/>
              <w:left w:val="single" w:sz="8" w:space="0" w:color="auto"/>
              <w:bottom w:val="single" w:sz="4" w:space="0" w:color="auto"/>
              <w:right w:val="single" w:sz="4" w:space="0" w:color="auto"/>
            </w:tcBorders>
            <w:shd w:val="clear" w:color="auto" w:fill="auto"/>
            <w:noWrap/>
            <w:vAlign w:val="center"/>
          </w:tcPr>
          <w:p w14:paraId="27A2B854" w14:textId="519EAF01" w:rsidR="003A1551" w:rsidRPr="006123EF" w:rsidRDefault="003A1551" w:rsidP="0053216E">
            <w:pPr>
              <w:pStyle w:val="TableBody"/>
            </w:pPr>
            <w:r w:rsidRPr="006123EF">
              <w:t>21</w:t>
            </w:r>
          </w:p>
        </w:tc>
        <w:tc>
          <w:tcPr>
            <w:tcW w:w="4133" w:type="dxa"/>
            <w:tcBorders>
              <w:top w:val="nil"/>
              <w:left w:val="nil"/>
              <w:bottom w:val="single" w:sz="4" w:space="0" w:color="auto"/>
              <w:right w:val="single" w:sz="4" w:space="0" w:color="auto"/>
            </w:tcBorders>
            <w:shd w:val="clear" w:color="auto" w:fill="auto"/>
            <w:vAlign w:val="center"/>
          </w:tcPr>
          <w:p w14:paraId="28862451" w14:textId="4FAC9CF1" w:rsidR="003A1551" w:rsidRPr="006123EF" w:rsidRDefault="003A1551" w:rsidP="0053216E">
            <w:pPr>
              <w:pStyle w:val="TableBody"/>
            </w:pPr>
            <w:r w:rsidRPr="006123EF">
              <w:t>Satellite Communications Australia Pty Ltd</w:t>
            </w:r>
          </w:p>
        </w:tc>
        <w:tc>
          <w:tcPr>
            <w:tcW w:w="1985" w:type="dxa"/>
            <w:tcBorders>
              <w:top w:val="nil"/>
              <w:left w:val="nil"/>
              <w:bottom w:val="single" w:sz="4" w:space="0" w:color="auto"/>
              <w:right w:val="single" w:sz="4" w:space="0" w:color="auto"/>
            </w:tcBorders>
            <w:shd w:val="clear" w:color="auto" w:fill="auto"/>
            <w:noWrap/>
            <w:vAlign w:val="center"/>
          </w:tcPr>
          <w:p w14:paraId="3D2BFAF0" w14:textId="563E09D3" w:rsidR="003A1551" w:rsidRPr="001A63F3" w:rsidRDefault="003A1551" w:rsidP="0053216E">
            <w:pPr>
              <w:pStyle w:val="TableBody"/>
              <w:jc w:val="right"/>
              <w:rPr>
                <w:rFonts w:asciiTheme="minorHAnsi" w:hAnsiTheme="minorHAnsi"/>
              </w:rPr>
            </w:pPr>
            <w:r w:rsidRPr="00BE1A47">
              <w:t>0.1042851546%</w:t>
            </w:r>
          </w:p>
        </w:tc>
        <w:tc>
          <w:tcPr>
            <w:tcW w:w="1984" w:type="dxa"/>
            <w:tcBorders>
              <w:top w:val="nil"/>
              <w:left w:val="nil"/>
              <w:bottom w:val="single" w:sz="4" w:space="0" w:color="auto"/>
              <w:right w:val="single" w:sz="8" w:space="0" w:color="auto"/>
            </w:tcBorders>
            <w:shd w:val="clear" w:color="auto" w:fill="auto"/>
            <w:noWrap/>
            <w:vAlign w:val="center"/>
          </w:tcPr>
          <w:p w14:paraId="5B4695EA" w14:textId="303323BF" w:rsidR="003A1551" w:rsidRPr="00B557CB" w:rsidRDefault="003A1551" w:rsidP="0053216E">
            <w:pPr>
              <w:pStyle w:val="TableBody"/>
              <w:jc w:val="right"/>
              <w:rPr>
                <w:rFonts w:asciiTheme="minorHAnsi" w:hAnsiTheme="minorHAnsi"/>
              </w:rPr>
            </w:pPr>
            <w:r w:rsidRPr="00B557CB">
              <w:t>$33,035</w:t>
            </w:r>
          </w:p>
        </w:tc>
      </w:tr>
      <w:tr w:rsidR="003A1551" w:rsidRPr="00F31CCF" w14:paraId="1DA248E7" w14:textId="77777777" w:rsidTr="00FC4391">
        <w:trPr>
          <w:trHeight w:val="300"/>
        </w:trPr>
        <w:tc>
          <w:tcPr>
            <w:tcW w:w="960" w:type="dxa"/>
            <w:tcBorders>
              <w:top w:val="nil"/>
              <w:left w:val="single" w:sz="8" w:space="0" w:color="auto"/>
              <w:bottom w:val="single" w:sz="4" w:space="0" w:color="auto"/>
              <w:right w:val="single" w:sz="4" w:space="0" w:color="auto"/>
            </w:tcBorders>
            <w:shd w:val="clear" w:color="auto" w:fill="auto"/>
            <w:noWrap/>
            <w:vAlign w:val="center"/>
          </w:tcPr>
          <w:p w14:paraId="09BD5582" w14:textId="282975FA" w:rsidR="003A1551" w:rsidRPr="006123EF" w:rsidRDefault="003A1551" w:rsidP="0053216E">
            <w:pPr>
              <w:pStyle w:val="TableBody"/>
            </w:pPr>
            <w:r w:rsidRPr="006123EF">
              <w:t>22</w:t>
            </w:r>
          </w:p>
        </w:tc>
        <w:tc>
          <w:tcPr>
            <w:tcW w:w="4133" w:type="dxa"/>
            <w:tcBorders>
              <w:top w:val="nil"/>
              <w:left w:val="nil"/>
              <w:bottom w:val="single" w:sz="4" w:space="0" w:color="auto"/>
              <w:right w:val="single" w:sz="4" w:space="0" w:color="auto"/>
            </w:tcBorders>
            <w:shd w:val="clear" w:color="auto" w:fill="auto"/>
            <w:vAlign w:val="center"/>
          </w:tcPr>
          <w:p w14:paraId="3F860F41" w14:textId="599FC61F" w:rsidR="003A1551" w:rsidRPr="006123EF" w:rsidRDefault="003A1551" w:rsidP="0053216E">
            <w:pPr>
              <w:pStyle w:val="TableBody"/>
            </w:pPr>
            <w:r w:rsidRPr="006123EF">
              <w:t>Soul Pattinson Telecommunications Pty Ltd</w:t>
            </w:r>
          </w:p>
        </w:tc>
        <w:tc>
          <w:tcPr>
            <w:tcW w:w="1985" w:type="dxa"/>
            <w:tcBorders>
              <w:top w:val="nil"/>
              <w:left w:val="nil"/>
              <w:bottom w:val="single" w:sz="4" w:space="0" w:color="auto"/>
              <w:right w:val="single" w:sz="4" w:space="0" w:color="auto"/>
            </w:tcBorders>
            <w:shd w:val="clear" w:color="auto" w:fill="auto"/>
            <w:noWrap/>
            <w:vAlign w:val="center"/>
          </w:tcPr>
          <w:p w14:paraId="1503FED7" w14:textId="52CCAA44" w:rsidR="003A1551" w:rsidRPr="001A63F3" w:rsidRDefault="003A1551" w:rsidP="0053216E">
            <w:pPr>
              <w:pStyle w:val="TableBody"/>
              <w:jc w:val="right"/>
              <w:rPr>
                <w:rFonts w:asciiTheme="minorHAnsi" w:hAnsiTheme="minorHAnsi"/>
              </w:rPr>
            </w:pPr>
            <w:r w:rsidRPr="00BE1A47">
              <w:t>2.6437132950%</w:t>
            </w:r>
          </w:p>
        </w:tc>
        <w:tc>
          <w:tcPr>
            <w:tcW w:w="1984" w:type="dxa"/>
            <w:tcBorders>
              <w:top w:val="nil"/>
              <w:left w:val="nil"/>
              <w:bottom w:val="single" w:sz="4" w:space="0" w:color="auto"/>
              <w:right w:val="single" w:sz="8" w:space="0" w:color="auto"/>
            </w:tcBorders>
            <w:shd w:val="clear" w:color="auto" w:fill="auto"/>
            <w:noWrap/>
            <w:vAlign w:val="center"/>
          </w:tcPr>
          <w:p w14:paraId="555449DB" w14:textId="53C71906" w:rsidR="003A1551" w:rsidRPr="00B557CB" w:rsidRDefault="003A1551" w:rsidP="0053216E">
            <w:pPr>
              <w:pStyle w:val="TableBody"/>
              <w:jc w:val="right"/>
              <w:rPr>
                <w:rFonts w:asciiTheme="minorHAnsi" w:hAnsiTheme="minorHAnsi"/>
              </w:rPr>
            </w:pPr>
            <w:r w:rsidRPr="00B557CB">
              <w:t>$837,468</w:t>
            </w:r>
          </w:p>
        </w:tc>
      </w:tr>
      <w:tr w:rsidR="003A1551" w:rsidRPr="00F31CCF" w14:paraId="2E0121D8" w14:textId="77777777" w:rsidTr="00FC4391">
        <w:trPr>
          <w:trHeight w:val="300"/>
        </w:trPr>
        <w:tc>
          <w:tcPr>
            <w:tcW w:w="960" w:type="dxa"/>
            <w:tcBorders>
              <w:top w:val="nil"/>
              <w:left w:val="single" w:sz="8" w:space="0" w:color="auto"/>
              <w:bottom w:val="single" w:sz="4" w:space="0" w:color="auto"/>
              <w:right w:val="single" w:sz="4" w:space="0" w:color="auto"/>
            </w:tcBorders>
            <w:shd w:val="clear" w:color="auto" w:fill="auto"/>
            <w:noWrap/>
            <w:vAlign w:val="center"/>
          </w:tcPr>
          <w:p w14:paraId="75D3806F" w14:textId="307B1CAD" w:rsidR="003A1551" w:rsidRPr="006123EF" w:rsidRDefault="003A1551" w:rsidP="0053216E">
            <w:pPr>
              <w:pStyle w:val="TableBody"/>
            </w:pPr>
            <w:r w:rsidRPr="006123EF">
              <w:t>23</w:t>
            </w:r>
          </w:p>
        </w:tc>
        <w:tc>
          <w:tcPr>
            <w:tcW w:w="4133" w:type="dxa"/>
            <w:tcBorders>
              <w:top w:val="nil"/>
              <w:left w:val="nil"/>
              <w:bottom w:val="single" w:sz="4" w:space="0" w:color="auto"/>
              <w:right w:val="single" w:sz="4" w:space="0" w:color="auto"/>
            </w:tcBorders>
            <w:shd w:val="clear" w:color="auto" w:fill="auto"/>
            <w:vAlign w:val="center"/>
          </w:tcPr>
          <w:p w14:paraId="4DF31D35" w14:textId="7E07E9D7" w:rsidR="003A1551" w:rsidRPr="006123EF" w:rsidRDefault="003A1551" w:rsidP="0053216E">
            <w:pPr>
              <w:pStyle w:val="TableBody"/>
            </w:pPr>
            <w:proofErr w:type="spellStart"/>
            <w:r w:rsidRPr="006123EF">
              <w:t>Superloop</w:t>
            </w:r>
            <w:proofErr w:type="spellEnd"/>
            <w:r w:rsidRPr="006123EF">
              <w:t xml:space="preserve"> (Australia) Pty Ltd</w:t>
            </w:r>
          </w:p>
        </w:tc>
        <w:tc>
          <w:tcPr>
            <w:tcW w:w="1985" w:type="dxa"/>
            <w:tcBorders>
              <w:top w:val="nil"/>
              <w:left w:val="nil"/>
              <w:bottom w:val="single" w:sz="4" w:space="0" w:color="auto"/>
              <w:right w:val="single" w:sz="4" w:space="0" w:color="auto"/>
            </w:tcBorders>
            <w:shd w:val="clear" w:color="auto" w:fill="auto"/>
            <w:noWrap/>
            <w:vAlign w:val="center"/>
          </w:tcPr>
          <w:p w14:paraId="02B44FE7" w14:textId="51F5EDBC" w:rsidR="003A1551" w:rsidRPr="001A63F3" w:rsidRDefault="003A1551" w:rsidP="0053216E">
            <w:pPr>
              <w:pStyle w:val="TableBody"/>
              <w:jc w:val="right"/>
              <w:rPr>
                <w:rFonts w:asciiTheme="minorHAnsi" w:hAnsiTheme="minorHAnsi"/>
              </w:rPr>
            </w:pPr>
            <w:r w:rsidRPr="00BE1A47">
              <w:t>0.0166037283%</w:t>
            </w:r>
          </w:p>
        </w:tc>
        <w:tc>
          <w:tcPr>
            <w:tcW w:w="1984" w:type="dxa"/>
            <w:tcBorders>
              <w:top w:val="nil"/>
              <w:left w:val="nil"/>
              <w:bottom w:val="single" w:sz="4" w:space="0" w:color="auto"/>
              <w:right w:val="single" w:sz="8" w:space="0" w:color="auto"/>
            </w:tcBorders>
            <w:shd w:val="clear" w:color="auto" w:fill="auto"/>
            <w:noWrap/>
            <w:vAlign w:val="center"/>
          </w:tcPr>
          <w:p w14:paraId="5A69F5A2" w14:textId="6417C0B6" w:rsidR="003A1551" w:rsidRPr="00B557CB" w:rsidRDefault="003A1551" w:rsidP="0053216E">
            <w:pPr>
              <w:pStyle w:val="TableBody"/>
              <w:jc w:val="right"/>
              <w:rPr>
                <w:rFonts w:asciiTheme="minorHAnsi" w:hAnsiTheme="minorHAnsi"/>
              </w:rPr>
            </w:pPr>
            <w:r w:rsidRPr="00B557CB">
              <w:t>$5,260</w:t>
            </w:r>
          </w:p>
        </w:tc>
      </w:tr>
      <w:tr w:rsidR="003A1551" w:rsidRPr="00F31CCF" w14:paraId="00AFC1E6" w14:textId="77777777" w:rsidTr="00FC4391">
        <w:trPr>
          <w:trHeight w:val="300"/>
        </w:trPr>
        <w:tc>
          <w:tcPr>
            <w:tcW w:w="960" w:type="dxa"/>
            <w:tcBorders>
              <w:top w:val="nil"/>
              <w:left w:val="single" w:sz="8" w:space="0" w:color="auto"/>
              <w:bottom w:val="single" w:sz="4" w:space="0" w:color="auto"/>
              <w:right w:val="single" w:sz="4" w:space="0" w:color="auto"/>
            </w:tcBorders>
            <w:shd w:val="clear" w:color="auto" w:fill="auto"/>
            <w:noWrap/>
            <w:vAlign w:val="center"/>
          </w:tcPr>
          <w:p w14:paraId="7C7C2BB7" w14:textId="43D1811C" w:rsidR="003A1551" w:rsidRPr="006123EF" w:rsidRDefault="003A1551" w:rsidP="0053216E">
            <w:pPr>
              <w:pStyle w:val="TableBody"/>
            </w:pPr>
            <w:r w:rsidRPr="006123EF">
              <w:t>24</w:t>
            </w:r>
          </w:p>
        </w:tc>
        <w:tc>
          <w:tcPr>
            <w:tcW w:w="4133" w:type="dxa"/>
            <w:tcBorders>
              <w:top w:val="nil"/>
              <w:left w:val="nil"/>
              <w:bottom w:val="single" w:sz="4" w:space="0" w:color="auto"/>
              <w:right w:val="single" w:sz="4" w:space="0" w:color="auto"/>
            </w:tcBorders>
            <w:shd w:val="clear" w:color="auto" w:fill="auto"/>
            <w:vAlign w:val="center"/>
          </w:tcPr>
          <w:p w14:paraId="42A5F9ED" w14:textId="5752FAD8" w:rsidR="003A1551" w:rsidRPr="006123EF" w:rsidRDefault="003A1551" w:rsidP="0053216E">
            <w:pPr>
              <w:pStyle w:val="TableBody"/>
            </w:pPr>
            <w:r w:rsidRPr="006123EF">
              <w:t>Telstra Corporation Ltd</w:t>
            </w:r>
          </w:p>
        </w:tc>
        <w:tc>
          <w:tcPr>
            <w:tcW w:w="1985" w:type="dxa"/>
            <w:tcBorders>
              <w:top w:val="nil"/>
              <w:left w:val="nil"/>
              <w:bottom w:val="single" w:sz="4" w:space="0" w:color="auto"/>
              <w:right w:val="single" w:sz="4" w:space="0" w:color="auto"/>
            </w:tcBorders>
            <w:shd w:val="clear" w:color="auto" w:fill="auto"/>
            <w:noWrap/>
            <w:vAlign w:val="center"/>
          </w:tcPr>
          <w:p w14:paraId="7471C90B" w14:textId="4D04525A" w:rsidR="003A1551" w:rsidRPr="001A63F3" w:rsidRDefault="003A1551" w:rsidP="0053216E">
            <w:pPr>
              <w:pStyle w:val="TableBody"/>
              <w:jc w:val="right"/>
              <w:rPr>
                <w:rFonts w:asciiTheme="minorHAnsi" w:hAnsiTheme="minorHAnsi"/>
              </w:rPr>
            </w:pPr>
            <w:r w:rsidRPr="00BE1A47">
              <w:t>64.7735623922%</w:t>
            </w:r>
          </w:p>
        </w:tc>
        <w:tc>
          <w:tcPr>
            <w:tcW w:w="1984" w:type="dxa"/>
            <w:tcBorders>
              <w:top w:val="nil"/>
              <w:left w:val="nil"/>
              <w:bottom w:val="single" w:sz="4" w:space="0" w:color="auto"/>
              <w:right w:val="single" w:sz="8" w:space="0" w:color="auto"/>
            </w:tcBorders>
            <w:shd w:val="clear" w:color="auto" w:fill="auto"/>
            <w:noWrap/>
            <w:vAlign w:val="center"/>
          </w:tcPr>
          <w:p w14:paraId="4C3AA3EE" w14:textId="5164D665" w:rsidR="003A1551" w:rsidRPr="00B557CB" w:rsidRDefault="003A1551" w:rsidP="0053216E">
            <w:pPr>
              <w:pStyle w:val="TableBody"/>
              <w:jc w:val="right"/>
              <w:rPr>
                <w:rFonts w:asciiTheme="minorHAnsi" w:hAnsiTheme="minorHAnsi"/>
              </w:rPr>
            </w:pPr>
            <w:r w:rsidRPr="00B557CB">
              <w:t>$20,518,777</w:t>
            </w:r>
          </w:p>
        </w:tc>
      </w:tr>
      <w:tr w:rsidR="003A1551" w:rsidRPr="00F31CCF" w14:paraId="10B8041D" w14:textId="77777777" w:rsidTr="00FC4391">
        <w:trPr>
          <w:trHeight w:val="300"/>
        </w:trPr>
        <w:tc>
          <w:tcPr>
            <w:tcW w:w="960" w:type="dxa"/>
            <w:tcBorders>
              <w:top w:val="nil"/>
              <w:left w:val="single" w:sz="8" w:space="0" w:color="auto"/>
              <w:bottom w:val="single" w:sz="4" w:space="0" w:color="auto"/>
              <w:right w:val="single" w:sz="4" w:space="0" w:color="auto"/>
            </w:tcBorders>
            <w:shd w:val="clear" w:color="auto" w:fill="auto"/>
            <w:noWrap/>
            <w:vAlign w:val="center"/>
          </w:tcPr>
          <w:p w14:paraId="71AE3F43" w14:textId="1341B0EC" w:rsidR="003A1551" w:rsidRPr="006123EF" w:rsidRDefault="003A1551" w:rsidP="0053216E">
            <w:pPr>
              <w:pStyle w:val="TableBody"/>
            </w:pPr>
            <w:r w:rsidRPr="006123EF">
              <w:t>25</w:t>
            </w:r>
          </w:p>
        </w:tc>
        <w:tc>
          <w:tcPr>
            <w:tcW w:w="4133" w:type="dxa"/>
            <w:tcBorders>
              <w:top w:val="nil"/>
              <w:left w:val="nil"/>
              <w:bottom w:val="single" w:sz="4" w:space="0" w:color="auto"/>
              <w:right w:val="single" w:sz="4" w:space="0" w:color="auto"/>
            </w:tcBorders>
            <w:shd w:val="clear" w:color="auto" w:fill="auto"/>
            <w:vAlign w:val="center"/>
          </w:tcPr>
          <w:p w14:paraId="44BDDBB6" w14:textId="5A2CF8F7" w:rsidR="003A1551" w:rsidRPr="006123EF" w:rsidRDefault="003A1551" w:rsidP="0053216E">
            <w:pPr>
              <w:pStyle w:val="TableBody"/>
            </w:pPr>
            <w:r w:rsidRPr="006123EF">
              <w:t>Telstra Multimedia Pty Ltd</w:t>
            </w:r>
          </w:p>
        </w:tc>
        <w:tc>
          <w:tcPr>
            <w:tcW w:w="1985" w:type="dxa"/>
            <w:tcBorders>
              <w:top w:val="nil"/>
              <w:left w:val="nil"/>
              <w:bottom w:val="single" w:sz="4" w:space="0" w:color="auto"/>
              <w:right w:val="single" w:sz="4" w:space="0" w:color="auto"/>
            </w:tcBorders>
            <w:shd w:val="clear" w:color="auto" w:fill="auto"/>
            <w:noWrap/>
            <w:vAlign w:val="center"/>
          </w:tcPr>
          <w:p w14:paraId="42A2A990" w14:textId="3422B0E8" w:rsidR="003A1551" w:rsidRPr="001A63F3" w:rsidRDefault="003A1551" w:rsidP="0053216E">
            <w:pPr>
              <w:pStyle w:val="TableBody"/>
              <w:jc w:val="right"/>
              <w:rPr>
                <w:rFonts w:asciiTheme="minorHAnsi" w:hAnsiTheme="minorHAnsi"/>
              </w:rPr>
            </w:pPr>
            <w:r w:rsidRPr="00BE1A47">
              <w:t>0.3811724009%</w:t>
            </w:r>
          </w:p>
        </w:tc>
        <w:tc>
          <w:tcPr>
            <w:tcW w:w="1984" w:type="dxa"/>
            <w:tcBorders>
              <w:top w:val="nil"/>
              <w:left w:val="nil"/>
              <w:bottom w:val="single" w:sz="4" w:space="0" w:color="auto"/>
              <w:right w:val="single" w:sz="8" w:space="0" w:color="auto"/>
            </w:tcBorders>
            <w:shd w:val="clear" w:color="auto" w:fill="auto"/>
            <w:noWrap/>
            <w:vAlign w:val="center"/>
          </w:tcPr>
          <w:p w14:paraId="754FC7FC" w14:textId="1E56D6AB" w:rsidR="003A1551" w:rsidRPr="00B557CB" w:rsidRDefault="003A1551" w:rsidP="0053216E">
            <w:pPr>
              <w:pStyle w:val="TableBody"/>
              <w:jc w:val="right"/>
              <w:rPr>
                <w:rFonts w:asciiTheme="minorHAnsi" w:hAnsiTheme="minorHAnsi"/>
              </w:rPr>
            </w:pPr>
            <w:r w:rsidRPr="00B557CB">
              <w:t>$120,747</w:t>
            </w:r>
          </w:p>
        </w:tc>
      </w:tr>
      <w:tr w:rsidR="003A1551" w:rsidRPr="00F31CCF" w14:paraId="27013748" w14:textId="77777777" w:rsidTr="00FC4391">
        <w:trPr>
          <w:trHeight w:val="300"/>
        </w:trPr>
        <w:tc>
          <w:tcPr>
            <w:tcW w:w="960" w:type="dxa"/>
            <w:tcBorders>
              <w:top w:val="nil"/>
              <w:left w:val="single" w:sz="8" w:space="0" w:color="auto"/>
              <w:bottom w:val="single" w:sz="4" w:space="0" w:color="auto"/>
              <w:right w:val="single" w:sz="4" w:space="0" w:color="auto"/>
            </w:tcBorders>
            <w:shd w:val="clear" w:color="auto" w:fill="auto"/>
            <w:noWrap/>
            <w:vAlign w:val="center"/>
          </w:tcPr>
          <w:p w14:paraId="7E827FDC" w14:textId="5EB7FB59" w:rsidR="003A1551" w:rsidRPr="006123EF" w:rsidRDefault="003A1551" w:rsidP="0053216E">
            <w:pPr>
              <w:pStyle w:val="TableBody"/>
            </w:pPr>
            <w:r w:rsidRPr="006123EF">
              <w:t>26</w:t>
            </w:r>
          </w:p>
        </w:tc>
        <w:tc>
          <w:tcPr>
            <w:tcW w:w="4133" w:type="dxa"/>
            <w:tcBorders>
              <w:top w:val="nil"/>
              <w:left w:val="nil"/>
              <w:bottom w:val="single" w:sz="4" w:space="0" w:color="auto"/>
              <w:right w:val="single" w:sz="4" w:space="0" w:color="auto"/>
            </w:tcBorders>
            <w:shd w:val="clear" w:color="auto" w:fill="auto"/>
            <w:vAlign w:val="center"/>
          </w:tcPr>
          <w:p w14:paraId="6F700505" w14:textId="53327B58" w:rsidR="003A1551" w:rsidRPr="006123EF" w:rsidRDefault="003A1551" w:rsidP="0053216E">
            <w:pPr>
              <w:pStyle w:val="TableBody"/>
            </w:pPr>
            <w:proofErr w:type="spellStart"/>
            <w:r w:rsidRPr="006123EF">
              <w:t>Uecomm</w:t>
            </w:r>
            <w:proofErr w:type="spellEnd"/>
            <w:r w:rsidRPr="006123EF">
              <w:t xml:space="preserve"> Operations Pty Ltd</w:t>
            </w:r>
          </w:p>
        </w:tc>
        <w:tc>
          <w:tcPr>
            <w:tcW w:w="1985" w:type="dxa"/>
            <w:tcBorders>
              <w:top w:val="nil"/>
              <w:left w:val="nil"/>
              <w:bottom w:val="single" w:sz="4" w:space="0" w:color="auto"/>
              <w:right w:val="single" w:sz="4" w:space="0" w:color="auto"/>
            </w:tcBorders>
            <w:shd w:val="clear" w:color="auto" w:fill="auto"/>
            <w:noWrap/>
            <w:vAlign w:val="center"/>
          </w:tcPr>
          <w:p w14:paraId="377D7273" w14:textId="676893A8" w:rsidR="003A1551" w:rsidRPr="001A63F3" w:rsidRDefault="003A1551" w:rsidP="0053216E">
            <w:pPr>
              <w:pStyle w:val="TableBody"/>
              <w:jc w:val="right"/>
              <w:rPr>
                <w:rFonts w:asciiTheme="minorHAnsi" w:hAnsiTheme="minorHAnsi"/>
              </w:rPr>
            </w:pPr>
            <w:r w:rsidRPr="00BE1A47">
              <w:t>0.2722726400%</w:t>
            </w:r>
          </w:p>
        </w:tc>
        <w:tc>
          <w:tcPr>
            <w:tcW w:w="1984" w:type="dxa"/>
            <w:tcBorders>
              <w:top w:val="nil"/>
              <w:left w:val="nil"/>
              <w:bottom w:val="single" w:sz="4" w:space="0" w:color="auto"/>
              <w:right w:val="single" w:sz="8" w:space="0" w:color="auto"/>
            </w:tcBorders>
            <w:shd w:val="clear" w:color="auto" w:fill="auto"/>
            <w:noWrap/>
            <w:vAlign w:val="center"/>
          </w:tcPr>
          <w:p w14:paraId="629C7354" w14:textId="43FD84AE" w:rsidR="003A1551" w:rsidRPr="00B557CB" w:rsidRDefault="003A1551" w:rsidP="0053216E">
            <w:pPr>
              <w:pStyle w:val="TableBody"/>
              <w:jc w:val="right"/>
              <w:rPr>
                <w:rFonts w:asciiTheme="minorHAnsi" w:hAnsiTheme="minorHAnsi"/>
              </w:rPr>
            </w:pPr>
            <w:r w:rsidRPr="00B557CB">
              <w:t>$86,250</w:t>
            </w:r>
          </w:p>
        </w:tc>
      </w:tr>
      <w:tr w:rsidR="003A1551" w:rsidRPr="00F31CCF" w14:paraId="5096D0E2" w14:textId="77777777" w:rsidTr="00FC4391">
        <w:trPr>
          <w:trHeight w:val="300"/>
        </w:trPr>
        <w:tc>
          <w:tcPr>
            <w:tcW w:w="960" w:type="dxa"/>
            <w:tcBorders>
              <w:top w:val="nil"/>
              <w:left w:val="single" w:sz="8" w:space="0" w:color="auto"/>
              <w:bottom w:val="single" w:sz="4" w:space="0" w:color="auto"/>
              <w:right w:val="single" w:sz="4" w:space="0" w:color="auto"/>
            </w:tcBorders>
            <w:shd w:val="clear" w:color="auto" w:fill="auto"/>
            <w:noWrap/>
            <w:vAlign w:val="center"/>
          </w:tcPr>
          <w:p w14:paraId="74B28FDB" w14:textId="29DD43B4" w:rsidR="003A1551" w:rsidRPr="006123EF" w:rsidRDefault="003A1551" w:rsidP="0053216E">
            <w:pPr>
              <w:pStyle w:val="TableBody"/>
            </w:pPr>
            <w:r w:rsidRPr="006123EF">
              <w:t>27</w:t>
            </w:r>
          </w:p>
        </w:tc>
        <w:tc>
          <w:tcPr>
            <w:tcW w:w="4133" w:type="dxa"/>
            <w:tcBorders>
              <w:top w:val="nil"/>
              <w:left w:val="nil"/>
              <w:bottom w:val="single" w:sz="4" w:space="0" w:color="auto"/>
              <w:right w:val="single" w:sz="4" w:space="0" w:color="auto"/>
            </w:tcBorders>
            <w:shd w:val="clear" w:color="auto" w:fill="auto"/>
            <w:vAlign w:val="center"/>
          </w:tcPr>
          <w:p w14:paraId="0145C870" w14:textId="287B085D" w:rsidR="003A1551" w:rsidRPr="006123EF" w:rsidRDefault="003A1551" w:rsidP="0053216E">
            <w:pPr>
              <w:pStyle w:val="TableBody"/>
            </w:pPr>
            <w:r w:rsidRPr="006123EF">
              <w:t>Victorian Rail Track</w:t>
            </w:r>
          </w:p>
        </w:tc>
        <w:tc>
          <w:tcPr>
            <w:tcW w:w="1985" w:type="dxa"/>
            <w:tcBorders>
              <w:top w:val="nil"/>
              <w:left w:val="nil"/>
              <w:bottom w:val="single" w:sz="4" w:space="0" w:color="auto"/>
              <w:right w:val="single" w:sz="4" w:space="0" w:color="auto"/>
            </w:tcBorders>
            <w:shd w:val="clear" w:color="auto" w:fill="auto"/>
            <w:noWrap/>
            <w:vAlign w:val="center"/>
          </w:tcPr>
          <w:p w14:paraId="6D27182C" w14:textId="32D1EFAA" w:rsidR="003A1551" w:rsidRPr="001A63F3" w:rsidRDefault="003A1551" w:rsidP="0053216E">
            <w:pPr>
              <w:pStyle w:val="TableBody"/>
              <w:jc w:val="right"/>
              <w:rPr>
                <w:rFonts w:asciiTheme="minorHAnsi" w:hAnsiTheme="minorHAnsi"/>
              </w:rPr>
            </w:pPr>
            <w:r w:rsidRPr="00BE1A47">
              <w:t>0.1174240513%</w:t>
            </w:r>
          </w:p>
        </w:tc>
        <w:tc>
          <w:tcPr>
            <w:tcW w:w="1984" w:type="dxa"/>
            <w:tcBorders>
              <w:top w:val="nil"/>
              <w:left w:val="nil"/>
              <w:bottom w:val="single" w:sz="4" w:space="0" w:color="auto"/>
              <w:right w:val="single" w:sz="8" w:space="0" w:color="auto"/>
            </w:tcBorders>
            <w:shd w:val="clear" w:color="auto" w:fill="auto"/>
            <w:noWrap/>
            <w:vAlign w:val="center"/>
          </w:tcPr>
          <w:p w14:paraId="0FD745A0" w14:textId="488DF9A2" w:rsidR="003A1551" w:rsidRPr="00B557CB" w:rsidRDefault="003A1551" w:rsidP="0053216E">
            <w:pPr>
              <w:pStyle w:val="TableBody"/>
              <w:jc w:val="right"/>
              <w:rPr>
                <w:rFonts w:asciiTheme="minorHAnsi" w:hAnsiTheme="minorHAnsi"/>
              </w:rPr>
            </w:pPr>
            <w:r w:rsidRPr="00B557CB">
              <w:t>$37,197</w:t>
            </w:r>
          </w:p>
        </w:tc>
      </w:tr>
      <w:tr w:rsidR="003A1551" w:rsidRPr="00F31CCF" w14:paraId="550746BF" w14:textId="77777777" w:rsidTr="00FC4391">
        <w:trPr>
          <w:trHeight w:val="300"/>
        </w:trPr>
        <w:tc>
          <w:tcPr>
            <w:tcW w:w="960" w:type="dxa"/>
            <w:tcBorders>
              <w:top w:val="nil"/>
              <w:left w:val="single" w:sz="8" w:space="0" w:color="auto"/>
              <w:bottom w:val="single" w:sz="4" w:space="0" w:color="auto"/>
              <w:right w:val="single" w:sz="4" w:space="0" w:color="auto"/>
            </w:tcBorders>
            <w:shd w:val="clear" w:color="auto" w:fill="auto"/>
            <w:noWrap/>
            <w:vAlign w:val="center"/>
          </w:tcPr>
          <w:p w14:paraId="44D84C10" w14:textId="19768B1B" w:rsidR="003A1551" w:rsidRPr="006123EF" w:rsidRDefault="003A1551" w:rsidP="0053216E">
            <w:pPr>
              <w:pStyle w:val="TableBody"/>
            </w:pPr>
            <w:r w:rsidRPr="006123EF">
              <w:t>28</w:t>
            </w:r>
          </w:p>
        </w:tc>
        <w:tc>
          <w:tcPr>
            <w:tcW w:w="4133" w:type="dxa"/>
            <w:tcBorders>
              <w:top w:val="nil"/>
              <w:left w:val="nil"/>
              <w:bottom w:val="single" w:sz="4" w:space="0" w:color="auto"/>
              <w:right w:val="single" w:sz="4" w:space="0" w:color="auto"/>
            </w:tcBorders>
            <w:shd w:val="clear" w:color="auto" w:fill="auto"/>
            <w:vAlign w:val="center"/>
          </w:tcPr>
          <w:p w14:paraId="38EAD31C" w14:textId="73C34314" w:rsidR="003A1551" w:rsidRPr="006123EF" w:rsidRDefault="003A1551" w:rsidP="0053216E">
            <w:pPr>
              <w:pStyle w:val="TableBody"/>
            </w:pPr>
            <w:proofErr w:type="spellStart"/>
            <w:r w:rsidRPr="006123EF">
              <w:t>Vividwireless</w:t>
            </w:r>
            <w:proofErr w:type="spellEnd"/>
            <w:r w:rsidRPr="006123EF">
              <w:t xml:space="preserve"> Pty Ltd</w:t>
            </w:r>
          </w:p>
        </w:tc>
        <w:tc>
          <w:tcPr>
            <w:tcW w:w="1985" w:type="dxa"/>
            <w:tcBorders>
              <w:top w:val="nil"/>
              <w:left w:val="nil"/>
              <w:bottom w:val="single" w:sz="4" w:space="0" w:color="auto"/>
              <w:right w:val="single" w:sz="4" w:space="0" w:color="auto"/>
            </w:tcBorders>
            <w:shd w:val="clear" w:color="auto" w:fill="auto"/>
            <w:noWrap/>
            <w:vAlign w:val="center"/>
          </w:tcPr>
          <w:p w14:paraId="23B1B616" w14:textId="5A3FB491" w:rsidR="003A1551" w:rsidRPr="001A63F3" w:rsidRDefault="003A1551" w:rsidP="0053216E">
            <w:pPr>
              <w:pStyle w:val="TableBody"/>
              <w:jc w:val="right"/>
              <w:rPr>
                <w:rFonts w:asciiTheme="minorHAnsi" w:hAnsiTheme="minorHAnsi"/>
              </w:rPr>
            </w:pPr>
            <w:r w:rsidRPr="00BE1A47">
              <w:t>0.1038719569%</w:t>
            </w:r>
          </w:p>
        </w:tc>
        <w:tc>
          <w:tcPr>
            <w:tcW w:w="1984" w:type="dxa"/>
            <w:tcBorders>
              <w:top w:val="nil"/>
              <w:left w:val="nil"/>
              <w:bottom w:val="single" w:sz="4" w:space="0" w:color="auto"/>
              <w:right w:val="single" w:sz="8" w:space="0" w:color="auto"/>
            </w:tcBorders>
            <w:shd w:val="clear" w:color="auto" w:fill="auto"/>
            <w:noWrap/>
            <w:vAlign w:val="center"/>
          </w:tcPr>
          <w:p w14:paraId="73A32675" w14:textId="0CD654C4" w:rsidR="003A1551" w:rsidRPr="00B557CB" w:rsidRDefault="003A1551" w:rsidP="0053216E">
            <w:pPr>
              <w:pStyle w:val="TableBody"/>
              <w:jc w:val="right"/>
              <w:rPr>
                <w:rFonts w:asciiTheme="minorHAnsi" w:hAnsiTheme="minorHAnsi"/>
              </w:rPr>
            </w:pPr>
            <w:r w:rsidRPr="00B557CB">
              <w:t>$32,904</w:t>
            </w:r>
          </w:p>
        </w:tc>
      </w:tr>
      <w:tr w:rsidR="003A1551" w:rsidRPr="00F31CCF" w14:paraId="2D090A1C" w14:textId="77777777" w:rsidTr="00FC4391">
        <w:trPr>
          <w:trHeight w:val="300"/>
        </w:trPr>
        <w:tc>
          <w:tcPr>
            <w:tcW w:w="960" w:type="dxa"/>
            <w:tcBorders>
              <w:top w:val="nil"/>
              <w:left w:val="single" w:sz="8" w:space="0" w:color="auto"/>
              <w:bottom w:val="single" w:sz="4" w:space="0" w:color="auto"/>
              <w:right w:val="single" w:sz="4" w:space="0" w:color="auto"/>
            </w:tcBorders>
            <w:shd w:val="clear" w:color="auto" w:fill="auto"/>
            <w:noWrap/>
            <w:vAlign w:val="center"/>
          </w:tcPr>
          <w:p w14:paraId="1331EB20" w14:textId="561F7627" w:rsidR="003A1551" w:rsidRPr="006123EF" w:rsidRDefault="003A1551" w:rsidP="0053216E">
            <w:pPr>
              <w:pStyle w:val="TableBody"/>
            </w:pPr>
            <w:r w:rsidRPr="006123EF">
              <w:t>29</w:t>
            </w:r>
          </w:p>
        </w:tc>
        <w:tc>
          <w:tcPr>
            <w:tcW w:w="4133" w:type="dxa"/>
            <w:tcBorders>
              <w:top w:val="nil"/>
              <w:left w:val="nil"/>
              <w:bottom w:val="single" w:sz="4" w:space="0" w:color="auto"/>
              <w:right w:val="single" w:sz="4" w:space="0" w:color="auto"/>
            </w:tcBorders>
            <w:shd w:val="clear" w:color="auto" w:fill="auto"/>
            <w:vAlign w:val="center"/>
          </w:tcPr>
          <w:p w14:paraId="7D15E704" w14:textId="1004AAFC" w:rsidR="003A1551" w:rsidRPr="006123EF" w:rsidRDefault="003A1551" w:rsidP="0053216E">
            <w:pPr>
              <w:pStyle w:val="TableBody"/>
            </w:pPr>
            <w:proofErr w:type="spellStart"/>
            <w:r w:rsidRPr="006123EF">
              <w:t>Vocus</w:t>
            </w:r>
            <w:proofErr w:type="spellEnd"/>
            <w:r w:rsidRPr="006123EF">
              <w:t xml:space="preserve"> Fibre Pty Ltd</w:t>
            </w:r>
          </w:p>
        </w:tc>
        <w:tc>
          <w:tcPr>
            <w:tcW w:w="1985" w:type="dxa"/>
            <w:tcBorders>
              <w:top w:val="nil"/>
              <w:left w:val="nil"/>
              <w:bottom w:val="single" w:sz="4" w:space="0" w:color="auto"/>
              <w:right w:val="single" w:sz="4" w:space="0" w:color="auto"/>
            </w:tcBorders>
            <w:shd w:val="clear" w:color="auto" w:fill="auto"/>
            <w:noWrap/>
            <w:vAlign w:val="center"/>
          </w:tcPr>
          <w:p w14:paraId="4C4C6DBA" w14:textId="4C4546F2" w:rsidR="003A1551" w:rsidRPr="001A63F3" w:rsidRDefault="003A1551" w:rsidP="0053216E">
            <w:pPr>
              <w:pStyle w:val="TableBody"/>
              <w:jc w:val="right"/>
              <w:rPr>
                <w:rFonts w:asciiTheme="minorHAnsi" w:hAnsiTheme="minorHAnsi"/>
              </w:rPr>
            </w:pPr>
            <w:r w:rsidRPr="00BE1A47">
              <w:t>0.1856248292%</w:t>
            </w:r>
          </w:p>
        </w:tc>
        <w:tc>
          <w:tcPr>
            <w:tcW w:w="1984" w:type="dxa"/>
            <w:tcBorders>
              <w:top w:val="nil"/>
              <w:left w:val="nil"/>
              <w:bottom w:val="single" w:sz="4" w:space="0" w:color="auto"/>
              <w:right w:val="single" w:sz="8" w:space="0" w:color="auto"/>
            </w:tcBorders>
            <w:shd w:val="clear" w:color="auto" w:fill="auto"/>
            <w:noWrap/>
            <w:vAlign w:val="center"/>
          </w:tcPr>
          <w:p w14:paraId="2B1A5A5A" w14:textId="33E328D5" w:rsidR="003A1551" w:rsidRPr="00B557CB" w:rsidRDefault="003A1551" w:rsidP="0053216E">
            <w:pPr>
              <w:pStyle w:val="TableBody"/>
              <w:jc w:val="right"/>
              <w:rPr>
                <w:rFonts w:asciiTheme="minorHAnsi" w:hAnsiTheme="minorHAnsi"/>
              </w:rPr>
            </w:pPr>
            <w:r w:rsidRPr="00B557CB">
              <w:t>$58,802</w:t>
            </w:r>
          </w:p>
        </w:tc>
      </w:tr>
      <w:tr w:rsidR="003A1551" w:rsidRPr="00F31CCF" w14:paraId="3781D4BF" w14:textId="77777777" w:rsidTr="00FC4391">
        <w:trPr>
          <w:trHeight w:val="300"/>
        </w:trPr>
        <w:tc>
          <w:tcPr>
            <w:tcW w:w="960" w:type="dxa"/>
            <w:tcBorders>
              <w:top w:val="nil"/>
              <w:left w:val="single" w:sz="8" w:space="0" w:color="auto"/>
              <w:bottom w:val="single" w:sz="8" w:space="0" w:color="auto"/>
              <w:right w:val="single" w:sz="4" w:space="0" w:color="auto"/>
            </w:tcBorders>
            <w:shd w:val="clear" w:color="auto" w:fill="auto"/>
            <w:noWrap/>
            <w:vAlign w:val="center"/>
          </w:tcPr>
          <w:p w14:paraId="4ED59EBA" w14:textId="23BC64A3" w:rsidR="003A1551" w:rsidRPr="006123EF" w:rsidRDefault="003A1551" w:rsidP="0053216E">
            <w:pPr>
              <w:pStyle w:val="TableBody"/>
            </w:pPr>
            <w:r w:rsidRPr="006123EF">
              <w:t>30</w:t>
            </w:r>
          </w:p>
        </w:tc>
        <w:tc>
          <w:tcPr>
            <w:tcW w:w="4133" w:type="dxa"/>
            <w:tcBorders>
              <w:top w:val="nil"/>
              <w:left w:val="nil"/>
              <w:bottom w:val="single" w:sz="8" w:space="0" w:color="auto"/>
              <w:right w:val="single" w:sz="4" w:space="0" w:color="auto"/>
            </w:tcBorders>
            <w:shd w:val="clear" w:color="auto" w:fill="auto"/>
            <w:vAlign w:val="center"/>
          </w:tcPr>
          <w:p w14:paraId="74371524" w14:textId="0D6D8B2C" w:rsidR="003A1551" w:rsidRPr="006123EF" w:rsidRDefault="003A1551" w:rsidP="0053216E">
            <w:pPr>
              <w:pStyle w:val="TableBody"/>
            </w:pPr>
            <w:r w:rsidRPr="006123EF">
              <w:t>Vodafone Australia Pty Ltd</w:t>
            </w:r>
          </w:p>
        </w:tc>
        <w:tc>
          <w:tcPr>
            <w:tcW w:w="1985" w:type="dxa"/>
            <w:tcBorders>
              <w:top w:val="nil"/>
              <w:left w:val="nil"/>
              <w:bottom w:val="single" w:sz="8" w:space="0" w:color="auto"/>
              <w:right w:val="single" w:sz="4" w:space="0" w:color="auto"/>
            </w:tcBorders>
            <w:shd w:val="clear" w:color="auto" w:fill="auto"/>
            <w:noWrap/>
            <w:vAlign w:val="center"/>
          </w:tcPr>
          <w:p w14:paraId="0033028A" w14:textId="0A7A9918" w:rsidR="003A1551" w:rsidRPr="001A63F3" w:rsidRDefault="003A1551" w:rsidP="0053216E">
            <w:pPr>
              <w:pStyle w:val="TableBody"/>
              <w:jc w:val="right"/>
              <w:rPr>
                <w:rFonts w:asciiTheme="minorHAnsi" w:hAnsiTheme="minorHAnsi"/>
              </w:rPr>
            </w:pPr>
            <w:r w:rsidRPr="00BE1A47">
              <w:t>7.1103710301%</w:t>
            </w:r>
          </w:p>
        </w:tc>
        <w:tc>
          <w:tcPr>
            <w:tcW w:w="1984" w:type="dxa"/>
            <w:tcBorders>
              <w:top w:val="nil"/>
              <w:left w:val="nil"/>
              <w:bottom w:val="single" w:sz="8" w:space="0" w:color="auto"/>
              <w:right w:val="single" w:sz="8" w:space="0" w:color="auto"/>
            </w:tcBorders>
            <w:shd w:val="clear" w:color="auto" w:fill="auto"/>
            <w:noWrap/>
            <w:vAlign w:val="center"/>
          </w:tcPr>
          <w:p w14:paraId="3FF5105F" w14:textId="6911B3AB" w:rsidR="003A1551" w:rsidRPr="00B557CB" w:rsidRDefault="003A1551" w:rsidP="0053216E">
            <w:pPr>
              <w:pStyle w:val="TableBody"/>
              <w:jc w:val="right"/>
              <w:rPr>
                <w:rFonts w:asciiTheme="minorHAnsi" w:hAnsiTheme="minorHAnsi"/>
              </w:rPr>
            </w:pPr>
            <w:r w:rsidRPr="00B557CB">
              <w:t>$2,252,402</w:t>
            </w:r>
          </w:p>
        </w:tc>
      </w:tr>
      <w:tr w:rsidR="00E2517F" w:rsidRPr="00F31CCF" w14:paraId="782656DC" w14:textId="77777777" w:rsidTr="00695D10">
        <w:trPr>
          <w:trHeight w:val="315"/>
        </w:trPr>
        <w:tc>
          <w:tcPr>
            <w:tcW w:w="5093" w:type="dxa"/>
            <w:gridSpan w:val="2"/>
            <w:tcBorders>
              <w:top w:val="single" w:sz="4" w:space="0" w:color="auto"/>
              <w:left w:val="single" w:sz="8" w:space="0" w:color="auto"/>
              <w:bottom w:val="single" w:sz="8" w:space="0" w:color="auto"/>
              <w:right w:val="single" w:sz="4" w:space="0" w:color="000000"/>
            </w:tcBorders>
            <w:shd w:val="clear" w:color="auto" w:fill="auto"/>
            <w:vAlign w:val="center"/>
            <w:hideMark/>
          </w:tcPr>
          <w:p w14:paraId="56448136" w14:textId="77777777" w:rsidR="00E2517F" w:rsidRPr="00654133" w:rsidRDefault="00E2517F" w:rsidP="0053216E">
            <w:pPr>
              <w:pStyle w:val="TableBody"/>
              <w:rPr>
                <w:b/>
                <w:bCs/>
                <w:szCs w:val="20"/>
              </w:rPr>
            </w:pPr>
            <w:r w:rsidRPr="00654133">
              <w:rPr>
                <w:b/>
                <w:bCs/>
                <w:szCs w:val="20"/>
              </w:rPr>
              <w:t>Total</w:t>
            </w:r>
          </w:p>
        </w:tc>
        <w:tc>
          <w:tcPr>
            <w:tcW w:w="1985" w:type="dxa"/>
            <w:tcBorders>
              <w:top w:val="nil"/>
              <w:left w:val="nil"/>
              <w:bottom w:val="single" w:sz="8" w:space="0" w:color="auto"/>
              <w:right w:val="single" w:sz="4" w:space="0" w:color="auto"/>
            </w:tcBorders>
            <w:shd w:val="clear" w:color="auto" w:fill="auto"/>
            <w:noWrap/>
            <w:vAlign w:val="center"/>
            <w:hideMark/>
          </w:tcPr>
          <w:p w14:paraId="1D1DCF0F" w14:textId="77777777" w:rsidR="00E2517F" w:rsidRPr="00654133" w:rsidRDefault="00E2517F" w:rsidP="0053216E">
            <w:pPr>
              <w:pStyle w:val="TableBody"/>
              <w:jc w:val="right"/>
              <w:rPr>
                <w:b/>
                <w:bCs/>
                <w:szCs w:val="20"/>
              </w:rPr>
            </w:pPr>
            <w:r w:rsidRPr="00654133">
              <w:rPr>
                <w:b/>
                <w:bCs/>
                <w:szCs w:val="20"/>
              </w:rPr>
              <w:t>100.0000000000%</w:t>
            </w:r>
          </w:p>
        </w:tc>
        <w:tc>
          <w:tcPr>
            <w:tcW w:w="1984" w:type="dxa"/>
            <w:tcBorders>
              <w:top w:val="nil"/>
              <w:left w:val="nil"/>
              <w:bottom w:val="single" w:sz="8" w:space="0" w:color="auto"/>
              <w:right w:val="single" w:sz="8" w:space="0" w:color="auto"/>
            </w:tcBorders>
            <w:shd w:val="clear" w:color="auto" w:fill="auto"/>
            <w:noWrap/>
            <w:vAlign w:val="center"/>
            <w:hideMark/>
          </w:tcPr>
          <w:p w14:paraId="1B9D2F25" w14:textId="2951E835" w:rsidR="00E2517F" w:rsidRPr="00654133" w:rsidRDefault="00E2517F" w:rsidP="0053216E">
            <w:pPr>
              <w:pStyle w:val="TableBody"/>
              <w:jc w:val="right"/>
              <w:rPr>
                <w:b/>
                <w:bCs/>
                <w:szCs w:val="20"/>
              </w:rPr>
            </w:pPr>
            <w:r w:rsidRPr="00654133">
              <w:rPr>
                <w:b/>
                <w:bCs/>
                <w:szCs w:val="20"/>
              </w:rPr>
              <w:t>$31,677,703</w:t>
            </w:r>
          </w:p>
        </w:tc>
      </w:tr>
    </w:tbl>
    <w:p w14:paraId="05C009E7" w14:textId="0CEA4080" w:rsidR="00E2517F" w:rsidRDefault="00E2517F">
      <w:pPr>
        <w:spacing w:after="0" w:line="240" w:lineRule="auto"/>
        <w:rPr>
          <w:rFonts w:cs="Arial"/>
          <w:bCs/>
          <w:color w:val="323232"/>
          <w:kern w:val="32"/>
          <w:sz w:val="53"/>
          <w:szCs w:val="32"/>
        </w:rPr>
      </w:pPr>
    </w:p>
    <w:p w14:paraId="6FCBF540" w14:textId="77777777" w:rsidR="00E21B13" w:rsidRDefault="00E21B13">
      <w:pPr>
        <w:spacing w:after="0" w:line="240" w:lineRule="auto"/>
        <w:rPr>
          <w:rFonts w:cs="Arial"/>
          <w:bCs/>
          <w:color w:val="323232"/>
          <w:kern w:val="32"/>
          <w:sz w:val="53"/>
          <w:szCs w:val="32"/>
        </w:rPr>
      </w:pPr>
      <w:r>
        <w:br w:type="page"/>
      </w:r>
    </w:p>
    <w:p w14:paraId="6CA0C5FE" w14:textId="77777777" w:rsidR="00E21B13" w:rsidRPr="00031A40" w:rsidRDefault="00E21B13" w:rsidP="00CD101D">
      <w:pPr>
        <w:pStyle w:val="Heading1"/>
      </w:pPr>
      <w:bookmarkStart w:id="214" w:name="_Toc532543444"/>
      <w:bookmarkStart w:id="215" w:name="_Toc483221515"/>
      <w:r w:rsidRPr="00031A40">
        <w:t>Attachment D</w:t>
      </w:r>
      <w:bookmarkEnd w:id="214"/>
    </w:p>
    <w:p w14:paraId="4FD72FC6" w14:textId="5DB03FC6" w:rsidR="00E21B13" w:rsidRPr="00CD101D" w:rsidRDefault="00E21B13" w:rsidP="00CD101D">
      <w:pPr>
        <w:pStyle w:val="Heading2"/>
        <w:ind w:right="-1260"/>
        <w:rPr>
          <w:b w:val="0"/>
          <w:color w:val="404040" w:themeColor="text1" w:themeTint="BF"/>
          <w:sz w:val="53"/>
          <w:szCs w:val="53"/>
        </w:rPr>
      </w:pPr>
      <w:bookmarkStart w:id="216" w:name="_Toc532543445"/>
      <w:r w:rsidRPr="00CD101D">
        <w:rPr>
          <w:b w:val="0"/>
          <w:color w:val="404040" w:themeColor="text1" w:themeTint="BF"/>
          <w:sz w:val="53"/>
          <w:szCs w:val="53"/>
        </w:rPr>
        <w:t>Summary of issues raised in industry consultation</w:t>
      </w:r>
      <w:bookmarkEnd w:id="215"/>
      <w:r w:rsidR="006123EF">
        <w:rPr>
          <w:b w:val="0"/>
          <w:color w:val="404040" w:themeColor="text1" w:themeTint="BF"/>
          <w:sz w:val="53"/>
          <w:szCs w:val="53"/>
        </w:rPr>
        <w:t>—</w:t>
      </w:r>
      <w:r w:rsidRPr="00CD101D">
        <w:rPr>
          <w:b w:val="0"/>
          <w:color w:val="404040" w:themeColor="text1" w:themeTint="BF"/>
          <w:sz w:val="53"/>
          <w:szCs w:val="53"/>
        </w:rPr>
        <w:t>ACLC 2017</w:t>
      </w:r>
      <w:r w:rsidR="006123EF">
        <w:rPr>
          <w:b w:val="0"/>
          <w:color w:val="404040" w:themeColor="text1" w:themeTint="BF"/>
          <w:sz w:val="53"/>
          <w:szCs w:val="53"/>
        </w:rPr>
        <w:t>–</w:t>
      </w:r>
      <w:r w:rsidRPr="00CD101D">
        <w:rPr>
          <w:b w:val="0"/>
          <w:color w:val="404040" w:themeColor="text1" w:themeTint="BF"/>
          <w:sz w:val="53"/>
          <w:szCs w:val="53"/>
        </w:rPr>
        <w:t>18</w:t>
      </w:r>
      <w:bookmarkEnd w:id="216"/>
    </w:p>
    <w:tbl>
      <w:tblPr>
        <w:tblW w:w="10391" w:type="dxa"/>
        <w:tblInd w:w="-299" w:type="dxa"/>
        <w:tblBorders>
          <w:left w:val="single" w:sz="12" w:space="0" w:color="auto"/>
          <w:bottom w:val="single" w:sz="4" w:space="0" w:color="auto"/>
          <w:right w:val="single" w:sz="12" w:space="0" w:color="auto"/>
          <w:insideH w:val="single" w:sz="4" w:space="0" w:color="auto"/>
          <w:insideV w:val="single" w:sz="4" w:space="0" w:color="auto"/>
        </w:tblBorders>
        <w:tblLayout w:type="fixed"/>
        <w:tblCellMar>
          <w:top w:w="108" w:type="dxa"/>
          <w:bottom w:w="108" w:type="dxa"/>
        </w:tblCellMar>
        <w:tblLook w:val="01E0" w:firstRow="1" w:lastRow="1" w:firstColumn="1" w:lastColumn="1" w:noHBand="0" w:noVBand="0"/>
      </w:tblPr>
      <w:tblGrid>
        <w:gridCol w:w="5146"/>
        <w:gridCol w:w="5245"/>
      </w:tblGrid>
      <w:tr w:rsidR="00E21B13" w:rsidRPr="009C4BEC" w14:paraId="342A1493" w14:textId="77777777" w:rsidTr="0053216E">
        <w:trPr>
          <w:tblHeader/>
        </w:trPr>
        <w:tc>
          <w:tcPr>
            <w:tcW w:w="5146" w:type="dxa"/>
            <w:tcBorders>
              <w:top w:val="nil"/>
              <w:bottom w:val="single" w:sz="4" w:space="0" w:color="auto"/>
            </w:tcBorders>
            <w:shd w:val="clear" w:color="auto" w:fill="000000" w:themeFill="text1"/>
          </w:tcPr>
          <w:p w14:paraId="0D50A7D5" w14:textId="77777777" w:rsidR="00E21B13" w:rsidRPr="009C4BEC" w:rsidRDefault="00E21B13" w:rsidP="0053216E">
            <w:pPr>
              <w:pStyle w:val="TableHeading"/>
              <w:rPr>
                <w:snapToGrid w:val="0"/>
              </w:rPr>
            </w:pPr>
            <w:r w:rsidRPr="009C4BEC">
              <w:rPr>
                <w:snapToGrid w:val="0"/>
              </w:rPr>
              <w:t>Recommendation / issue</w:t>
            </w:r>
          </w:p>
        </w:tc>
        <w:tc>
          <w:tcPr>
            <w:tcW w:w="5245" w:type="dxa"/>
            <w:tcBorders>
              <w:top w:val="nil"/>
              <w:bottom w:val="single" w:sz="4" w:space="0" w:color="auto"/>
            </w:tcBorders>
            <w:shd w:val="clear" w:color="auto" w:fill="000000" w:themeFill="text1"/>
          </w:tcPr>
          <w:p w14:paraId="6A43553E" w14:textId="77777777" w:rsidR="00E21B13" w:rsidRPr="009C4BEC" w:rsidRDefault="00E21B13" w:rsidP="0053216E">
            <w:pPr>
              <w:pStyle w:val="TableHeading"/>
              <w:rPr>
                <w:snapToGrid w:val="0"/>
              </w:rPr>
            </w:pPr>
            <w:r w:rsidRPr="009C4BEC">
              <w:rPr>
                <w:snapToGrid w:val="0"/>
              </w:rPr>
              <w:t>Response</w:t>
            </w:r>
          </w:p>
        </w:tc>
      </w:tr>
      <w:tr w:rsidR="00E21B13" w:rsidRPr="009C4BEC" w14:paraId="140163B3" w14:textId="77777777" w:rsidTr="0053216E">
        <w:trPr>
          <w:trHeight w:val="358"/>
        </w:trPr>
        <w:tc>
          <w:tcPr>
            <w:tcW w:w="10391" w:type="dxa"/>
            <w:gridSpan w:val="2"/>
            <w:tcBorders>
              <w:top w:val="single" w:sz="4" w:space="0" w:color="auto"/>
            </w:tcBorders>
            <w:shd w:val="clear" w:color="auto" w:fill="BFBFBF" w:themeFill="background1" w:themeFillShade="BF"/>
          </w:tcPr>
          <w:p w14:paraId="4D641834" w14:textId="77777777" w:rsidR="00E21B13" w:rsidRPr="0053216E" w:rsidRDefault="00E21B13" w:rsidP="0053216E">
            <w:pPr>
              <w:pStyle w:val="TableBody"/>
              <w:rPr>
                <w:b/>
                <w:snapToGrid w:val="0"/>
              </w:rPr>
            </w:pPr>
            <w:r w:rsidRPr="0053216E">
              <w:rPr>
                <w:b/>
                <w:snapToGrid w:val="0"/>
              </w:rPr>
              <w:t>Communications Alliance Ltd</w:t>
            </w:r>
          </w:p>
        </w:tc>
      </w:tr>
      <w:tr w:rsidR="00E21B13" w:rsidRPr="009C4BEC" w14:paraId="31FB504C" w14:textId="77777777" w:rsidTr="0053216E">
        <w:tc>
          <w:tcPr>
            <w:tcW w:w="5146" w:type="dxa"/>
            <w:noWrap/>
          </w:tcPr>
          <w:p w14:paraId="7275E287" w14:textId="4D8B8504" w:rsidR="00E21B13" w:rsidRPr="009C4BEC" w:rsidRDefault="00E21B13" w:rsidP="0053216E">
            <w:pPr>
              <w:pStyle w:val="TableBody"/>
              <w:rPr>
                <w:color w:val="000000"/>
              </w:rPr>
            </w:pPr>
            <w:r w:rsidRPr="009C4BEC">
              <w:rPr>
                <w:snapToGrid w:val="0"/>
                <w:lang w:val="en-GB"/>
              </w:rPr>
              <w:t xml:space="preserve">That </w:t>
            </w:r>
            <w:r w:rsidRPr="009C4BEC">
              <w:rPr>
                <w:color w:val="000000"/>
              </w:rPr>
              <w:t xml:space="preserve">the current threshold of $25 million set by the </w:t>
            </w:r>
            <w:r w:rsidRPr="009C4BEC">
              <w:t>Australian Communications and Media Authority (Annual Carrier Licence Charge) Direction 2017</w:t>
            </w:r>
            <w:r w:rsidRPr="009C4BEC">
              <w:rPr>
                <w:i/>
              </w:rPr>
              <w:t xml:space="preserve"> </w:t>
            </w:r>
            <w:r w:rsidRPr="009C4BEC">
              <w:t xml:space="preserve">(Direction 2017) </w:t>
            </w:r>
            <w:r w:rsidRPr="009C4BEC">
              <w:rPr>
                <w:color w:val="000000"/>
              </w:rPr>
              <w:t>for charging ACLC appears to be in need of an increase to $30 million. It is almost ten years since the eligible revenue threshold of $25m was introduced and there has been a CPI increase of about 25% which has eroded the objective and in an unintended way widened the revenue boundary for carriers to be captured by the scheme. There has been considerable structural change in the industry over this time and the number of carriers have increased from 194 to 292. An immediate review needs to be undertaken with the bracket creep phenomenon of the threshold.</w:t>
            </w:r>
          </w:p>
        </w:tc>
        <w:tc>
          <w:tcPr>
            <w:tcW w:w="5245" w:type="dxa"/>
          </w:tcPr>
          <w:p w14:paraId="2F80461C" w14:textId="60BAB0C8" w:rsidR="00E21B13" w:rsidRPr="009C4BEC" w:rsidRDefault="00E21B13" w:rsidP="0053216E">
            <w:pPr>
              <w:pStyle w:val="TableBody"/>
              <w:rPr>
                <w:snapToGrid w:val="0"/>
              </w:rPr>
            </w:pPr>
            <w:r w:rsidRPr="009C4BEC">
              <w:rPr>
                <w:snapToGrid w:val="0"/>
              </w:rPr>
              <w:t xml:space="preserve">This would require amendments to the </w:t>
            </w:r>
            <w:r w:rsidRPr="009C4BEC">
              <w:rPr>
                <w:i/>
                <w:snapToGrid w:val="0"/>
              </w:rPr>
              <w:t>Telecommunications (Participating Persons) Determination 2015</w:t>
            </w:r>
            <w:r w:rsidRPr="009C4BEC">
              <w:rPr>
                <w:snapToGrid w:val="0"/>
              </w:rPr>
              <w:t xml:space="preserve">, which provides </w:t>
            </w:r>
            <w:r>
              <w:rPr>
                <w:snapToGrid w:val="0"/>
              </w:rPr>
              <w:t xml:space="preserve">that </w:t>
            </w:r>
            <w:r w:rsidRPr="009C4BEC">
              <w:rPr>
                <w:snapToGrid w:val="0"/>
              </w:rPr>
              <w:t xml:space="preserve">carriers with revenues less than $25 million </w:t>
            </w:r>
            <w:r>
              <w:rPr>
                <w:snapToGrid w:val="0"/>
              </w:rPr>
              <w:t>are non-participating persons if certain conditions are met</w:t>
            </w:r>
            <w:r w:rsidRPr="009C4BEC">
              <w:rPr>
                <w:snapToGrid w:val="0"/>
              </w:rPr>
              <w:t>.</w:t>
            </w:r>
            <w:r>
              <w:t xml:space="preserve"> </w:t>
            </w:r>
            <w:r w:rsidRPr="00995105">
              <w:rPr>
                <w:snapToGrid w:val="0"/>
              </w:rPr>
              <w:t xml:space="preserve">Any changes to the Determination would be a matter for the </w:t>
            </w:r>
            <w:r w:rsidR="005D4F8A">
              <w:rPr>
                <w:snapToGrid w:val="0"/>
              </w:rPr>
              <w:t>Government</w:t>
            </w:r>
            <w:r>
              <w:rPr>
                <w:snapToGrid w:val="0"/>
              </w:rPr>
              <w:t xml:space="preserve">. </w:t>
            </w:r>
          </w:p>
          <w:p w14:paraId="670E7DC1" w14:textId="77777777" w:rsidR="00E21B13" w:rsidRPr="009C4BEC" w:rsidRDefault="00E21B13" w:rsidP="0053216E">
            <w:pPr>
              <w:pStyle w:val="TableBody"/>
              <w:rPr>
                <w:rFonts w:ascii="Times New Roman" w:hAnsi="Times New Roman"/>
                <w:snapToGrid w:val="0"/>
              </w:rPr>
            </w:pPr>
          </w:p>
        </w:tc>
      </w:tr>
      <w:tr w:rsidR="00E21B13" w:rsidRPr="009C4BEC" w14:paraId="3C602F1B" w14:textId="77777777" w:rsidTr="0053216E">
        <w:tc>
          <w:tcPr>
            <w:tcW w:w="5146" w:type="dxa"/>
            <w:tcBorders>
              <w:bottom w:val="single" w:sz="4" w:space="0" w:color="auto"/>
            </w:tcBorders>
            <w:noWrap/>
          </w:tcPr>
          <w:p w14:paraId="11443EC4" w14:textId="77777777" w:rsidR="00E21B13" w:rsidRPr="009C4BEC" w:rsidRDefault="00E21B13" w:rsidP="0053216E">
            <w:pPr>
              <w:pStyle w:val="TableBody"/>
              <w:rPr>
                <w:snapToGrid w:val="0"/>
                <w:lang w:val="en-GB"/>
              </w:rPr>
            </w:pPr>
            <w:r>
              <w:rPr>
                <w:snapToGrid w:val="0"/>
                <w:lang w:val="en-GB"/>
              </w:rPr>
              <w:t>That there are other non-participating service providers (e.g.: Over The Top (OTT) service providers) who challenge the margins of carriers and causes concern and possible instability in the carrier community, but do not contribute to the ACLC.</w:t>
            </w:r>
          </w:p>
        </w:tc>
        <w:tc>
          <w:tcPr>
            <w:tcW w:w="5245" w:type="dxa"/>
            <w:tcBorders>
              <w:bottom w:val="single" w:sz="4" w:space="0" w:color="auto"/>
            </w:tcBorders>
          </w:tcPr>
          <w:p w14:paraId="02289FCD" w14:textId="77777777" w:rsidR="00E21B13" w:rsidRDefault="00E21B13" w:rsidP="0053216E">
            <w:pPr>
              <w:pStyle w:val="TableBody"/>
              <w:rPr>
                <w:snapToGrid w:val="0"/>
              </w:rPr>
            </w:pPr>
            <w:r w:rsidRPr="00995105">
              <w:rPr>
                <w:snapToGrid w:val="0"/>
              </w:rPr>
              <w:t xml:space="preserve">A discussion regarding </w:t>
            </w:r>
            <w:r>
              <w:rPr>
                <w:snapToGrid w:val="0"/>
              </w:rPr>
              <w:t>OTT</w:t>
            </w:r>
            <w:r w:rsidRPr="00995105">
              <w:rPr>
                <w:snapToGrid w:val="0"/>
              </w:rPr>
              <w:t xml:space="preserve"> service providers raises broader policy issues which are being investigated by the Department of Communications and the Arts in consultation</w:t>
            </w:r>
            <w:r>
              <w:rPr>
                <w:snapToGrid w:val="0"/>
              </w:rPr>
              <w:t xml:space="preserve"> with other relevant Portfolios.</w:t>
            </w:r>
          </w:p>
          <w:p w14:paraId="6B873098" w14:textId="77777777" w:rsidR="00E21B13" w:rsidRPr="00474F87" w:rsidRDefault="00E21B13" w:rsidP="0053216E">
            <w:pPr>
              <w:pStyle w:val="TableBody"/>
              <w:rPr>
                <w:snapToGrid w:val="0"/>
                <w:highlight w:val="yellow"/>
              </w:rPr>
            </w:pPr>
          </w:p>
        </w:tc>
      </w:tr>
      <w:tr w:rsidR="00E21B13" w:rsidRPr="009C4BEC" w14:paraId="6ECC3AF9" w14:textId="77777777" w:rsidTr="0053216E">
        <w:trPr>
          <w:trHeight w:val="358"/>
        </w:trPr>
        <w:tc>
          <w:tcPr>
            <w:tcW w:w="10391" w:type="dxa"/>
            <w:gridSpan w:val="2"/>
            <w:tcBorders>
              <w:top w:val="single" w:sz="4" w:space="0" w:color="auto"/>
            </w:tcBorders>
            <w:shd w:val="clear" w:color="auto" w:fill="BFBFBF" w:themeFill="background1" w:themeFillShade="BF"/>
          </w:tcPr>
          <w:p w14:paraId="50FC0157" w14:textId="77777777" w:rsidR="00E21B13" w:rsidRPr="0053216E" w:rsidRDefault="00E21B13" w:rsidP="0053216E">
            <w:pPr>
              <w:pStyle w:val="TableBody"/>
              <w:rPr>
                <w:b/>
                <w:snapToGrid w:val="0"/>
              </w:rPr>
            </w:pPr>
            <w:r w:rsidRPr="0053216E">
              <w:rPr>
                <w:b/>
                <w:snapToGrid w:val="0"/>
              </w:rPr>
              <w:t>Telstra</w:t>
            </w:r>
          </w:p>
        </w:tc>
      </w:tr>
      <w:tr w:rsidR="00E21B13" w:rsidRPr="009C4BEC" w14:paraId="44ABC9B9" w14:textId="77777777" w:rsidTr="0053216E">
        <w:tc>
          <w:tcPr>
            <w:tcW w:w="5146" w:type="dxa"/>
            <w:noWrap/>
          </w:tcPr>
          <w:p w14:paraId="7CC11E6F" w14:textId="7C7ACE7B" w:rsidR="00E21B13" w:rsidRPr="009C4BEC" w:rsidRDefault="00E21B13" w:rsidP="0053216E">
            <w:pPr>
              <w:pStyle w:val="TableBody"/>
              <w:rPr>
                <w:color w:val="000000"/>
              </w:rPr>
            </w:pPr>
            <w:r w:rsidRPr="009C4BEC">
              <w:rPr>
                <w:snapToGrid w:val="0"/>
                <w:lang w:val="en-GB"/>
              </w:rPr>
              <w:t xml:space="preserve">That all carriers should contribute to the ACLC as they operate in the same industry and created the need for the regulation as specified in </w:t>
            </w:r>
            <w:r w:rsidRPr="009C4BEC">
              <w:rPr>
                <w:color w:val="000000"/>
              </w:rPr>
              <w:t xml:space="preserve">the </w:t>
            </w:r>
            <w:r w:rsidRPr="009C4BEC">
              <w:rPr>
                <w:i/>
                <w:color w:val="000000"/>
              </w:rPr>
              <w:t>Australian Cost Recovery Guidelines</w:t>
            </w:r>
            <w:r w:rsidRPr="009C4BEC">
              <w:rPr>
                <w:color w:val="000000"/>
              </w:rPr>
              <w:t>. It is almost seven years since the eligible revenue threshold of $25m was introduced in July 2011 and there has been considerable structural change in the industry over this time. Therefore, it is timely that this threshold, and the general approach to collecting the ACLC, be revisited to check that it continues to be appropriate. A review needs to be undertaken before calculating the charge for the 2018-19 charging period.</w:t>
            </w:r>
          </w:p>
        </w:tc>
        <w:tc>
          <w:tcPr>
            <w:tcW w:w="5245" w:type="dxa"/>
          </w:tcPr>
          <w:p w14:paraId="17B98EE6" w14:textId="77777777" w:rsidR="00E21B13" w:rsidRPr="009C4BEC" w:rsidRDefault="00E21B13" w:rsidP="0053216E">
            <w:pPr>
              <w:pStyle w:val="TableBody"/>
              <w:rPr>
                <w:snapToGrid w:val="0"/>
              </w:rPr>
            </w:pPr>
            <w:r w:rsidRPr="009C4BEC">
              <w:rPr>
                <w:snapToGrid w:val="0"/>
              </w:rPr>
              <w:t>Refer response for item 1 above</w:t>
            </w:r>
          </w:p>
        </w:tc>
      </w:tr>
      <w:tr w:rsidR="00E21B13" w:rsidRPr="009C4BEC" w14:paraId="26CE0B01" w14:textId="77777777" w:rsidTr="0053216E">
        <w:tc>
          <w:tcPr>
            <w:tcW w:w="5146" w:type="dxa"/>
          </w:tcPr>
          <w:p w14:paraId="0D669294" w14:textId="77777777" w:rsidR="00E21B13" w:rsidRPr="009C4BEC" w:rsidRDefault="00E21B13" w:rsidP="0053216E">
            <w:pPr>
              <w:pStyle w:val="TableBody"/>
              <w:rPr>
                <w:snapToGrid w:val="0"/>
                <w:lang w:val="en-GB"/>
              </w:rPr>
            </w:pPr>
            <w:r w:rsidRPr="009C4BEC">
              <w:rPr>
                <w:snapToGrid w:val="0"/>
                <w:lang w:val="en-GB"/>
              </w:rPr>
              <w:t>That an assessment of the efficiency of the costs should be undertaken for all cost components of the ACLC as a matter of priority.</w:t>
            </w:r>
          </w:p>
          <w:p w14:paraId="3311FF79" w14:textId="77777777" w:rsidR="00E21B13" w:rsidRPr="009C4BEC" w:rsidRDefault="00E21B13" w:rsidP="0053216E">
            <w:pPr>
              <w:pStyle w:val="TableBody"/>
              <w:rPr>
                <w:snapToGrid w:val="0"/>
                <w:lang w:val="en-GB"/>
              </w:rPr>
            </w:pPr>
          </w:p>
          <w:p w14:paraId="54829847" w14:textId="77777777" w:rsidR="00E21B13" w:rsidRPr="009C4BEC" w:rsidRDefault="00E21B13" w:rsidP="0053216E">
            <w:pPr>
              <w:pStyle w:val="TableBody"/>
              <w:rPr>
                <w:snapToGrid w:val="0"/>
                <w:lang w:val="en-GB"/>
              </w:rPr>
            </w:pPr>
          </w:p>
        </w:tc>
        <w:tc>
          <w:tcPr>
            <w:tcW w:w="5245" w:type="dxa"/>
          </w:tcPr>
          <w:p w14:paraId="3118B509" w14:textId="77777777" w:rsidR="00E21B13" w:rsidRPr="009C4BEC" w:rsidRDefault="00E21B13" w:rsidP="0053216E">
            <w:pPr>
              <w:pStyle w:val="TableBody"/>
              <w:rPr>
                <w:snapToGrid w:val="0"/>
                <w:lang w:val="en-GB"/>
              </w:rPr>
            </w:pPr>
            <w:r w:rsidRPr="009C4BEC">
              <w:rPr>
                <w:snapToGrid w:val="0"/>
                <w:lang w:val="en-GB"/>
              </w:rPr>
              <w:t xml:space="preserve">As disclosed in the CRIS (see page 10 – section 3.1.2), the ACMA intends to incorporate the outcome of its assessment of the efficiency of the costs in the draft CRIS for the 2018-19 ACLC. </w:t>
            </w:r>
          </w:p>
          <w:p w14:paraId="1BE5DA8F" w14:textId="77777777" w:rsidR="00E21B13" w:rsidRDefault="00E21B13" w:rsidP="0053216E">
            <w:pPr>
              <w:pStyle w:val="TableBody"/>
              <w:rPr>
                <w:snapToGrid w:val="0"/>
                <w:lang w:val="en-GB"/>
              </w:rPr>
            </w:pPr>
            <w:r>
              <w:rPr>
                <w:snapToGrid w:val="0"/>
                <w:lang w:val="en-GB"/>
              </w:rPr>
              <w:t>The efficiency review has been completed by an independent accounting firm. In addition to the benchmarking and analysis undertaken, a detailed review was also completed on the ACMA’s activity based management (ABM) model, which is used to calculate the ACMA component of the ACLC charge.</w:t>
            </w:r>
          </w:p>
          <w:p w14:paraId="5BFE73F1" w14:textId="77777777" w:rsidR="00E21B13" w:rsidRDefault="00E21B13" w:rsidP="0053216E">
            <w:pPr>
              <w:pStyle w:val="TableBody"/>
              <w:rPr>
                <w:snapToGrid w:val="0"/>
                <w:lang w:val="en-GB"/>
              </w:rPr>
            </w:pPr>
            <w:r>
              <w:rPr>
                <w:snapToGrid w:val="0"/>
                <w:lang w:val="en-GB"/>
              </w:rPr>
              <w:t>The detailed review as well as previous Independent Audits, have shown the ABM model is being used appropriately with the cost attribution logic being accurate and sound.</w:t>
            </w:r>
          </w:p>
          <w:p w14:paraId="4BB2D624" w14:textId="77777777" w:rsidR="00E21B13" w:rsidRPr="00A8034F" w:rsidRDefault="00E21B13" w:rsidP="0053216E">
            <w:pPr>
              <w:pStyle w:val="TableBody"/>
              <w:rPr>
                <w:rFonts w:ascii="Times New Roman" w:hAnsi="Times New Roman"/>
                <w:snapToGrid w:val="0"/>
                <w:lang w:val="en-GB"/>
              </w:rPr>
            </w:pPr>
            <w:r w:rsidRPr="00A8034F">
              <w:rPr>
                <w:snapToGrid w:val="0"/>
                <w:lang w:val="en-GB"/>
              </w:rPr>
              <w:t>The other participating organisations will explore possible benchmark</w:t>
            </w:r>
            <w:r>
              <w:rPr>
                <w:snapToGrid w:val="0"/>
                <w:lang w:val="en-GB"/>
              </w:rPr>
              <w:t>ing or similar review</w:t>
            </w:r>
            <w:r w:rsidRPr="00A8034F">
              <w:rPr>
                <w:snapToGrid w:val="0"/>
                <w:lang w:val="en-GB"/>
              </w:rPr>
              <w:t>s as part of an ongoing review process</w:t>
            </w:r>
            <w:r>
              <w:rPr>
                <w:snapToGrid w:val="0"/>
                <w:lang w:val="en-GB"/>
              </w:rPr>
              <w:t>.</w:t>
            </w:r>
          </w:p>
        </w:tc>
      </w:tr>
      <w:tr w:rsidR="00E21B13" w:rsidRPr="009C4BEC" w14:paraId="6D352E69" w14:textId="77777777" w:rsidTr="0053216E">
        <w:tc>
          <w:tcPr>
            <w:tcW w:w="5146" w:type="dxa"/>
            <w:tcBorders>
              <w:bottom w:val="dashSmallGap" w:sz="4" w:space="0" w:color="auto"/>
            </w:tcBorders>
          </w:tcPr>
          <w:p w14:paraId="4988FCBB" w14:textId="77777777" w:rsidR="00E21B13" w:rsidRPr="009C4BEC" w:rsidRDefault="00E21B13" w:rsidP="0053216E">
            <w:pPr>
              <w:pStyle w:val="TableBody"/>
              <w:rPr>
                <w:snapToGrid w:val="0"/>
                <w:lang w:val="en-GB"/>
              </w:rPr>
            </w:pPr>
            <w:r w:rsidRPr="009C4BEC">
              <w:rPr>
                <w:snapToGrid w:val="0"/>
                <w:lang w:val="en-GB"/>
              </w:rPr>
              <w:t>That the future CRISs incorporate the following information to demonstrate increased transparency of costs:</w:t>
            </w:r>
          </w:p>
          <w:p w14:paraId="275463D5" w14:textId="77777777" w:rsidR="00E21B13" w:rsidRPr="009C4BEC" w:rsidRDefault="00E21B13" w:rsidP="0053216E">
            <w:pPr>
              <w:pStyle w:val="TableBody"/>
              <w:rPr>
                <w:snapToGrid w:val="0"/>
                <w:lang w:val="en-GB"/>
              </w:rPr>
            </w:pPr>
            <w:r w:rsidRPr="009C4BEC">
              <w:rPr>
                <w:snapToGrid w:val="0"/>
                <w:lang w:val="en-GB"/>
              </w:rPr>
              <w:t xml:space="preserve">More detail about specific projects and outputs relevant to activities undertaken and comparison of activity costs to assess how they change over time for the components attributable to the ACMA and </w:t>
            </w:r>
            <w:r>
              <w:rPr>
                <w:snapToGrid w:val="0"/>
                <w:lang w:val="en-GB"/>
              </w:rPr>
              <w:t xml:space="preserve">the </w:t>
            </w:r>
            <w:r w:rsidRPr="009C4BEC">
              <w:rPr>
                <w:snapToGrid w:val="0"/>
                <w:lang w:val="en-GB"/>
              </w:rPr>
              <w:t>ACCC.</w:t>
            </w:r>
          </w:p>
          <w:p w14:paraId="6B86AA4F" w14:textId="77777777" w:rsidR="00E21B13" w:rsidRPr="009C4BEC" w:rsidRDefault="00E21B13" w:rsidP="0053216E">
            <w:pPr>
              <w:pStyle w:val="TableBody"/>
              <w:rPr>
                <w:snapToGrid w:val="0"/>
                <w:lang w:val="en-GB"/>
              </w:rPr>
            </w:pPr>
          </w:p>
        </w:tc>
        <w:tc>
          <w:tcPr>
            <w:tcW w:w="5245" w:type="dxa"/>
            <w:tcBorders>
              <w:bottom w:val="dashSmallGap" w:sz="4" w:space="0" w:color="auto"/>
            </w:tcBorders>
          </w:tcPr>
          <w:p w14:paraId="4D9ED10C" w14:textId="0D6812AA" w:rsidR="00E21B13" w:rsidRDefault="00E21B13" w:rsidP="0053216E">
            <w:pPr>
              <w:pStyle w:val="TableBody"/>
              <w:rPr>
                <w:snapToGrid w:val="0"/>
                <w:lang w:val="en-GB"/>
              </w:rPr>
            </w:pPr>
            <w:r w:rsidRPr="009C4BEC">
              <w:rPr>
                <w:snapToGrid w:val="0"/>
                <w:lang w:val="en-GB"/>
              </w:rPr>
              <w:t xml:space="preserve">The ACMA and </w:t>
            </w:r>
            <w:r>
              <w:rPr>
                <w:snapToGrid w:val="0"/>
                <w:lang w:val="en-GB"/>
              </w:rPr>
              <w:t xml:space="preserve">the </w:t>
            </w:r>
            <w:r w:rsidRPr="009C4BEC">
              <w:rPr>
                <w:snapToGrid w:val="0"/>
                <w:lang w:val="en-GB"/>
              </w:rPr>
              <w:t xml:space="preserve">ACCC make every effort to provide additional information requested by stakeholders and engage with stakeholders on future charging arrangements for the ACLC. </w:t>
            </w:r>
            <w:r>
              <w:rPr>
                <w:snapToGrid w:val="0"/>
                <w:lang w:val="en-GB"/>
              </w:rPr>
              <w:t>T</w:t>
            </w:r>
            <w:r w:rsidRPr="009C4BEC">
              <w:rPr>
                <w:snapToGrid w:val="0"/>
                <w:lang w:val="en-GB"/>
              </w:rPr>
              <w:t>he ACMA aims to report activity costs in the 2018-19 charging period and the comparisons to c</w:t>
            </w:r>
            <w:r>
              <w:rPr>
                <w:snapToGrid w:val="0"/>
                <w:lang w:val="en-GB"/>
              </w:rPr>
              <w:t>ommence in the subsequent year.</w:t>
            </w:r>
          </w:p>
          <w:p w14:paraId="402BD91E" w14:textId="0E503155" w:rsidR="00E21B13" w:rsidRPr="009C4BEC" w:rsidRDefault="00E21B13" w:rsidP="0053216E">
            <w:pPr>
              <w:pStyle w:val="TableBody"/>
              <w:rPr>
                <w:snapToGrid w:val="0"/>
                <w:lang w:val="en-GB"/>
              </w:rPr>
            </w:pPr>
            <w:r w:rsidRPr="00EA7503">
              <w:rPr>
                <w:snapToGrid w:val="0"/>
                <w:lang w:val="en-GB"/>
              </w:rPr>
              <w:t>The ACCC recognises the benefits of detailed activity based costing by attributing costs to outputs at a granular level. The ACCC is also aware that this extent of cost transparency requires a significant investment of effort and funding in processes and systems.  For the ACCC, this would divert finite resources away from the Agency’s strategic priorities. Furthermore, the additional costs would be passed on through the ACLC for this capability to eventuate, therefore increasing the regulatory cost for telecommunications carriers.</w:t>
            </w:r>
          </w:p>
        </w:tc>
      </w:tr>
      <w:tr w:rsidR="00E21B13" w:rsidRPr="009C4BEC" w14:paraId="44BAA876" w14:textId="77777777" w:rsidTr="0053216E">
        <w:tc>
          <w:tcPr>
            <w:tcW w:w="5146" w:type="dxa"/>
            <w:tcBorders>
              <w:top w:val="dashSmallGap" w:sz="4" w:space="0" w:color="auto"/>
              <w:bottom w:val="dashSmallGap" w:sz="4" w:space="0" w:color="auto"/>
            </w:tcBorders>
          </w:tcPr>
          <w:p w14:paraId="2C425C2B" w14:textId="77777777" w:rsidR="00E21B13" w:rsidRPr="009C4BEC" w:rsidRDefault="00E21B13" w:rsidP="0053216E">
            <w:pPr>
              <w:pStyle w:val="TableBody"/>
              <w:rPr>
                <w:snapToGrid w:val="0"/>
                <w:lang w:val="en-GB"/>
              </w:rPr>
            </w:pPr>
            <w:r w:rsidRPr="009C4BEC">
              <w:rPr>
                <w:snapToGrid w:val="0"/>
                <w:lang w:val="en-GB"/>
              </w:rPr>
              <w:t>More information about the appropriateness of cost drivers used for the allocation of support costs of the ACMA as support costs are comparatively higher than the direct costs.</w:t>
            </w:r>
          </w:p>
          <w:p w14:paraId="08D6B85D" w14:textId="77777777" w:rsidR="00E21B13" w:rsidRPr="009C4BEC" w:rsidRDefault="00E21B13" w:rsidP="0053216E">
            <w:pPr>
              <w:pStyle w:val="TableBody"/>
              <w:rPr>
                <w:snapToGrid w:val="0"/>
                <w:lang w:val="en-GB"/>
              </w:rPr>
            </w:pPr>
          </w:p>
        </w:tc>
        <w:tc>
          <w:tcPr>
            <w:tcW w:w="5245" w:type="dxa"/>
            <w:tcBorders>
              <w:top w:val="dashSmallGap" w:sz="4" w:space="0" w:color="auto"/>
              <w:bottom w:val="dashSmallGap" w:sz="4" w:space="0" w:color="auto"/>
            </w:tcBorders>
          </w:tcPr>
          <w:p w14:paraId="306B79FD" w14:textId="7A876E05" w:rsidR="00E21B13" w:rsidRPr="009C4BEC" w:rsidRDefault="00E21B13" w:rsidP="0053216E">
            <w:pPr>
              <w:pStyle w:val="TableBody"/>
              <w:rPr>
                <w:snapToGrid w:val="0"/>
                <w:lang w:val="en-GB"/>
              </w:rPr>
            </w:pPr>
            <w:r w:rsidRPr="009C4BEC">
              <w:rPr>
                <w:snapToGrid w:val="0"/>
                <w:lang w:val="en-GB"/>
              </w:rPr>
              <w:t>As outlined in the CRIS (see page 9 – section 3.1.2), the ACMA’s support costs not only include all costs such as staff salaries, on-costs, contractors and consultants and other expenses relevant to all support areas including corporate services, Authority and Legal services, in addition they also include overhead costs including depreciation and occupancy expenses. Whereas direct costs do not include overhead costs as they form part of the support costs. As a result</w:t>
            </w:r>
            <w:r w:rsidR="00AC0442">
              <w:rPr>
                <w:snapToGrid w:val="0"/>
                <w:lang w:val="en-GB"/>
              </w:rPr>
              <w:t>,</w:t>
            </w:r>
            <w:r w:rsidRPr="009C4BEC">
              <w:rPr>
                <w:snapToGrid w:val="0"/>
                <w:lang w:val="en-GB"/>
              </w:rPr>
              <w:t xml:space="preserve"> supports cost are comparatively higher than the relevant direct costs. The review conducted by independent auditors in the previous years agreed to the categorisation of costs as disclosed in the CRIS (see page 9 - Table 4). </w:t>
            </w:r>
          </w:p>
          <w:p w14:paraId="2788C357" w14:textId="35814C0B" w:rsidR="00E21B13" w:rsidRPr="009C4BEC" w:rsidRDefault="00E21B13" w:rsidP="0053216E">
            <w:pPr>
              <w:pStyle w:val="TableBody"/>
              <w:rPr>
                <w:snapToGrid w:val="0"/>
                <w:lang w:val="en-GB"/>
              </w:rPr>
            </w:pPr>
            <w:r w:rsidRPr="009C4BEC">
              <w:rPr>
                <w:snapToGrid w:val="0"/>
                <w:lang w:val="en-GB"/>
              </w:rPr>
              <w:t>As the support costs cannot be directly attributed to an output or activity, they are allocated to activities performed by the direct cost centres using the most suitable cost drivers which can be reliably measured. The auditors also confirmed that the application of cost drivers used for the allocation of costs for the calculation of the ACLC was appropriate.</w:t>
            </w:r>
          </w:p>
        </w:tc>
      </w:tr>
      <w:tr w:rsidR="00E21B13" w:rsidRPr="009C4BEC" w14:paraId="6AC38F12" w14:textId="77777777" w:rsidTr="0053216E">
        <w:tc>
          <w:tcPr>
            <w:tcW w:w="5146" w:type="dxa"/>
            <w:tcBorders>
              <w:top w:val="dashSmallGap" w:sz="4" w:space="0" w:color="auto"/>
            </w:tcBorders>
          </w:tcPr>
          <w:p w14:paraId="47DD9820" w14:textId="77777777" w:rsidR="00E21B13" w:rsidRPr="009C4BEC" w:rsidRDefault="00E21B13" w:rsidP="0053216E">
            <w:pPr>
              <w:pStyle w:val="TableBody"/>
              <w:rPr>
                <w:snapToGrid w:val="0"/>
                <w:lang w:val="en-GB"/>
              </w:rPr>
            </w:pPr>
            <w:r w:rsidRPr="009C4BEC">
              <w:rPr>
                <w:snapToGrid w:val="0"/>
                <w:lang w:val="en-GB"/>
              </w:rPr>
              <w:t>More detail on the overall increase or decrease of the ACMA’s and ACCC’s ACLC cost components.</w:t>
            </w:r>
          </w:p>
          <w:p w14:paraId="1B21D4A0" w14:textId="77777777" w:rsidR="00E21B13" w:rsidRPr="009C4BEC" w:rsidRDefault="00E21B13" w:rsidP="0053216E">
            <w:pPr>
              <w:pStyle w:val="TableBody"/>
              <w:rPr>
                <w:snapToGrid w:val="0"/>
                <w:lang w:val="en-GB"/>
              </w:rPr>
            </w:pPr>
          </w:p>
        </w:tc>
        <w:tc>
          <w:tcPr>
            <w:tcW w:w="5245" w:type="dxa"/>
            <w:tcBorders>
              <w:top w:val="dashSmallGap" w:sz="4" w:space="0" w:color="auto"/>
            </w:tcBorders>
          </w:tcPr>
          <w:p w14:paraId="5E407B35" w14:textId="3C4F0462" w:rsidR="00E21B13" w:rsidRPr="009C4BEC" w:rsidRDefault="00E21B13" w:rsidP="0053216E">
            <w:pPr>
              <w:pStyle w:val="TableBody"/>
              <w:rPr>
                <w:snapToGrid w:val="0"/>
                <w:lang w:val="en-GB"/>
              </w:rPr>
            </w:pPr>
            <w:r w:rsidRPr="009C4BEC">
              <w:rPr>
                <w:snapToGrid w:val="0"/>
                <w:lang w:val="en-GB"/>
              </w:rPr>
              <w:t xml:space="preserve">The decrease in the ACMA’s ACLC component is less than one percent. It is considered not crucial to provide more information about this insignificant reduction in costs. The reduction, however, attributed to improved efficiency because despite the increase in the number of carrier licences </w:t>
            </w:r>
            <w:r>
              <w:rPr>
                <w:snapToGrid w:val="0"/>
                <w:lang w:val="en-GB"/>
              </w:rPr>
              <w:t xml:space="preserve">issued </w:t>
            </w:r>
            <w:r w:rsidRPr="009C4BEC">
              <w:rPr>
                <w:snapToGrid w:val="0"/>
                <w:lang w:val="en-GB"/>
              </w:rPr>
              <w:t>in the 2016-17 compared to the 2015-16, the ACMA’s ACLC costs have reduced</w:t>
            </w:r>
            <w:r w:rsidRPr="00FA37FE">
              <w:rPr>
                <w:snapToGrid w:val="0"/>
                <w:lang w:val="en-GB"/>
              </w:rPr>
              <w:t>. Hence, the ACMA has provided services to a larger number of carriers with less costs by efficient use of existing resources.</w:t>
            </w:r>
          </w:p>
        </w:tc>
      </w:tr>
      <w:tr w:rsidR="00E21B13" w:rsidRPr="009C4BEC" w14:paraId="3EF9137B" w14:textId="77777777" w:rsidTr="0053216E">
        <w:tc>
          <w:tcPr>
            <w:tcW w:w="5146" w:type="dxa"/>
            <w:noWrap/>
          </w:tcPr>
          <w:p w14:paraId="275EF31B" w14:textId="3E67FAE5" w:rsidR="00E21B13" w:rsidRPr="009C4BEC" w:rsidRDefault="00E21B13" w:rsidP="0053216E">
            <w:pPr>
              <w:pStyle w:val="TableBody"/>
              <w:rPr>
                <w:color w:val="000000"/>
              </w:rPr>
            </w:pPr>
            <w:r w:rsidRPr="009C4BEC">
              <w:rPr>
                <w:snapToGrid w:val="0"/>
                <w:lang w:val="en-GB"/>
              </w:rPr>
              <w:t xml:space="preserve">That </w:t>
            </w:r>
            <w:r w:rsidRPr="009C4BEC">
              <w:rPr>
                <w:color w:val="000000"/>
              </w:rPr>
              <w:t>the Measuring Broadband Australia program was establ</w:t>
            </w:r>
            <w:r>
              <w:rPr>
                <w:color w:val="000000"/>
              </w:rPr>
              <w:t>ished without development of a R</w:t>
            </w:r>
            <w:r w:rsidRPr="009C4BEC">
              <w:rPr>
                <w:color w:val="000000"/>
              </w:rPr>
              <w:t>egulation Impact Statement and Telstra is not aware of any attempt to quantify the benefits the program purports to provide. As a result the implementation of this program is not supported.</w:t>
            </w:r>
          </w:p>
        </w:tc>
        <w:tc>
          <w:tcPr>
            <w:tcW w:w="5245" w:type="dxa"/>
          </w:tcPr>
          <w:p w14:paraId="00A116EC" w14:textId="77777777" w:rsidR="00E21B13" w:rsidRPr="00841526" w:rsidRDefault="00E21B13" w:rsidP="0053216E">
            <w:pPr>
              <w:pStyle w:val="TableBody"/>
              <w:rPr>
                <w:snapToGrid w:val="0"/>
              </w:rPr>
            </w:pPr>
            <w:r>
              <w:rPr>
                <w:snapToGrid w:val="0"/>
              </w:rPr>
              <w:t>A Regulation Impact S</w:t>
            </w:r>
            <w:r w:rsidRPr="00841526">
              <w:rPr>
                <w:snapToGrid w:val="0"/>
              </w:rPr>
              <w:t>tatement was not prepared because the proposal was considered to have minor regulatory impacts, and was not considered by Cabinet.</w:t>
            </w:r>
          </w:p>
        </w:tc>
      </w:tr>
    </w:tbl>
    <w:p w14:paraId="746D34EA" w14:textId="77777777" w:rsidR="00E21B13" w:rsidRDefault="00E21B13" w:rsidP="00E21B13"/>
    <w:p w14:paraId="6F37F48C" w14:textId="43AA6255" w:rsidR="00E21B13" w:rsidRDefault="00E21B13">
      <w:pPr>
        <w:spacing w:after="0" w:line="240" w:lineRule="auto"/>
        <w:rPr>
          <w:rFonts w:cs="Arial"/>
          <w:bCs/>
          <w:color w:val="323232"/>
          <w:kern w:val="32"/>
          <w:sz w:val="53"/>
          <w:szCs w:val="32"/>
        </w:rPr>
      </w:pPr>
    </w:p>
    <w:p w14:paraId="59F6B8C7" w14:textId="7E8C80D9" w:rsidR="009E3A91" w:rsidRPr="00C320F6" w:rsidRDefault="009E3A91" w:rsidP="009E3A91">
      <w:pPr>
        <w:pStyle w:val="Heading1"/>
        <w:ind w:right="-142"/>
      </w:pPr>
      <w:bookmarkStart w:id="217" w:name="_Toc511634435"/>
      <w:bookmarkStart w:id="218" w:name="_Toc532543446"/>
      <w:r w:rsidRPr="00C320F6">
        <w:t>Glossary</w:t>
      </w:r>
      <w:bookmarkEnd w:id="209"/>
      <w:bookmarkEnd w:id="217"/>
      <w:bookmarkEnd w:id="218"/>
    </w:p>
    <w:p w14:paraId="3D75A0F7" w14:textId="77777777" w:rsidR="00EF0497" w:rsidRPr="00B33282" w:rsidRDefault="00EF0497" w:rsidP="00EF0497">
      <w:pPr>
        <w:pStyle w:val="ACMABodyText"/>
        <w:tabs>
          <w:tab w:val="left" w:pos="1843"/>
        </w:tabs>
        <w:spacing w:after="80"/>
        <w:ind w:left="1843" w:right="-142" w:hanging="1843"/>
        <w:rPr>
          <w:rFonts w:cs="Arial"/>
          <w:sz w:val="20"/>
          <w:szCs w:val="20"/>
        </w:rPr>
      </w:pPr>
      <w:r>
        <w:rPr>
          <w:rFonts w:cs="Arial"/>
          <w:sz w:val="20"/>
          <w:szCs w:val="22"/>
        </w:rPr>
        <w:t>2017 Direction</w:t>
      </w:r>
      <w:r>
        <w:rPr>
          <w:rFonts w:cs="Arial"/>
          <w:sz w:val="20"/>
          <w:szCs w:val="22"/>
        </w:rPr>
        <w:tab/>
      </w:r>
      <w:r w:rsidRPr="003D3730">
        <w:rPr>
          <w:rFonts w:cs="Arial"/>
          <w:sz w:val="20"/>
          <w:szCs w:val="22"/>
        </w:rPr>
        <w:t>Australian Communications and Media Authority (Annual Carrie</w:t>
      </w:r>
      <w:r>
        <w:rPr>
          <w:rFonts w:cs="Arial"/>
          <w:sz w:val="20"/>
          <w:szCs w:val="22"/>
        </w:rPr>
        <w:t>r Licence Charge) Direction 2017</w:t>
      </w:r>
    </w:p>
    <w:p w14:paraId="0B332CA8" w14:textId="77777777" w:rsidR="00EF0497" w:rsidRPr="00C320F6" w:rsidRDefault="00EF0497" w:rsidP="00EF0497">
      <w:pPr>
        <w:pStyle w:val="ACMABodyText"/>
        <w:tabs>
          <w:tab w:val="left" w:pos="1843"/>
        </w:tabs>
        <w:spacing w:after="80"/>
        <w:ind w:right="-142"/>
        <w:rPr>
          <w:rFonts w:cs="Arial"/>
          <w:sz w:val="20"/>
          <w:szCs w:val="20"/>
        </w:rPr>
      </w:pPr>
      <w:r w:rsidRPr="00C320F6">
        <w:rPr>
          <w:rFonts w:cs="Arial"/>
          <w:sz w:val="20"/>
          <w:szCs w:val="20"/>
        </w:rPr>
        <w:t>ABC</w:t>
      </w:r>
      <w:r w:rsidRPr="00C320F6">
        <w:rPr>
          <w:rFonts w:cs="Arial"/>
          <w:sz w:val="20"/>
          <w:szCs w:val="20"/>
        </w:rPr>
        <w:tab/>
      </w:r>
      <w:r w:rsidRPr="0014060A">
        <w:rPr>
          <w:rFonts w:cs="Arial"/>
          <w:sz w:val="20"/>
          <w:szCs w:val="20"/>
        </w:rPr>
        <w:t>Activity Based Costing</w:t>
      </w:r>
    </w:p>
    <w:p w14:paraId="691B9B0F" w14:textId="77777777" w:rsidR="009E3A91" w:rsidRPr="00ED54FF" w:rsidRDefault="009E3A91" w:rsidP="009E3A91">
      <w:pPr>
        <w:pStyle w:val="ACMABodyText"/>
        <w:tabs>
          <w:tab w:val="left" w:pos="1843"/>
        </w:tabs>
        <w:spacing w:after="80"/>
        <w:ind w:right="-142"/>
        <w:rPr>
          <w:rFonts w:cs="Arial"/>
          <w:sz w:val="20"/>
          <w:szCs w:val="20"/>
        </w:rPr>
      </w:pPr>
      <w:r w:rsidRPr="00ED54FF">
        <w:rPr>
          <w:rFonts w:cs="Arial"/>
          <w:sz w:val="20"/>
          <w:szCs w:val="20"/>
        </w:rPr>
        <w:t>ACCAN</w:t>
      </w:r>
      <w:r w:rsidRPr="00ED54FF">
        <w:rPr>
          <w:rFonts w:cs="Arial"/>
          <w:sz w:val="20"/>
          <w:szCs w:val="20"/>
        </w:rPr>
        <w:tab/>
        <w:t>Australian Communications Consumer Action Network</w:t>
      </w:r>
    </w:p>
    <w:p w14:paraId="63187673" w14:textId="77777777" w:rsidR="009E3A91" w:rsidRPr="00ED54FF" w:rsidRDefault="009E3A91" w:rsidP="009E3A91">
      <w:pPr>
        <w:pStyle w:val="ACMABodyText"/>
        <w:tabs>
          <w:tab w:val="left" w:pos="1843"/>
        </w:tabs>
        <w:spacing w:after="80"/>
        <w:ind w:right="-142"/>
        <w:rPr>
          <w:rFonts w:cs="Arial"/>
          <w:sz w:val="20"/>
          <w:szCs w:val="20"/>
        </w:rPr>
      </w:pPr>
      <w:r w:rsidRPr="00ED54FF">
        <w:rPr>
          <w:rFonts w:cs="Arial"/>
          <w:sz w:val="20"/>
          <w:szCs w:val="20"/>
        </w:rPr>
        <w:t>ACCC</w:t>
      </w:r>
      <w:r w:rsidRPr="00ED54FF">
        <w:rPr>
          <w:rFonts w:cs="Arial"/>
          <w:sz w:val="20"/>
          <w:szCs w:val="20"/>
        </w:rPr>
        <w:tab/>
        <w:t>Australian Competition and Consumer Commission</w:t>
      </w:r>
    </w:p>
    <w:p w14:paraId="3C84F81D" w14:textId="77777777" w:rsidR="009E3A91" w:rsidRPr="00ED54FF" w:rsidRDefault="009E3A91" w:rsidP="009E3A91">
      <w:pPr>
        <w:pStyle w:val="ACMABodyText"/>
        <w:tabs>
          <w:tab w:val="left" w:pos="1843"/>
        </w:tabs>
        <w:spacing w:after="80"/>
        <w:ind w:right="-142"/>
        <w:rPr>
          <w:rFonts w:cs="Arial"/>
          <w:sz w:val="20"/>
          <w:szCs w:val="20"/>
        </w:rPr>
      </w:pPr>
      <w:r w:rsidRPr="00ED54FF">
        <w:rPr>
          <w:rFonts w:cs="Arial"/>
          <w:sz w:val="20"/>
          <w:szCs w:val="20"/>
        </w:rPr>
        <w:t>ACLC</w:t>
      </w:r>
      <w:r w:rsidRPr="00ED54FF">
        <w:rPr>
          <w:rFonts w:cs="Arial"/>
          <w:sz w:val="20"/>
          <w:szCs w:val="20"/>
        </w:rPr>
        <w:tab/>
        <w:t>Annual Carrier Licence Charge</w:t>
      </w:r>
    </w:p>
    <w:p w14:paraId="542F3E4F" w14:textId="77777777" w:rsidR="009E3A91" w:rsidRPr="00ED54FF" w:rsidRDefault="009E3A91" w:rsidP="009E3A91">
      <w:pPr>
        <w:pStyle w:val="ACMABodyText"/>
        <w:tabs>
          <w:tab w:val="left" w:pos="1843"/>
        </w:tabs>
        <w:spacing w:after="80"/>
        <w:ind w:right="-142"/>
        <w:rPr>
          <w:rFonts w:cs="Arial"/>
          <w:sz w:val="20"/>
          <w:szCs w:val="20"/>
        </w:rPr>
      </w:pPr>
      <w:r w:rsidRPr="00ED54FF">
        <w:rPr>
          <w:rFonts w:cs="Arial"/>
          <w:sz w:val="20"/>
          <w:szCs w:val="20"/>
        </w:rPr>
        <w:t xml:space="preserve">ACMA </w:t>
      </w:r>
      <w:r w:rsidRPr="00ED54FF">
        <w:rPr>
          <w:rFonts w:cs="Arial"/>
          <w:sz w:val="20"/>
          <w:szCs w:val="20"/>
        </w:rPr>
        <w:tab/>
        <w:t>Australian Communications and Media Authority</w:t>
      </w:r>
    </w:p>
    <w:p w14:paraId="014FDF6F" w14:textId="77777777" w:rsidR="00EF0497" w:rsidRDefault="00EF0497" w:rsidP="00EF0497">
      <w:pPr>
        <w:pStyle w:val="ACMABodyText"/>
        <w:tabs>
          <w:tab w:val="left" w:pos="1843"/>
        </w:tabs>
        <w:spacing w:after="80"/>
        <w:ind w:right="-142"/>
        <w:rPr>
          <w:rFonts w:cs="Arial"/>
          <w:i/>
          <w:sz w:val="20"/>
          <w:szCs w:val="20"/>
        </w:rPr>
      </w:pPr>
      <w:r w:rsidRPr="00C320F6">
        <w:rPr>
          <w:rFonts w:cs="Arial"/>
          <w:sz w:val="20"/>
          <w:szCs w:val="20"/>
        </w:rPr>
        <w:t>ACMA Act</w:t>
      </w:r>
      <w:r w:rsidRPr="00C320F6">
        <w:rPr>
          <w:rFonts w:cs="Arial"/>
          <w:sz w:val="20"/>
          <w:szCs w:val="20"/>
        </w:rPr>
        <w:tab/>
      </w:r>
      <w:r w:rsidRPr="00C320F6">
        <w:rPr>
          <w:rFonts w:cs="Arial"/>
          <w:i/>
          <w:sz w:val="20"/>
          <w:szCs w:val="20"/>
        </w:rPr>
        <w:t>Australian Communications and Media Authority Act 2005</w:t>
      </w:r>
    </w:p>
    <w:p w14:paraId="33764B5F" w14:textId="77777777" w:rsidR="009E3A91" w:rsidRPr="00F16A3D" w:rsidRDefault="009E3A91" w:rsidP="009E3A91">
      <w:pPr>
        <w:pStyle w:val="ACMABodyText"/>
        <w:tabs>
          <w:tab w:val="left" w:pos="1843"/>
        </w:tabs>
        <w:spacing w:after="80"/>
        <w:ind w:right="-142"/>
        <w:rPr>
          <w:rFonts w:cs="Arial"/>
          <w:sz w:val="20"/>
          <w:szCs w:val="20"/>
        </w:rPr>
      </w:pPr>
      <w:r w:rsidRPr="00F16A3D">
        <w:rPr>
          <w:rFonts w:cs="Arial"/>
          <w:sz w:val="20"/>
          <w:szCs w:val="20"/>
        </w:rPr>
        <w:t xml:space="preserve">APC </w:t>
      </w:r>
      <w:r>
        <w:rPr>
          <w:rFonts w:cs="Arial"/>
          <w:sz w:val="20"/>
          <w:szCs w:val="20"/>
        </w:rPr>
        <w:tab/>
        <w:t>A</w:t>
      </w:r>
      <w:r w:rsidRPr="00F16A3D">
        <w:rPr>
          <w:rFonts w:cs="Arial"/>
          <w:sz w:val="20"/>
          <w:szCs w:val="20"/>
        </w:rPr>
        <w:t>nnual program costs</w:t>
      </w:r>
      <w:r>
        <w:rPr>
          <w:rFonts w:cs="Arial"/>
          <w:sz w:val="20"/>
          <w:szCs w:val="20"/>
        </w:rPr>
        <w:t xml:space="preserve"> by financial year</w:t>
      </w:r>
    </w:p>
    <w:p w14:paraId="1543AF53" w14:textId="77777777" w:rsidR="00EF0497" w:rsidRPr="00D96D21" w:rsidRDefault="00EF0497" w:rsidP="00EF0497">
      <w:pPr>
        <w:pStyle w:val="ACMABodyText"/>
        <w:tabs>
          <w:tab w:val="left" w:pos="1843"/>
        </w:tabs>
        <w:spacing w:after="80"/>
        <w:ind w:right="-142"/>
        <w:rPr>
          <w:rFonts w:cs="Arial"/>
          <w:sz w:val="20"/>
          <w:szCs w:val="20"/>
        </w:rPr>
      </w:pPr>
      <w:r w:rsidRPr="00B817EC">
        <w:rPr>
          <w:rFonts w:cs="Arial"/>
          <w:sz w:val="20"/>
          <w:szCs w:val="20"/>
        </w:rPr>
        <w:t>ASL</w:t>
      </w:r>
      <w:r w:rsidRPr="00B817EC">
        <w:rPr>
          <w:rFonts w:cs="Arial"/>
          <w:sz w:val="20"/>
          <w:szCs w:val="20"/>
        </w:rPr>
        <w:tab/>
        <w:t>Average Staffing Level</w:t>
      </w:r>
    </w:p>
    <w:p w14:paraId="5C3639DA" w14:textId="77777777" w:rsidR="009E3A91" w:rsidRDefault="009E3A91" w:rsidP="009E3A91">
      <w:pPr>
        <w:pStyle w:val="ACMABodyText"/>
        <w:tabs>
          <w:tab w:val="left" w:pos="1843"/>
        </w:tabs>
        <w:spacing w:after="80"/>
        <w:ind w:right="-142"/>
        <w:rPr>
          <w:rFonts w:cs="Arial"/>
          <w:sz w:val="20"/>
          <w:szCs w:val="20"/>
        </w:rPr>
      </w:pPr>
      <w:r>
        <w:rPr>
          <w:rFonts w:cs="Arial"/>
          <w:sz w:val="20"/>
          <w:szCs w:val="20"/>
        </w:rPr>
        <w:t>BPMR</w:t>
      </w:r>
      <w:r>
        <w:rPr>
          <w:rFonts w:cs="Arial"/>
          <w:sz w:val="20"/>
          <w:szCs w:val="20"/>
        </w:rPr>
        <w:tab/>
      </w:r>
      <w:r w:rsidRPr="001F1E37">
        <w:rPr>
          <w:rFonts w:cs="Arial"/>
          <w:sz w:val="20"/>
          <w:szCs w:val="20"/>
        </w:rPr>
        <w:t>Broadband Performance Monitoring and Reporting</w:t>
      </w:r>
    </w:p>
    <w:p w14:paraId="0DFE4CE9" w14:textId="77777777" w:rsidR="00EF0497" w:rsidRDefault="00EF0497" w:rsidP="00EF0497">
      <w:pPr>
        <w:pStyle w:val="ACMABodyText"/>
        <w:tabs>
          <w:tab w:val="left" w:pos="1843"/>
        </w:tabs>
        <w:spacing w:after="80"/>
        <w:ind w:right="-142"/>
        <w:rPr>
          <w:sz w:val="20"/>
        </w:rPr>
      </w:pPr>
      <w:r>
        <w:rPr>
          <w:rFonts w:cs="Arial"/>
          <w:sz w:val="20"/>
          <w:szCs w:val="20"/>
        </w:rPr>
        <w:t>CA</w:t>
      </w:r>
      <w:r>
        <w:rPr>
          <w:rFonts w:cs="Arial"/>
          <w:sz w:val="20"/>
          <w:szCs w:val="20"/>
        </w:rPr>
        <w:tab/>
      </w:r>
      <w:r w:rsidRPr="00451B25">
        <w:rPr>
          <w:sz w:val="20"/>
        </w:rPr>
        <w:t>Communications Alliance Ltd</w:t>
      </w:r>
    </w:p>
    <w:p w14:paraId="6FD9394B" w14:textId="77777777" w:rsidR="00EF0497" w:rsidRDefault="00EF0497" w:rsidP="00EF0497">
      <w:pPr>
        <w:pStyle w:val="ACMABodyText"/>
        <w:tabs>
          <w:tab w:val="left" w:pos="1843"/>
        </w:tabs>
        <w:spacing w:after="80"/>
        <w:ind w:right="-142"/>
        <w:rPr>
          <w:rFonts w:cs="Arial"/>
          <w:sz w:val="20"/>
          <w:szCs w:val="20"/>
        </w:rPr>
      </w:pPr>
      <w:r w:rsidRPr="00B817EC">
        <w:rPr>
          <w:rFonts w:cs="Arial"/>
          <w:sz w:val="20"/>
          <w:szCs w:val="20"/>
        </w:rPr>
        <w:t>CCF</w:t>
      </w:r>
      <w:r w:rsidRPr="00B817EC">
        <w:rPr>
          <w:rFonts w:cs="Arial"/>
          <w:sz w:val="20"/>
          <w:szCs w:val="20"/>
        </w:rPr>
        <w:tab/>
        <w:t>Consumer Consultative Forum</w:t>
      </w:r>
    </w:p>
    <w:p w14:paraId="27563ED5" w14:textId="77777777" w:rsidR="009E3A91" w:rsidRDefault="009E3A91" w:rsidP="009E3A91">
      <w:pPr>
        <w:pStyle w:val="ACMABodyText"/>
        <w:tabs>
          <w:tab w:val="left" w:pos="1843"/>
        </w:tabs>
        <w:spacing w:after="80"/>
        <w:ind w:right="-142"/>
        <w:rPr>
          <w:rFonts w:cs="Arial"/>
          <w:sz w:val="20"/>
          <w:szCs w:val="20"/>
        </w:rPr>
      </w:pPr>
      <w:r w:rsidRPr="00ED54FF">
        <w:rPr>
          <w:rFonts w:cs="Arial"/>
          <w:sz w:val="20"/>
          <w:szCs w:val="20"/>
        </w:rPr>
        <w:t>CRIS</w:t>
      </w:r>
      <w:r w:rsidRPr="00ED54FF">
        <w:rPr>
          <w:rFonts w:cs="Arial"/>
          <w:sz w:val="20"/>
          <w:szCs w:val="20"/>
        </w:rPr>
        <w:tab/>
        <w:t>Cost Recovery Implementation Statement</w:t>
      </w:r>
    </w:p>
    <w:p w14:paraId="1D349B73" w14:textId="77777777" w:rsidR="00EF0497" w:rsidRDefault="00EF0497" w:rsidP="00EF0497">
      <w:pPr>
        <w:pStyle w:val="ACMABodyText"/>
        <w:tabs>
          <w:tab w:val="left" w:pos="1843"/>
        </w:tabs>
        <w:spacing w:after="80"/>
        <w:ind w:right="-142"/>
        <w:rPr>
          <w:rFonts w:cs="Arial"/>
          <w:sz w:val="20"/>
          <w:szCs w:val="20"/>
        </w:rPr>
      </w:pPr>
      <w:r>
        <w:rPr>
          <w:rFonts w:cs="Arial"/>
          <w:sz w:val="20"/>
          <w:szCs w:val="20"/>
        </w:rPr>
        <w:t>DoCA</w:t>
      </w:r>
      <w:r>
        <w:rPr>
          <w:rFonts w:cs="Arial"/>
          <w:sz w:val="20"/>
          <w:szCs w:val="20"/>
        </w:rPr>
        <w:tab/>
        <w:t>Department of Communications and the Arts</w:t>
      </w:r>
    </w:p>
    <w:p w14:paraId="063C3B69" w14:textId="77777777" w:rsidR="00EF0497" w:rsidRPr="00C320F6" w:rsidRDefault="00EF0497" w:rsidP="00EF0497">
      <w:pPr>
        <w:pStyle w:val="ACMABodyText"/>
        <w:tabs>
          <w:tab w:val="left" w:pos="1843"/>
        </w:tabs>
        <w:spacing w:after="80"/>
        <w:ind w:right="-142"/>
        <w:rPr>
          <w:rFonts w:cs="Arial"/>
          <w:sz w:val="20"/>
          <w:szCs w:val="20"/>
        </w:rPr>
      </w:pPr>
      <w:r w:rsidRPr="00C320F6">
        <w:rPr>
          <w:rFonts w:cs="Arial"/>
          <w:sz w:val="20"/>
          <w:szCs w:val="20"/>
        </w:rPr>
        <w:t>ER</w:t>
      </w:r>
      <w:r w:rsidRPr="00C320F6">
        <w:rPr>
          <w:rFonts w:cs="Arial"/>
          <w:sz w:val="20"/>
          <w:szCs w:val="20"/>
        </w:rPr>
        <w:tab/>
        <w:t xml:space="preserve">eligible revenue </w:t>
      </w:r>
    </w:p>
    <w:p w14:paraId="32B534AA" w14:textId="77777777" w:rsidR="009E3A91" w:rsidRPr="00F16A3D" w:rsidRDefault="009E3A91" w:rsidP="009E3A91">
      <w:pPr>
        <w:pStyle w:val="ACMABodyText"/>
        <w:tabs>
          <w:tab w:val="left" w:pos="1843"/>
        </w:tabs>
        <w:spacing w:after="80"/>
        <w:ind w:left="1843" w:right="-142" w:hanging="1843"/>
        <w:rPr>
          <w:rFonts w:cs="Arial"/>
          <w:sz w:val="20"/>
          <w:szCs w:val="20"/>
        </w:rPr>
      </w:pPr>
      <w:r w:rsidRPr="00F16A3D">
        <w:rPr>
          <w:rFonts w:cs="Arial"/>
          <w:sz w:val="20"/>
          <w:szCs w:val="20"/>
        </w:rPr>
        <w:t xml:space="preserve">FLC </w:t>
      </w:r>
      <w:r>
        <w:rPr>
          <w:rFonts w:cs="Arial"/>
          <w:sz w:val="20"/>
          <w:szCs w:val="20"/>
        </w:rPr>
        <w:tab/>
        <w:t>T</w:t>
      </w:r>
      <w:r w:rsidRPr="00F16A3D">
        <w:rPr>
          <w:rFonts w:cs="Arial"/>
          <w:sz w:val="20"/>
          <w:szCs w:val="20"/>
        </w:rPr>
        <w:t>he total number of NBN fixed-line connections operated by the monitored ser</w:t>
      </w:r>
      <w:r>
        <w:rPr>
          <w:rFonts w:cs="Arial"/>
          <w:sz w:val="20"/>
          <w:szCs w:val="20"/>
        </w:rPr>
        <w:t>vice provider in a test segment</w:t>
      </w:r>
      <w:r w:rsidRPr="00F16A3D">
        <w:rPr>
          <w:rFonts w:cs="Arial"/>
          <w:sz w:val="20"/>
          <w:szCs w:val="20"/>
        </w:rPr>
        <w:t xml:space="preserve"> </w:t>
      </w:r>
    </w:p>
    <w:p w14:paraId="6CB23BF1" w14:textId="77777777" w:rsidR="009E3A91" w:rsidRDefault="009E3A91" w:rsidP="009E3A91">
      <w:pPr>
        <w:pStyle w:val="ACMABodyText"/>
        <w:tabs>
          <w:tab w:val="left" w:pos="1843"/>
        </w:tabs>
        <w:spacing w:after="80"/>
        <w:ind w:right="-142"/>
        <w:rPr>
          <w:rFonts w:cs="Arial"/>
          <w:sz w:val="20"/>
          <w:szCs w:val="20"/>
        </w:rPr>
      </w:pPr>
      <w:r>
        <w:rPr>
          <w:rFonts w:cs="Arial"/>
          <w:sz w:val="20"/>
          <w:szCs w:val="20"/>
        </w:rPr>
        <w:t>FTTN</w:t>
      </w:r>
      <w:r>
        <w:rPr>
          <w:rFonts w:cs="Arial"/>
          <w:sz w:val="20"/>
          <w:szCs w:val="20"/>
        </w:rPr>
        <w:tab/>
        <w:t>Fibre-to-the-node</w:t>
      </w:r>
    </w:p>
    <w:p w14:paraId="6A3CE34A" w14:textId="77777777" w:rsidR="00EF0497" w:rsidRDefault="00EF0497" w:rsidP="00EF0497">
      <w:pPr>
        <w:pStyle w:val="ACMABodyText"/>
        <w:tabs>
          <w:tab w:val="left" w:pos="1843"/>
        </w:tabs>
        <w:spacing w:after="80"/>
        <w:ind w:right="-142"/>
        <w:rPr>
          <w:rFonts w:cs="Arial"/>
          <w:sz w:val="20"/>
          <w:szCs w:val="20"/>
        </w:rPr>
      </w:pPr>
      <w:r w:rsidRPr="00C320F6">
        <w:rPr>
          <w:rFonts w:cs="Arial"/>
          <w:sz w:val="20"/>
          <w:szCs w:val="20"/>
        </w:rPr>
        <w:t>Guidelines</w:t>
      </w:r>
      <w:r w:rsidRPr="00C320F6">
        <w:rPr>
          <w:rFonts w:cs="Arial"/>
          <w:sz w:val="20"/>
          <w:szCs w:val="20"/>
        </w:rPr>
        <w:tab/>
        <w:t>Australian Government Co</w:t>
      </w:r>
      <w:r>
        <w:rPr>
          <w:rFonts w:cs="Arial"/>
          <w:sz w:val="20"/>
          <w:szCs w:val="20"/>
        </w:rPr>
        <w:t>st Recovery Guidelines July 2014</w:t>
      </w:r>
    </w:p>
    <w:p w14:paraId="3CE87C7A" w14:textId="77777777" w:rsidR="00EF0497" w:rsidRDefault="00EF0497" w:rsidP="00EF0497">
      <w:pPr>
        <w:pStyle w:val="ACMABodyText"/>
        <w:tabs>
          <w:tab w:val="left" w:pos="1843"/>
        </w:tabs>
        <w:spacing w:after="80"/>
        <w:ind w:right="-142"/>
        <w:rPr>
          <w:rFonts w:cs="Arial"/>
          <w:sz w:val="20"/>
          <w:szCs w:val="20"/>
        </w:rPr>
      </w:pPr>
      <w:r>
        <w:rPr>
          <w:rFonts w:cs="Arial"/>
          <w:sz w:val="20"/>
          <w:szCs w:val="20"/>
        </w:rPr>
        <w:t>ICT</w:t>
      </w:r>
      <w:r>
        <w:rPr>
          <w:rFonts w:cs="Arial"/>
          <w:sz w:val="20"/>
          <w:szCs w:val="20"/>
        </w:rPr>
        <w:tab/>
        <w:t>i</w:t>
      </w:r>
      <w:r w:rsidRPr="0006216F">
        <w:rPr>
          <w:rFonts w:cs="Arial"/>
          <w:sz w:val="20"/>
          <w:szCs w:val="20"/>
        </w:rPr>
        <w:t>nformatio</w:t>
      </w:r>
      <w:r>
        <w:rPr>
          <w:rFonts w:cs="Arial"/>
          <w:sz w:val="20"/>
          <w:szCs w:val="20"/>
        </w:rPr>
        <w:t>n and communication technology</w:t>
      </w:r>
    </w:p>
    <w:p w14:paraId="3DFC320E" w14:textId="77777777" w:rsidR="00EF0497" w:rsidRPr="00C320F6" w:rsidRDefault="00EF0497" w:rsidP="00EF0497">
      <w:pPr>
        <w:pStyle w:val="ACMABodyText"/>
        <w:tabs>
          <w:tab w:val="left" w:pos="1843"/>
        </w:tabs>
        <w:spacing w:after="80"/>
        <w:ind w:right="-142"/>
        <w:rPr>
          <w:rFonts w:cs="Arial"/>
          <w:sz w:val="20"/>
          <w:szCs w:val="20"/>
        </w:rPr>
      </w:pPr>
      <w:r>
        <w:rPr>
          <w:rFonts w:cs="Arial"/>
          <w:sz w:val="20"/>
          <w:szCs w:val="20"/>
        </w:rPr>
        <w:t>IT</w:t>
      </w:r>
      <w:r>
        <w:rPr>
          <w:rFonts w:cs="Arial"/>
          <w:sz w:val="20"/>
          <w:szCs w:val="20"/>
        </w:rPr>
        <w:tab/>
        <w:t>information technology</w:t>
      </w:r>
    </w:p>
    <w:p w14:paraId="0F1925D8" w14:textId="77777777" w:rsidR="00EF0497" w:rsidRPr="00C320F6" w:rsidRDefault="00EF0497" w:rsidP="00EF0497">
      <w:pPr>
        <w:pStyle w:val="ACMABodyText"/>
        <w:tabs>
          <w:tab w:val="left" w:pos="1843"/>
        </w:tabs>
        <w:spacing w:after="80"/>
        <w:ind w:right="-142"/>
        <w:rPr>
          <w:rFonts w:cs="Arial"/>
          <w:sz w:val="20"/>
          <w:szCs w:val="20"/>
        </w:rPr>
      </w:pPr>
      <w:r w:rsidRPr="00C320F6">
        <w:rPr>
          <w:rFonts w:cs="Arial"/>
          <w:sz w:val="20"/>
          <w:szCs w:val="20"/>
        </w:rPr>
        <w:t>ITU</w:t>
      </w:r>
      <w:r w:rsidRPr="00C320F6">
        <w:rPr>
          <w:rFonts w:cs="Arial"/>
          <w:sz w:val="20"/>
          <w:szCs w:val="20"/>
        </w:rPr>
        <w:tab/>
        <w:t>International Telecommunication Union</w:t>
      </w:r>
    </w:p>
    <w:p w14:paraId="52CD9261" w14:textId="77777777" w:rsidR="00EF0497" w:rsidRPr="0071508A" w:rsidRDefault="00EF0497" w:rsidP="00EF0497">
      <w:pPr>
        <w:pStyle w:val="ACMABodyText"/>
        <w:tabs>
          <w:tab w:val="left" w:pos="1843"/>
        </w:tabs>
        <w:spacing w:after="80"/>
        <w:ind w:right="-142"/>
        <w:rPr>
          <w:rFonts w:cs="Arial"/>
          <w:sz w:val="20"/>
          <w:szCs w:val="20"/>
        </w:rPr>
      </w:pPr>
      <w:r w:rsidRPr="0071508A">
        <w:rPr>
          <w:rFonts w:cs="Arial"/>
          <w:sz w:val="20"/>
          <w:szCs w:val="20"/>
        </w:rPr>
        <w:t>ITU-D</w:t>
      </w:r>
      <w:r w:rsidRPr="0071508A">
        <w:rPr>
          <w:rFonts w:cs="Arial"/>
          <w:sz w:val="20"/>
          <w:szCs w:val="20"/>
        </w:rPr>
        <w:tab/>
        <w:t>International Telecommunication Union – Development Sector</w:t>
      </w:r>
    </w:p>
    <w:p w14:paraId="337574F2" w14:textId="77777777" w:rsidR="00EF0497" w:rsidRPr="0071508A" w:rsidRDefault="00EF0497" w:rsidP="00EF0497">
      <w:pPr>
        <w:pStyle w:val="ACMABodyText"/>
        <w:tabs>
          <w:tab w:val="left" w:pos="1843"/>
        </w:tabs>
        <w:spacing w:after="80"/>
        <w:ind w:left="1843" w:right="-142" w:hanging="1843"/>
        <w:rPr>
          <w:rFonts w:cs="Arial"/>
          <w:sz w:val="20"/>
          <w:szCs w:val="20"/>
        </w:rPr>
      </w:pPr>
      <w:r w:rsidRPr="0071508A">
        <w:rPr>
          <w:rFonts w:cs="Arial"/>
          <w:sz w:val="20"/>
          <w:szCs w:val="20"/>
        </w:rPr>
        <w:t>ITU-R</w:t>
      </w:r>
      <w:r w:rsidRPr="0071508A">
        <w:rPr>
          <w:rFonts w:cs="Arial"/>
          <w:sz w:val="20"/>
          <w:szCs w:val="20"/>
        </w:rPr>
        <w:tab/>
        <w:t>International Telecommunication Union – Radiocommunication Sector</w:t>
      </w:r>
    </w:p>
    <w:p w14:paraId="3C143C5C" w14:textId="77777777" w:rsidR="00EF0497" w:rsidRDefault="00EF0497" w:rsidP="00EF0497">
      <w:pPr>
        <w:pStyle w:val="ACMABodyText"/>
        <w:tabs>
          <w:tab w:val="left" w:pos="1843"/>
        </w:tabs>
        <w:spacing w:after="80"/>
        <w:ind w:left="1843" w:right="-142" w:hanging="1843"/>
        <w:rPr>
          <w:rFonts w:cs="Arial"/>
          <w:sz w:val="20"/>
          <w:szCs w:val="20"/>
        </w:rPr>
      </w:pPr>
      <w:r w:rsidRPr="0071508A">
        <w:rPr>
          <w:rFonts w:cs="Arial"/>
          <w:sz w:val="20"/>
          <w:szCs w:val="20"/>
        </w:rPr>
        <w:t>ITU-T</w:t>
      </w:r>
      <w:r w:rsidRPr="0071508A">
        <w:rPr>
          <w:rFonts w:cs="Arial"/>
          <w:sz w:val="20"/>
          <w:szCs w:val="20"/>
        </w:rPr>
        <w:tab/>
        <w:t>International Telecommunication Union – Telecommunication Standardi</w:t>
      </w:r>
      <w:r>
        <w:rPr>
          <w:rFonts w:cs="Arial"/>
          <w:sz w:val="20"/>
          <w:szCs w:val="20"/>
        </w:rPr>
        <w:t>z</w:t>
      </w:r>
      <w:r w:rsidRPr="0071508A">
        <w:rPr>
          <w:rFonts w:cs="Arial"/>
          <w:sz w:val="20"/>
          <w:szCs w:val="20"/>
        </w:rPr>
        <w:t>ation Sector</w:t>
      </w:r>
    </w:p>
    <w:p w14:paraId="5AF3991E" w14:textId="77777777" w:rsidR="00EF0497" w:rsidRPr="00C320F6" w:rsidRDefault="00EF0497" w:rsidP="00EF0497">
      <w:pPr>
        <w:pStyle w:val="ACMABodyText"/>
        <w:tabs>
          <w:tab w:val="left" w:pos="1843"/>
        </w:tabs>
        <w:spacing w:after="80"/>
        <w:ind w:right="-142"/>
        <w:rPr>
          <w:rFonts w:cs="Arial"/>
          <w:sz w:val="20"/>
          <w:szCs w:val="20"/>
        </w:rPr>
      </w:pPr>
      <w:r w:rsidRPr="00C320F6">
        <w:rPr>
          <w:rFonts w:cs="Arial"/>
          <w:sz w:val="20"/>
          <w:szCs w:val="20"/>
        </w:rPr>
        <w:t>MCA</w:t>
      </w:r>
      <w:r w:rsidRPr="00C320F6">
        <w:rPr>
          <w:rFonts w:cs="Arial"/>
          <w:sz w:val="20"/>
          <w:szCs w:val="20"/>
        </w:rPr>
        <w:tab/>
        <w:t>maximum charge amount</w:t>
      </w:r>
    </w:p>
    <w:p w14:paraId="0CB272C2" w14:textId="77777777" w:rsidR="009E3A91" w:rsidRPr="00ED54FF" w:rsidRDefault="009E3A91" w:rsidP="009E3A91">
      <w:pPr>
        <w:pStyle w:val="ACMABodyText"/>
        <w:tabs>
          <w:tab w:val="left" w:pos="1843"/>
        </w:tabs>
        <w:spacing w:after="80"/>
        <w:ind w:right="-142"/>
        <w:rPr>
          <w:rFonts w:cs="Arial"/>
          <w:sz w:val="20"/>
          <w:szCs w:val="20"/>
        </w:rPr>
      </w:pPr>
      <w:r>
        <w:rPr>
          <w:rFonts w:cs="Arial"/>
          <w:sz w:val="20"/>
          <w:szCs w:val="20"/>
        </w:rPr>
        <w:t xml:space="preserve">MBA </w:t>
      </w:r>
      <w:r>
        <w:rPr>
          <w:rFonts w:cs="Arial"/>
          <w:sz w:val="20"/>
          <w:szCs w:val="20"/>
        </w:rPr>
        <w:tab/>
        <w:t>Measuring Broadband Australia</w:t>
      </w:r>
    </w:p>
    <w:p w14:paraId="34E926AA" w14:textId="77777777" w:rsidR="009E3A91" w:rsidRPr="00ED54FF" w:rsidRDefault="009E3A91" w:rsidP="009E3A91">
      <w:pPr>
        <w:pStyle w:val="ACMABodyText"/>
        <w:tabs>
          <w:tab w:val="left" w:pos="1843"/>
        </w:tabs>
        <w:spacing w:after="80"/>
        <w:ind w:right="-142"/>
        <w:rPr>
          <w:rFonts w:cs="Arial"/>
          <w:sz w:val="20"/>
          <w:szCs w:val="20"/>
        </w:rPr>
      </w:pPr>
      <w:r w:rsidRPr="00ED54FF">
        <w:rPr>
          <w:rFonts w:cs="Arial"/>
          <w:sz w:val="20"/>
          <w:szCs w:val="20"/>
        </w:rPr>
        <w:t>NBN</w:t>
      </w:r>
      <w:r w:rsidRPr="00ED54FF">
        <w:rPr>
          <w:rFonts w:cs="Arial"/>
          <w:sz w:val="20"/>
          <w:szCs w:val="20"/>
        </w:rPr>
        <w:tab/>
        <w:t>National Broadband Network</w:t>
      </w:r>
    </w:p>
    <w:p w14:paraId="6F7D0559" w14:textId="77777777" w:rsidR="009E3A91" w:rsidRDefault="009E3A91" w:rsidP="009E3A91">
      <w:pPr>
        <w:pStyle w:val="ACMABodyText"/>
        <w:tabs>
          <w:tab w:val="left" w:pos="1843"/>
        </w:tabs>
        <w:spacing w:after="80"/>
        <w:ind w:right="-142"/>
        <w:rPr>
          <w:rFonts w:cs="Arial"/>
          <w:sz w:val="20"/>
          <w:szCs w:val="20"/>
        </w:rPr>
      </w:pPr>
      <w:r>
        <w:rPr>
          <w:rFonts w:cs="Arial"/>
          <w:sz w:val="20"/>
          <w:szCs w:val="20"/>
        </w:rPr>
        <w:t>NBN Co</w:t>
      </w:r>
      <w:r w:rsidRPr="00ED54FF">
        <w:rPr>
          <w:rFonts w:cs="Arial"/>
          <w:sz w:val="20"/>
          <w:szCs w:val="20"/>
        </w:rPr>
        <w:tab/>
        <w:t>NBN Co Limited</w:t>
      </w:r>
    </w:p>
    <w:p w14:paraId="462FC49F" w14:textId="77777777" w:rsidR="00EF0497" w:rsidRDefault="00EF0497" w:rsidP="00EF0497">
      <w:pPr>
        <w:pStyle w:val="ACMABodyText"/>
        <w:tabs>
          <w:tab w:val="left" w:pos="1843"/>
        </w:tabs>
        <w:spacing w:after="80"/>
        <w:ind w:right="-142"/>
        <w:rPr>
          <w:rFonts w:cs="Arial"/>
          <w:sz w:val="20"/>
          <w:szCs w:val="20"/>
        </w:rPr>
      </w:pPr>
      <w:r w:rsidRPr="00C320F6">
        <w:rPr>
          <w:rFonts w:cs="Arial"/>
          <w:sz w:val="20"/>
          <w:szCs w:val="20"/>
        </w:rPr>
        <w:t>OTC</w:t>
      </w:r>
      <w:r w:rsidRPr="00C320F6">
        <w:rPr>
          <w:rFonts w:cs="Arial"/>
          <w:sz w:val="20"/>
          <w:szCs w:val="20"/>
        </w:rPr>
        <w:tab/>
        <w:t>other telecommunications charges</w:t>
      </w:r>
    </w:p>
    <w:p w14:paraId="3196DEAE" w14:textId="77777777" w:rsidR="00EF0497" w:rsidRDefault="00EF0497" w:rsidP="00EF0497">
      <w:pPr>
        <w:pStyle w:val="ACMABodyText"/>
        <w:tabs>
          <w:tab w:val="left" w:pos="1843"/>
        </w:tabs>
        <w:spacing w:after="80"/>
        <w:ind w:right="-142"/>
        <w:rPr>
          <w:rFonts w:eastAsia="SimSun" w:cs="Arial"/>
          <w:sz w:val="20"/>
        </w:rPr>
      </w:pPr>
      <w:r w:rsidRPr="0071508A">
        <w:rPr>
          <w:rFonts w:eastAsia="SimSun" w:cs="Arial"/>
          <w:sz w:val="20"/>
        </w:rPr>
        <w:t>POI</w:t>
      </w:r>
      <w:r w:rsidRPr="0071508A">
        <w:rPr>
          <w:rFonts w:eastAsia="SimSun" w:cs="Arial"/>
          <w:sz w:val="20"/>
        </w:rPr>
        <w:tab/>
        <w:t>Point of Interconnection</w:t>
      </w:r>
    </w:p>
    <w:p w14:paraId="03E987AA" w14:textId="77777777" w:rsidR="00EF0497" w:rsidRDefault="00EF0497" w:rsidP="00EF0497">
      <w:pPr>
        <w:pStyle w:val="ACMABodyText"/>
        <w:tabs>
          <w:tab w:val="left" w:pos="1843"/>
        </w:tabs>
        <w:spacing w:after="80"/>
        <w:ind w:right="-142"/>
        <w:rPr>
          <w:rFonts w:eastAsia="SimSun" w:cs="Arial"/>
          <w:sz w:val="20"/>
        </w:rPr>
      </w:pPr>
      <w:r w:rsidRPr="00B817EC">
        <w:rPr>
          <w:rFonts w:eastAsia="SimSun" w:cs="Arial"/>
          <w:sz w:val="20"/>
        </w:rPr>
        <w:t>RTC</w:t>
      </w:r>
      <w:r w:rsidRPr="00B817EC">
        <w:rPr>
          <w:rFonts w:eastAsia="SimSun" w:cs="Arial"/>
          <w:sz w:val="20"/>
        </w:rPr>
        <w:tab/>
      </w:r>
      <w:r w:rsidRPr="00EF0497">
        <w:rPr>
          <w:rFonts w:eastAsia="SimSun" w:cs="Arial"/>
          <w:i/>
          <w:sz w:val="20"/>
        </w:rPr>
        <w:t>Reconnecting the Customer</w:t>
      </w:r>
    </w:p>
    <w:p w14:paraId="2A430D03" w14:textId="77777777" w:rsidR="009E3A91" w:rsidRDefault="009E3A91" w:rsidP="009E3A91">
      <w:pPr>
        <w:pStyle w:val="ACMABodyText"/>
        <w:tabs>
          <w:tab w:val="left" w:pos="1843"/>
        </w:tabs>
        <w:spacing w:after="80"/>
        <w:ind w:right="-142"/>
        <w:rPr>
          <w:rFonts w:cs="Arial"/>
          <w:sz w:val="20"/>
          <w:szCs w:val="20"/>
        </w:rPr>
      </w:pPr>
      <w:r>
        <w:rPr>
          <w:rFonts w:cs="Arial"/>
          <w:sz w:val="20"/>
          <w:szCs w:val="20"/>
        </w:rPr>
        <w:t>RSP</w:t>
      </w:r>
      <w:r>
        <w:rPr>
          <w:rFonts w:cs="Arial"/>
          <w:sz w:val="20"/>
          <w:szCs w:val="20"/>
        </w:rPr>
        <w:tab/>
        <w:t>Retail service provider</w:t>
      </w:r>
    </w:p>
    <w:p w14:paraId="6956F24C" w14:textId="77777777" w:rsidR="009E3A91" w:rsidRDefault="009E3A91" w:rsidP="009E3A91">
      <w:pPr>
        <w:pStyle w:val="ACMABodyText"/>
        <w:tabs>
          <w:tab w:val="left" w:pos="1843"/>
        </w:tabs>
        <w:spacing w:after="80"/>
        <w:ind w:right="-142"/>
        <w:rPr>
          <w:rFonts w:cs="Arial"/>
          <w:sz w:val="20"/>
          <w:szCs w:val="20"/>
        </w:rPr>
      </w:pPr>
      <w:r>
        <w:rPr>
          <w:rFonts w:cs="Arial"/>
          <w:sz w:val="20"/>
          <w:szCs w:val="20"/>
        </w:rPr>
        <w:t>SAU</w:t>
      </w:r>
      <w:r>
        <w:rPr>
          <w:rFonts w:cs="Arial"/>
          <w:sz w:val="20"/>
          <w:szCs w:val="20"/>
        </w:rPr>
        <w:tab/>
        <w:t>special separation undertaking</w:t>
      </w:r>
    </w:p>
    <w:p w14:paraId="479A2F04" w14:textId="77777777" w:rsidR="009E3A91" w:rsidRPr="00ED54FF" w:rsidRDefault="009E3A91" w:rsidP="009E3A91">
      <w:pPr>
        <w:pStyle w:val="ACMABodyText"/>
        <w:tabs>
          <w:tab w:val="left" w:pos="1843"/>
        </w:tabs>
        <w:spacing w:after="80"/>
        <w:ind w:right="-142"/>
        <w:rPr>
          <w:rFonts w:cs="Arial"/>
          <w:sz w:val="20"/>
          <w:szCs w:val="20"/>
        </w:rPr>
      </w:pPr>
      <w:r>
        <w:rPr>
          <w:rFonts w:cs="Arial"/>
          <w:sz w:val="20"/>
          <w:szCs w:val="20"/>
        </w:rPr>
        <w:t>SSU</w:t>
      </w:r>
      <w:r>
        <w:rPr>
          <w:rFonts w:cs="Arial"/>
          <w:sz w:val="20"/>
          <w:szCs w:val="20"/>
        </w:rPr>
        <w:tab/>
        <w:t>structural separation undertaking</w:t>
      </w:r>
    </w:p>
    <w:p w14:paraId="78FE2787" w14:textId="77777777" w:rsidR="00D52B96" w:rsidRDefault="00D52B96" w:rsidP="00D52B96">
      <w:pPr>
        <w:pStyle w:val="ACMABodyText"/>
        <w:tabs>
          <w:tab w:val="left" w:pos="1843"/>
        </w:tabs>
        <w:spacing w:after="80"/>
        <w:ind w:left="1843" w:right="-142" w:hanging="1843"/>
        <w:rPr>
          <w:rFonts w:cs="Arial"/>
          <w:sz w:val="20"/>
          <w:szCs w:val="20"/>
        </w:rPr>
      </w:pPr>
      <w:r>
        <w:rPr>
          <w:rFonts w:cs="Arial"/>
          <w:sz w:val="20"/>
          <w:szCs w:val="20"/>
        </w:rPr>
        <w:t>TCP</w:t>
      </w:r>
      <w:r>
        <w:rPr>
          <w:rFonts w:cs="Arial"/>
          <w:sz w:val="20"/>
          <w:szCs w:val="20"/>
        </w:rPr>
        <w:tab/>
        <w:t>Telecommunications Consumer Protections Code</w:t>
      </w:r>
    </w:p>
    <w:p w14:paraId="493F4F04" w14:textId="77777777" w:rsidR="00D52B96" w:rsidRDefault="00D52B96" w:rsidP="00D52B96">
      <w:pPr>
        <w:pStyle w:val="ACMABodyText"/>
        <w:tabs>
          <w:tab w:val="left" w:pos="1843"/>
        </w:tabs>
        <w:spacing w:after="80"/>
        <w:ind w:left="1843" w:right="-142" w:hanging="1843"/>
        <w:rPr>
          <w:rFonts w:cs="Arial"/>
          <w:sz w:val="20"/>
          <w:szCs w:val="20"/>
        </w:rPr>
      </w:pPr>
      <w:r>
        <w:rPr>
          <w:rFonts w:cs="Arial"/>
          <w:sz w:val="20"/>
          <w:szCs w:val="20"/>
        </w:rPr>
        <w:t>TCPSS Act</w:t>
      </w:r>
      <w:r>
        <w:rPr>
          <w:rFonts w:cs="Arial"/>
          <w:sz w:val="20"/>
          <w:szCs w:val="20"/>
        </w:rPr>
        <w:tab/>
      </w:r>
      <w:r w:rsidRPr="00CF3BDA">
        <w:rPr>
          <w:rFonts w:cs="Arial"/>
          <w:i/>
          <w:sz w:val="20"/>
          <w:szCs w:val="20"/>
        </w:rPr>
        <w:t>Telecommunications (Consumer Protection and Service Standards) Act 1999</w:t>
      </w:r>
    </w:p>
    <w:p w14:paraId="1CC738BA" w14:textId="77777777" w:rsidR="00D52B96" w:rsidRPr="00C9249E" w:rsidRDefault="00D52B96" w:rsidP="00D52B96">
      <w:pPr>
        <w:pStyle w:val="ACMABodyText"/>
        <w:tabs>
          <w:tab w:val="left" w:pos="1843"/>
        </w:tabs>
        <w:spacing w:after="80"/>
        <w:ind w:right="-142"/>
        <w:rPr>
          <w:rFonts w:cs="Arial"/>
          <w:i/>
          <w:sz w:val="20"/>
          <w:szCs w:val="20"/>
        </w:rPr>
      </w:pPr>
      <w:r>
        <w:rPr>
          <w:rFonts w:cs="Arial"/>
          <w:sz w:val="20"/>
          <w:szCs w:val="20"/>
        </w:rPr>
        <w:t>Telco Act</w:t>
      </w:r>
      <w:r>
        <w:rPr>
          <w:rFonts w:cs="Arial"/>
          <w:sz w:val="20"/>
          <w:szCs w:val="20"/>
        </w:rPr>
        <w:tab/>
      </w:r>
      <w:r>
        <w:rPr>
          <w:rFonts w:cs="Arial"/>
          <w:i/>
          <w:sz w:val="20"/>
          <w:szCs w:val="20"/>
        </w:rPr>
        <w:t>Telecommunications Act 1997</w:t>
      </w:r>
    </w:p>
    <w:p w14:paraId="21D7FD1B" w14:textId="77777777" w:rsidR="00D52B96" w:rsidRPr="00C320F6" w:rsidRDefault="00D52B96" w:rsidP="00D52B96">
      <w:pPr>
        <w:pStyle w:val="ACMABodyText"/>
        <w:tabs>
          <w:tab w:val="left" w:pos="1843"/>
        </w:tabs>
        <w:spacing w:after="80"/>
        <w:ind w:right="-142"/>
        <w:rPr>
          <w:rFonts w:cs="Arial"/>
          <w:sz w:val="20"/>
          <w:szCs w:val="20"/>
        </w:rPr>
      </w:pPr>
      <w:r w:rsidRPr="00C320F6">
        <w:rPr>
          <w:rFonts w:cs="Arial"/>
          <w:sz w:val="20"/>
          <w:szCs w:val="20"/>
        </w:rPr>
        <w:t>TER</w:t>
      </w:r>
      <w:r w:rsidRPr="00C320F6">
        <w:rPr>
          <w:rFonts w:cs="Arial"/>
          <w:sz w:val="20"/>
          <w:szCs w:val="20"/>
        </w:rPr>
        <w:tab/>
        <w:t>total eligible revenue</w:t>
      </w:r>
    </w:p>
    <w:p w14:paraId="010A8B64" w14:textId="77777777" w:rsidR="009E3A91" w:rsidRPr="00F16A3D" w:rsidRDefault="009E3A91" w:rsidP="009E3A91">
      <w:pPr>
        <w:spacing w:after="80"/>
        <w:ind w:left="1872" w:hanging="1872"/>
      </w:pPr>
      <w:r w:rsidRPr="00F16A3D">
        <w:t xml:space="preserve">TFLC </w:t>
      </w:r>
      <w:r>
        <w:tab/>
        <w:t>T</w:t>
      </w:r>
      <w:r w:rsidRPr="00F16A3D">
        <w:t>he total number of NBN fixed-line connections operated by all monitored service providers.</w:t>
      </w:r>
    </w:p>
    <w:p w14:paraId="0C923421" w14:textId="1DF09E4C" w:rsidR="009E3A91" w:rsidRDefault="009E3A91" w:rsidP="009E3A91">
      <w:pPr>
        <w:pStyle w:val="ACMABodyText"/>
        <w:tabs>
          <w:tab w:val="left" w:pos="1843"/>
        </w:tabs>
        <w:spacing w:after="80"/>
        <w:ind w:right="-142"/>
        <w:rPr>
          <w:rFonts w:cs="Arial"/>
          <w:i/>
          <w:iCs/>
          <w:sz w:val="20"/>
        </w:rPr>
      </w:pPr>
      <w:r w:rsidRPr="00ED54FF">
        <w:rPr>
          <w:rFonts w:cs="Arial"/>
          <w:sz w:val="20"/>
          <w:szCs w:val="20"/>
        </w:rPr>
        <w:t>the Act</w:t>
      </w:r>
      <w:r w:rsidRPr="00ED54FF">
        <w:rPr>
          <w:rFonts w:cs="Arial"/>
          <w:sz w:val="20"/>
          <w:szCs w:val="20"/>
        </w:rPr>
        <w:tab/>
      </w:r>
      <w:r w:rsidRPr="00ED54FF">
        <w:rPr>
          <w:rFonts w:cs="Arial"/>
          <w:i/>
          <w:sz w:val="20"/>
        </w:rPr>
        <w:t>Telecommunications (</w:t>
      </w:r>
      <w:r w:rsidRPr="00ED54FF">
        <w:rPr>
          <w:rFonts w:cs="Arial"/>
          <w:i/>
          <w:iCs/>
          <w:sz w:val="20"/>
        </w:rPr>
        <w:t>Carrier Licence Charges) Act 1997</w:t>
      </w:r>
    </w:p>
    <w:p w14:paraId="155EF759" w14:textId="5936AC96" w:rsidR="009E3A91" w:rsidRPr="00D52B96" w:rsidRDefault="00D52B96" w:rsidP="00D52B96">
      <w:pPr>
        <w:pStyle w:val="ACMABodyText"/>
        <w:tabs>
          <w:tab w:val="left" w:pos="1843"/>
        </w:tabs>
        <w:spacing w:after="80"/>
        <w:ind w:right="-142"/>
        <w:rPr>
          <w:rFonts w:cs="Arial"/>
          <w:sz w:val="20"/>
          <w:szCs w:val="20"/>
        </w:rPr>
      </w:pPr>
      <w:r>
        <w:rPr>
          <w:rFonts w:cs="Arial"/>
          <w:sz w:val="20"/>
          <w:szCs w:val="20"/>
        </w:rPr>
        <w:t>TIO</w:t>
      </w:r>
      <w:r>
        <w:rPr>
          <w:rFonts w:cs="Arial"/>
          <w:sz w:val="20"/>
          <w:szCs w:val="20"/>
        </w:rPr>
        <w:tab/>
        <w:t>Telecommunications Industry Ombudsman</w:t>
      </w:r>
    </w:p>
    <w:sectPr w:rsidR="009E3A91" w:rsidRPr="00D52B96" w:rsidSect="00C77380">
      <w:headerReference w:type="even" r:id="rId28"/>
      <w:headerReference w:type="default" r:id="rId29"/>
      <w:footerReference w:type="even" r:id="rId30"/>
      <w:footerReference w:type="default" r:id="rId31"/>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62DF429" w14:textId="77777777" w:rsidR="006123EF" w:rsidRDefault="006123EF">
      <w:r>
        <w:separator/>
      </w:r>
    </w:p>
  </w:endnote>
  <w:endnote w:type="continuationSeparator" w:id="0">
    <w:p w14:paraId="31614CFE" w14:textId="77777777" w:rsidR="006123EF" w:rsidRDefault="006123EF">
      <w:r>
        <w:continuationSeparator/>
      </w:r>
    </w:p>
  </w:endnote>
  <w:endnote w:type="continuationNotice" w:id="1">
    <w:p w14:paraId="6D9C15D7" w14:textId="77777777" w:rsidR="006123EF" w:rsidRDefault="006123E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Arial"/>
    <w:charset w:val="00"/>
    <w:family w:val="swiss"/>
    <w:pitch w:val="variable"/>
    <w:sig w:usb0="80000287" w:usb1="00000000" w:usb2="00000000" w:usb3="00000000" w:csb0="0000000F" w:csb1="00000000"/>
  </w:font>
  <w:font w:name="SimSun">
    <w:altName w:val="宋体"/>
    <w:panose1 w:val="02010600030101010101"/>
    <w:charset w:val="86"/>
    <w:family w:val="auto"/>
    <w:pitch w:val="variable"/>
    <w:sig w:usb0="00000003" w:usb1="288F0000" w:usb2="00000016" w:usb3="00000000" w:csb0="00040001" w:csb1="00000000"/>
  </w:font>
  <w:font w:name="Book Antiqua">
    <w:panose1 w:val="02040602050305030304"/>
    <w:charset w:val="00"/>
    <w:family w:val="roman"/>
    <w:pitch w:val="variable"/>
    <w:sig w:usb0="00000287" w:usb1="00000000" w:usb2="00000000" w:usb3="00000000" w:csb0="0000009F" w:csb1="00000000"/>
  </w:font>
  <w:font w:name="Times">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930F94" w14:textId="47F358C4" w:rsidR="006123EF" w:rsidRPr="00A5474E" w:rsidRDefault="006123EF" w:rsidP="00A5474E">
    <w:pPr>
      <w:pStyle w:val="Footer"/>
    </w:pPr>
    <w:r>
      <w:rPr>
        <w:noProof/>
      </w:rPr>
      <w:drawing>
        <wp:inline distT="0" distB="0" distL="0" distR="0" wp14:anchorId="6B1E307F" wp14:editId="00376A7B">
          <wp:extent cx="3483864" cy="249613"/>
          <wp:effectExtent l="0" t="0" r="2540" b="0"/>
          <wp:docPr id="24" name="Picture 24" descr="communicating facilitating regulating" title="ACMA strap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ve="http://schemas.openxmlformats.org/markup-compatibility/2006"/>
                    </a:ext>
                  </a:extLst>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727A42" w14:textId="77777777" w:rsidR="006123EF" w:rsidRDefault="006123E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0BFB20" w14:textId="77777777" w:rsidR="006123EF" w:rsidRDefault="006123EF">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2A9652" w14:textId="7A5AB2CC" w:rsidR="006123EF" w:rsidRPr="00622A3B" w:rsidRDefault="006123EF" w:rsidP="006D3409">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51D5AA2B" w14:textId="77777777" w:rsidR="006123EF" w:rsidRPr="00A5474E" w:rsidRDefault="006123EF"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5E78D2" w14:textId="77777777" w:rsidR="006123EF" w:rsidRPr="00A5474E" w:rsidRDefault="006123EF"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04F234" w14:textId="333AB179" w:rsidR="006123EF" w:rsidRPr="00622A3B" w:rsidRDefault="006123EF"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7CCC9E63" w14:textId="77777777" w:rsidR="006123EF" w:rsidRPr="00A5474E" w:rsidRDefault="006123EF"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7DA029" w14:textId="1D010E62" w:rsidR="006123EF" w:rsidRPr="00622A3B" w:rsidRDefault="006123EF" w:rsidP="00B43262">
    <w:pPr>
      <w:pStyle w:val="FooterLeft"/>
      <w:framePr w:wrap="around" w:x="1141" w:y="16166"/>
      <w:tabs>
        <w:tab w:val="clear" w:pos="113"/>
        <w:tab w:val="right" w:pos="397"/>
      </w:tabs>
    </w:pPr>
    <w:r>
      <w:fldChar w:fldCharType="begin"/>
    </w:r>
    <w:r>
      <w:instrText xml:space="preserve"> PAGE  \* Arabic  \* MERGEFORMAT </w:instrText>
    </w:r>
    <w:r>
      <w:fldChar w:fldCharType="separate"/>
    </w:r>
    <w:r>
      <w:rPr>
        <w:noProof/>
      </w:rPr>
      <w:t>48</w:t>
    </w:r>
    <w:r>
      <w:rPr>
        <w:noProof/>
      </w:rPr>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17760795" w14:textId="77777777" w:rsidR="006123EF" w:rsidRPr="00A5474E" w:rsidRDefault="006123EF"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89AA44" w14:textId="2946C046" w:rsidR="006123EF" w:rsidRPr="00622A3B" w:rsidRDefault="006123EF"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49</w:t>
    </w:r>
    <w:r w:rsidRPr="00575AC5">
      <w:rPr>
        <w:color w:val="505050"/>
      </w:rPr>
      <w:fldChar w:fldCharType="end"/>
    </w:r>
  </w:p>
  <w:p w14:paraId="3D55E69E" w14:textId="77777777" w:rsidR="006123EF" w:rsidRPr="00A5474E" w:rsidRDefault="006123EF"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730C69" w14:textId="77777777" w:rsidR="006123EF" w:rsidRDefault="006123EF">
      <w:r>
        <w:separator/>
      </w:r>
    </w:p>
  </w:footnote>
  <w:footnote w:type="continuationSeparator" w:id="0">
    <w:p w14:paraId="56B934BA" w14:textId="77777777" w:rsidR="006123EF" w:rsidRDefault="006123EF">
      <w:r>
        <w:continuationSeparator/>
      </w:r>
    </w:p>
  </w:footnote>
  <w:footnote w:type="continuationNotice" w:id="1">
    <w:p w14:paraId="3442F1CE" w14:textId="77777777" w:rsidR="006123EF" w:rsidRDefault="006123EF">
      <w:pPr>
        <w:spacing w:after="0" w:line="240" w:lineRule="auto"/>
      </w:pPr>
    </w:p>
  </w:footnote>
  <w:footnote w:id="2">
    <w:p w14:paraId="68FCAB5A" w14:textId="77777777" w:rsidR="006123EF" w:rsidRDefault="006123EF">
      <w:pPr>
        <w:pStyle w:val="FootnoteText"/>
      </w:pPr>
      <w:r>
        <w:rPr>
          <w:rStyle w:val="FootnoteReference"/>
        </w:rPr>
        <w:footnoteRef/>
      </w:r>
      <w:r>
        <w:t xml:space="preserve"> </w:t>
      </w:r>
      <w:r w:rsidRPr="00EA3C30">
        <w:t xml:space="preserve">The </w:t>
      </w:r>
      <w:r>
        <w:t xml:space="preserve">Minister for the Communications and the Arts made the </w:t>
      </w:r>
      <w:r w:rsidRPr="005B4096">
        <w:t>Australian Communications and Media Authority (Annual Carrier Licence Charge) Direction 2017</w:t>
      </w:r>
      <w:r>
        <w:t>,</w:t>
      </w:r>
      <w:r w:rsidRPr="005B4096">
        <w:t xml:space="preserve"> </w:t>
      </w:r>
      <w:r>
        <w:t>which</w:t>
      </w:r>
      <w:r>
        <w:rPr>
          <w:i/>
        </w:rPr>
        <w:t xml:space="preserve"> </w:t>
      </w:r>
      <w:r>
        <w:t xml:space="preserve">directs the ACMA to determine the ACLC of non-participating persons to be $0 for the financial year commencing 1 July 2017 and subsequent years. </w:t>
      </w:r>
    </w:p>
  </w:footnote>
  <w:footnote w:id="3">
    <w:p w14:paraId="40467E27" w14:textId="77777777" w:rsidR="006123EF" w:rsidRDefault="006123EF" w:rsidP="00AA7B15">
      <w:pPr>
        <w:pStyle w:val="FootnoteText"/>
      </w:pPr>
      <w:r w:rsidRPr="00E648E5">
        <w:rPr>
          <w:rStyle w:val="FootnoteReference"/>
        </w:rPr>
        <w:footnoteRef/>
      </w:r>
      <w:r w:rsidRPr="00E648E5">
        <w:t xml:space="preserve"> More information can be obtained from: </w:t>
      </w:r>
      <w:hyperlink r:id="rId1" w:history="1">
        <w:r>
          <w:rPr>
            <w:rStyle w:val="Hyperlink"/>
          </w:rPr>
          <w:t>www.acma.gov.au/Industry/Telco/Carriers-and-service-providers/Licence-fees-annual-levies-and-charges/eligible-revenue-portal-current-year</w:t>
        </w:r>
      </w:hyperlink>
      <w:r w:rsidRPr="00B9480B">
        <w:rPr>
          <w:rStyle w:val="Hyperlink"/>
          <w:color w:val="auto"/>
          <w:u w:val="none"/>
        </w:rPr>
        <w:t>.</w:t>
      </w:r>
    </w:p>
  </w:footnote>
  <w:footnote w:id="4">
    <w:p w14:paraId="6B6279F4" w14:textId="77777777" w:rsidR="006123EF" w:rsidRPr="00400A7F" w:rsidRDefault="006123EF" w:rsidP="00400A7F">
      <w:pPr>
        <w:pStyle w:val="FootnoteText"/>
        <w:rPr>
          <w:rFonts w:cs="Arial"/>
        </w:rPr>
      </w:pPr>
      <w:r w:rsidRPr="003A2CEA">
        <w:rPr>
          <w:rStyle w:val="FootnoteReference"/>
          <w:rFonts w:cs="Arial"/>
        </w:rPr>
        <w:footnoteRef/>
      </w:r>
      <w:r>
        <w:t xml:space="preserve"> </w:t>
      </w:r>
      <w:hyperlink r:id="rId2" w:history="1">
        <w:r w:rsidRPr="00B9480B">
          <w:rPr>
            <w:rStyle w:val="Hyperlink"/>
            <w:rFonts w:cs="Arial"/>
          </w:rPr>
          <w:t>www.budget.gov.au/1996-97/STATE4/STATE4.asp</w:t>
        </w:r>
      </w:hyperlink>
      <w:r w:rsidRPr="005B4096">
        <w:rPr>
          <w:rStyle w:val="Hyperlink"/>
          <w:rFonts w:cs="Arial"/>
          <w:color w:val="auto"/>
          <w:u w:val="none"/>
        </w:rPr>
        <w:t>,</w:t>
      </w:r>
      <w:r>
        <w:rPr>
          <w:rStyle w:val="Hyperlink"/>
          <w:rFonts w:cs="Arial"/>
        </w:rPr>
        <w:t xml:space="preserve"> </w:t>
      </w:r>
    </w:p>
    <w:p w14:paraId="3BED7309" w14:textId="77777777" w:rsidR="006123EF" w:rsidRPr="00400A7F" w:rsidRDefault="007B7726" w:rsidP="00F5728D">
      <w:pPr>
        <w:pStyle w:val="FootnoteText"/>
        <w:rPr>
          <w:rFonts w:cs="Arial"/>
        </w:rPr>
      </w:pPr>
      <w:hyperlink r:id="rId3" w:history="1">
        <w:r w:rsidR="006123EF" w:rsidRPr="00B9480B">
          <w:rPr>
            <w:rStyle w:val="Hyperlink"/>
            <w:rFonts w:cs="Arial"/>
          </w:rPr>
          <w:t>www.budget.gov.au/2005-06/myefo/html/11_appendix_a-08.htm</w:t>
        </w:r>
      </w:hyperlink>
      <w:r w:rsidR="006123EF" w:rsidRPr="00E70B9D">
        <w:rPr>
          <w:rStyle w:val="Hyperlink"/>
          <w:rFonts w:cs="Arial"/>
          <w:color w:val="auto"/>
          <w:u w:val="none"/>
        </w:rPr>
        <w:t>,</w:t>
      </w:r>
    </w:p>
    <w:p w14:paraId="1F63019B" w14:textId="77777777" w:rsidR="006123EF" w:rsidRPr="00B9480B" w:rsidRDefault="006123EF" w:rsidP="00F5728D">
      <w:pPr>
        <w:pStyle w:val="FootnoteText"/>
        <w:rPr>
          <w:rStyle w:val="Hyperlink"/>
          <w:rFonts w:cs="Arial"/>
        </w:rPr>
      </w:pPr>
      <w:r>
        <w:fldChar w:fldCharType="begin"/>
      </w:r>
      <w:r>
        <w:instrText xml:space="preserve"> HYPERLINK "http://www.budget.gov.au/2009-10/content/bp2/html/bp2_expense-07.htm" </w:instrText>
      </w:r>
      <w:r>
        <w:fldChar w:fldCharType="separate"/>
      </w:r>
      <w:r w:rsidRPr="00B9480B">
        <w:rPr>
          <w:rStyle w:val="Hyperlink"/>
        </w:rPr>
        <w:t>www.budget.gov.au/2009-10/content/bp2/html/bp2_expense-07.htm</w:t>
      </w:r>
      <w:r w:rsidRPr="00E70B9D">
        <w:rPr>
          <w:rStyle w:val="Hyperlink"/>
          <w:rFonts w:cs="Arial"/>
          <w:color w:val="auto"/>
          <w:u w:val="none"/>
        </w:rPr>
        <w:t>,</w:t>
      </w:r>
    </w:p>
    <w:p w14:paraId="344148EA" w14:textId="77777777" w:rsidR="006123EF" w:rsidRDefault="006123EF" w:rsidP="00F5728D">
      <w:pPr>
        <w:pStyle w:val="FootnoteText"/>
      </w:pPr>
      <w:r>
        <w:fldChar w:fldCharType="end"/>
      </w:r>
      <w:hyperlink r:id="rId4" w:history="1">
        <w:r w:rsidRPr="00B9480B">
          <w:rPr>
            <w:rStyle w:val="Hyperlink"/>
          </w:rPr>
          <w:t>www.budget.gov.au/2009-10/content/myefo/html/appendix_a_07.htm</w:t>
        </w:r>
      </w:hyperlink>
      <w:r w:rsidRPr="00E70B9D">
        <w:rPr>
          <w:rStyle w:val="Hyperlink"/>
          <w:rFonts w:cs="Arial"/>
          <w:color w:val="auto"/>
          <w:u w:val="none"/>
        </w:rPr>
        <w:t>,</w:t>
      </w:r>
    </w:p>
    <w:p w14:paraId="4796F5ED" w14:textId="77777777" w:rsidR="006123EF" w:rsidRPr="00B9480B" w:rsidRDefault="006123EF" w:rsidP="00F5728D">
      <w:pPr>
        <w:pStyle w:val="FootnoteText"/>
        <w:rPr>
          <w:rStyle w:val="Hyperlink"/>
          <w:rFonts w:cs="Arial"/>
        </w:rPr>
      </w:pPr>
      <w:r>
        <w:fldChar w:fldCharType="begin"/>
      </w:r>
      <w:r>
        <w:instrText xml:space="preserve"> HYPERLINK "http://www.budget.gov.au/2010-11/content/bp2/html/bp2_expense-04.htm" </w:instrText>
      </w:r>
      <w:r>
        <w:fldChar w:fldCharType="separate"/>
      </w:r>
      <w:r w:rsidRPr="00B9480B">
        <w:rPr>
          <w:rStyle w:val="Hyperlink"/>
        </w:rPr>
        <w:t>www.budget.gov.au/2010-11/content/bp2/html/bp2_expense-04.htm</w:t>
      </w:r>
      <w:r w:rsidRPr="00E70B9D">
        <w:rPr>
          <w:rStyle w:val="Hyperlink"/>
          <w:rFonts w:cs="Arial"/>
          <w:color w:val="auto"/>
          <w:u w:val="none"/>
        </w:rPr>
        <w:t>,</w:t>
      </w:r>
    </w:p>
    <w:p w14:paraId="0565526D" w14:textId="77777777" w:rsidR="006123EF" w:rsidRPr="00B9480B" w:rsidRDefault="006123EF" w:rsidP="00F5728D">
      <w:pPr>
        <w:pStyle w:val="FootnoteText"/>
        <w:rPr>
          <w:rStyle w:val="Hyperlink"/>
          <w:rFonts w:cs="Arial"/>
        </w:rPr>
      </w:pPr>
      <w:r>
        <w:fldChar w:fldCharType="end"/>
      </w:r>
      <w:r>
        <w:fldChar w:fldCharType="begin"/>
      </w:r>
      <w:r>
        <w:instrText xml:space="preserve"> HYPERLINK "http://www.budget.gov.au/2011-12/content/bp2/html/bp2_expense-04.htm" </w:instrText>
      </w:r>
      <w:r>
        <w:fldChar w:fldCharType="separate"/>
      </w:r>
      <w:r w:rsidRPr="00B9480B">
        <w:rPr>
          <w:rStyle w:val="Hyperlink"/>
        </w:rPr>
        <w:t>www.budget.gov.au/2011-12/content/bp2/html/bp2_expense-04.htm</w:t>
      </w:r>
      <w:r w:rsidRPr="00E70B9D">
        <w:rPr>
          <w:rStyle w:val="Hyperlink"/>
          <w:rFonts w:cs="Arial"/>
          <w:color w:val="auto"/>
          <w:u w:val="none"/>
        </w:rPr>
        <w:t>,</w:t>
      </w:r>
    </w:p>
    <w:p w14:paraId="1B17E476" w14:textId="77777777" w:rsidR="006123EF" w:rsidRDefault="006123EF" w:rsidP="00F5728D">
      <w:pPr>
        <w:pStyle w:val="FootnoteText"/>
      </w:pPr>
      <w:r>
        <w:fldChar w:fldCharType="end"/>
      </w:r>
      <w:hyperlink r:id="rId5" w:history="1">
        <w:r w:rsidRPr="00B9480B">
          <w:rPr>
            <w:rStyle w:val="Hyperlink"/>
          </w:rPr>
          <w:t>www.budget.gov.au/2013-14/content/bp2/html/bp2_expense-23.htm</w:t>
        </w:r>
      </w:hyperlink>
      <w:r w:rsidRPr="00E70B9D">
        <w:rPr>
          <w:rStyle w:val="Hyperlink"/>
          <w:rFonts w:cs="Arial"/>
          <w:color w:val="auto"/>
          <w:u w:val="none"/>
        </w:rPr>
        <w:t>,</w:t>
      </w:r>
    </w:p>
    <w:p w14:paraId="7EA43391" w14:textId="77777777" w:rsidR="006123EF" w:rsidRPr="00400A7F" w:rsidRDefault="007B7726" w:rsidP="00F5728D">
      <w:pPr>
        <w:pStyle w:val="FootnoteText"/>
        <w:rPr>
          <w:rFonts w:cs="Arial"/>
        </w:rPr>
      </w:pPr>
      <w:hyperlink r:id="rId6" w:history="1">
        <w:r w:rsidR="006123EF" w:rsidRPr="00B9480B">
          <w:rPr>
            <w:rStyle w:val="Hyperlink"/>
          </w:rPr>
          <w:t>www.budget.gov.au/2014-15/content/bp2/download/BP2_consolidated.pdf</w:t>
        </w:r>
      </w:hyperlink>
      <w:r w:rsidR="006123EF" w:rsidRPr="00E70B9D">
        <w:rPr>
          <w:rStyle w:val="Hyperlink"/>
          <w:rFonts w:cs="Arial"/>
          <w:color w:val="auto"/>
          <w:u w:val="none"/>
        </w:rPr>
        <w:t>,</w:t>
      </w:r>
    </w:p>
    <w:p w14:paraId="7C5B446C" w14:textId="2969AD01" w:rsidR="006123EF" w:rsidRPr="003A2CEA" w:rsidRDefault="007B7726" w:rsidP="00F5728D">
      <w:pPr>
        <w:pStyle w:val="FootnoteText"/>
        <w:rPr>
          <w:rFonts w:cs="Arial"/>
        </w:rPr>
      </w:pPr>
      <w:hyperlink r:id="rId7" w:history="1">
        <w:r w:rsidR="006123EF" w:rsidRPr="00B9480B">
          <w:rPr>
            <w:rStyle w:val="Hyperlink"/>
          </w:rPr>
          <w:t>www.communications.gov.au/documents/2015-16-dept-comms-and-arts-paes</w:t>
        </w:r>
      </w:hyperlink>
      <w:r w:rsidR="006123EF">
        <w:rPr>
          <w:rStyle w:val="Hyperlink"/>
          <w:rFonts w:cs="Arial"/>
          <w:color w:val="auto"/>
          <w:u w:val="none"/>
        </w:rPr>
        <w:t>.</w:t>
      </w:r>
    </w:p>
  </w:footnote>
  <w:footnote w:id="5">
    <w:p w14:paraId="545CE216" w14:textId="77777777" w:rsidR="006123EF" w:rsidRDefault="006123EF">
      <w:pPr>
        <w:pStyle w:val="FootnoteText"/>
      </w:pPr>
      <w:r>
        <w:rPr>
          <w:rStyle w:val="FootnoteReference"/>
        </w:rPr>
        <w:footnoteRef/>
      </w:r>
      <w:r>
        <w:t xml:space="preserve"> This can be accessed from: </w:t>
      </w:r>
      <w:hyperlink r:id="rId8" w:history="1">
        <w:r w:rsidRPr="0095444A">
          <w:rPr>
            <w:rStyle w:val="Hyperlink"/>
          </w:rPr>
          <w:t>https://www.legislation.gov.au/Details/F2017L00542</w:t>
        </w:r>
      </w:hyperlink>
      <w:r w:rsidRPr="005B4096">
        <w:rPr>
          <w:rStyle w:val="Hyperlink"/>
          <w:color w:val="auto"/>
          <w:u w:val="none"/>
        </w:rPr>
        <w:t>.</w:t>
      </w:r>
      <w:r w:rsidRPr="00F5728D">
        <w:t xml:space="preserve"> </w:t>
      </w:r>
    </w:p>
  </w:footnote>
  <w:footnote w:id="6">
    <w:p w14:paraId="0A5A53C4" w14:textId="77777777" w:rsidR="006123EF" w:rsidRPr="002223D2" w:rsidRDefault="006123EF">
      <w:pPr>
        <w:pStyle w:val="FootnoteText"/>
      </w:pPr>
      <w:r w:rsidRPr="002223D2">
        <w:rPr>
          <w:rStyle w:val="FootnoteReference"/>
        </w:rPr>
        <w:footnoteRef/>
      </w:r>
      <w:r w:rsidRPr="002223D2">
        <w:t xml:space="preserve"> The Direction 2017 defines relevant financial year as the financial year tha</w:t>
      </w:r>
      <w:r>
        <w:t>t begins on 1 July 2017</w:t>
      </w:r>
      <w:r w:rsidRPr="002223D2">
        <w:t xml:space="preserve"> and each later financial year</w:t>
      </w:r>
    </w:p>
  </w:footnote>
  <w:footnote w:id="7">
    <w:p w14:paraId="464C3DA6" w14:textId="77777777" w:rsidR="006123EF" w:rsidRDefault="006123EF">
      <w:pPr>
        <w:pStyle w:val="FootnoteText"/>
      </w:pPr>
      <w:r w:rsidRPr="007B5ADB">
        <w:rPr>
          <w:rStyle w:val="FootnoteReference"/>
        </w:rPr>
        <w:footnoteRef/>
      </w:r>
      <w:r w:rsidRPr="007B5ADB">
        <w:t xml:space="preserve"> This component may incorporate costs indirectly related to the MBA program, (for example administration costs, contract management and publishing of results costs) associated more generally with the ACLC.</w:t>
      </w:r>
    </w:p>
  </w:footnote>
  <w:footnote w:id="8">
    <w:p w14:paraId="1F31FCCB" w14:textId="7978F89B" w:rsidR="006123EF" w:rsidRDefault="006123EF">
      <w:pPr>
        <w:pStyle w:val="FootnoteText"/>
      </w:pPr>
      <w:r>
        <w:rPr>
          <w:rStyle w:val="FootnoteReference"/>
        </w:rPr>
        <w:footnoteRef/>
      </w:r>
      <w:r>
        <w:t xml:space="preserve"> This can be accessed from </w:t>
      </w:r>
      <w:hyperlink r:id="rId9" w:history="1">
        <w:r w:rsidRPr="00890E14">
          <w:rPr>
            <w:rStyle w:val="Hyperlink"/>
          </w:rPr>
          <w:t>https://www.legislation.gov.au/Details/F2018L00784</w:t>
        </w:r>
      </w:hyperlink>
      <w:r>
        <w:rPr>
          <w:rStyle w:val="Hyperlink"/>
        </w:rPr>
        <w:t xml:space="preserve"> </w:t>
      </w:r>
    </w:p>
  </w:footnote>
  <w:footnote w:id="9">
    <w:p w14:paraId="75E5F307" w14:textId="77777777" w:rsidR="006123EF" w:rsidRDefault="006123EF">
      <w:pPr>
        <w:pStyle w:val="FootnoteText"/>
      </w:pPr>
      <w:r>
        <w:rPr>
          <w:rStyle w:val="FootnoteReference"/>
        </w:rPr>
        <w:footnoteRef/>
      </w:r>
      <w:r>
        <w:t xml:space="preserve"> This can be accessed from: </w:t>
      </w:r>
      <w:hyperlink r:id="rId10" w:history="1">
        <w:r w:rsidRPr="0095444A">
          <w:rPr>
            <w:rStyle w:val="Hyperlink"/>
          </w:rPr>
          <w:t>https://www.legislation.gov.au/Details/F2018L00060</w:t>
        </w:r>
      </w:hyperlink>
      <w:r w:rsidRPr="005B4096">
        <w:rPr>
          <w:rStyle w:val="Hyperlink"/>
          <w:color w:val="auto"/>
          <w:u w:val="none"/>
        </w:rPr>
        <w:t>.</w:t>
      </w:r>
      <w:r>
        <w:t xml:space="preserve"> </w:t>
      </w:r>
    </w:p>
  </w:footnote>
  <w:footnote w:id="10">
    <w:p w14:paraId="11A938B3" w14:textId="77777777" w:rsidR="006123EF" w:rsidRDefault="006123EF">
      <w:pPr>
        <w:pStyle w:val="FootnoteText"/>
      </w:pPr>
      <w:r>
        <w:rPr>
          <w:rStyle w:val="FootnoteReference"/>
        </w:rPr>
        <w:footnoteRef/>
      </w:r>
      <w:r>
        <w:t xml:space="preserve"> Subsection 15(4) of the Act defines the terms ‘ACMA’s telecommunications functions’ and ‘ACMA’s telecommunications powers’ for the purposes of the Act. </w:t>
      </w:r>
    </w:p>
  </w:footnote>
  <w:footnote w:id="11">
    <w:p w14:paraId="23F0E6E6" w14:textId="77777777" w:rsidR="006123EF" w:rsidRDefault="006123EF" w:rsidP="00AA7B15">
      <w:pPr>
        <w:pStyle w:val="FootnoteText"/>
      </w:pPr>
      <w:r>
        <w:rPr>
          <w:rStyle w:val="FootnoteReference"/>
        </w:rPr>
        <w:footnoteRef/>
      </w:r>
      <w:r>
        <w:t xml:space="preserve"> ACMA </w:t>
      </w:r>
      <w:r>
        <w:rPr>
          <w:i/>
        </w:rPr>
        <w:t>Annual report 2016–17</w:t>
      </w:r>
      <w:r>
        <w:t xml:space="preserve">, can be accessed from: </w:t>
      </w:r>
      <w:hyperlink r:id="rId11" w:history="1">
        <w:r>
          <w:rPr>
            <w:rStyle w:val="Hyperlink"/>
          </w:rPr>
          <w:t>www.acma.gov.au/theACMA/Library/Corporate-library/Corporate-publications/annual-report</w:t>
        </w:r>
      </w:hyperlink>
      <w:r>
        <w:t>.</w:t>
      </w:r>
    </w:p>
  </w:footnote>
  <w:footnote w:id="12">
    <w:p w14:paraId="6BD6BE0C" w14:textId="77777777" w:rsidR="006123EF" w:rsidRDefault="006123EF" w:rsidP="009E783D">
      <w:pPr>
        <w:pStyle w:val="FootnoteText"/>
      </w:pPr>
      <w:r>
        <w:rPr>
          <w:rStyle w:val="FootnoteReference"/>
        </w:rPr>
        <w:footnoteRef/>
      </w:r>
      <w:r>
        <w:t xml:space="preserve"> Relates to the Communications Infrastructure Division; Content, Consumer and Citizen Division and part of the Corporate and Research Division of the ACMA.</w:t>
      </w:r>
    </w:p>
  </w:footnote>
  <w:footnote w:id="13">
    <w:p w14:paraId="2845D0EA" w14:textId="77777777" w:rsidR="006123EF" w:rsidRPr="00C320F6" w:rsidRDefault="006123EF" w:rsidP="00681F59">
      <w:pPr>
        <w:pStyle w:val="FootnoteText"/>
      </w:pPr>
      <w:r w:rsidRPr="00C320F6">
        <w:rPr>
          <w:rStyle w:val="FootnoteReference"/>
          <w:rFonts w:cs="Arial"/>
        </w:rPr>
        <w:footnoteRef/>
      </w:r>
      <w:r w:rsidRPr="00C320F6">
        <w:t xml:space="preserve"> This is the amount of the ACMA’s costs for the immediately preceding financial year that is attributable to the ACMA’s telecommunications functions and powers, but has been met from telecommunications charges other than the ACLC (see </w:t>
      </w:r>
      <w:r w:rsidRPr="00144A3A">
        <w:t xml:space="preserve">Attachment </w:t>
      </w:r>
      <w:r>
        <w:t>A</w:t>
      </w:r>
      <w:r w:rsidRPr="00C320F6">
        <w:t>)</w:t>
      </w:r>
      <w:r>
        <w:t>.</w:t>
      </w:r>
    </w:p>
  </w:footnote>
  <w:footnote w:id="14">
    <w:p w14:paraId="28972627" w14:textId="77777777" w:rsidR="006123EF" w:rsidRDefault="006123EF" w:rsidP="00E0161E">
      <w:pPr>
        <w:pStyle w:val="FootnoteText"/>
      </w:pPr>
      <w:r>
        <w:rPr>
          <w:rStyle w:val="FootnoteReference"/>
        </w:rPr>
        <w:footnoteRef/>
      </w:r>
      <w:r>
        <w:t xml:space="preserve"> </w:t>
      </w:r>
      <w:r w:rsidRPr="00720272">
        <w:rPr>
          <w:rFonts w:cs="Arial"/>
        </w:rPr>
        <w:t>The Act requires the components under paragraph 15(1)(a)</w:t>
      </w:r>
      <w:r>
        <w:rPr>
          <w:rFonts w:cs="Arial"/>
        </w:rPr>
        <w:t xml:space="preserve">, </w:t>
      </w:r>
      <w:r w:rsidRPr="00720272">
        <w:rPr>
          <w:rFonts w:cs="Arial"/>
        </w:rPr>
        <w:t xml:space="preserve">15(1)(b) and 15(1)(ca) to be calculated on the costs that are incurred in the financial year immediately preceding the financial year </w:t>
      </w:r>
      <w:r>
        <w:rPr>
          <w:rFonts w:cs="Arial"/>
        </w:rPr>
        <w:t xml:space="preserve">(the 2016–17 financial year) </w:t>
      </w:r>
      <w:r w:rsidRPr="00720272">
        <w:rPr>
          <w:rFonts w:cs="Arial"/>
        </w:rPr>
        <w:t>for which the charges are imposed</w:t>
      </w:r>
      <w:r>
        <w:rPr>
          <w:rFonts w:cs="Arial"/>
        </w:rPr>
        <w:t>. T</w:t>
      </w:r>
      <w:r w:rsidRPr="00D35E14">
        <w:t xml:space="preserve">he cost component under paragraph 15(1)(c) relates to the calendar year </w:t>
      </w:r>
      <w:r>
        <w:t xml:space="preserve">(the 2017 calendar year) </w:t>
      </w:r>
      <w:r w:rsidRPr="00D35E14">
        <w:t>in which the beginning of the financial year for imposing the ACLC occurs.</w:t>
      </w:r>
      <w:r>
        <w:t xml:space="preserve"> The component under paragraph 15(1)(d) relates to the 2017–18 financial year.</w:t>
      </w:r>
    </w:p>
  </w:footnote>
  <w:footnote w:id="15">
    <w:p w14:paraId="7823F34D" w14:textId="77777777" w:rsidR="006123EF" w:rsidRDefault="006123EF" w:rsidP="000A64FA">
      <w:pPr>
        <w:pStyle w:val="FootnoteText"/>
      </w:pPr>
      <w:r>
        <w:rPr>
          <w:rStyle w:val="FootnoteReference"/>
        </w:rPr>
        <w:footnoteRef/>
      </w:r>
      <w:r>
        <w:t xml:space="preserve"> This is available on </w:t>
      </w:r>
      <w:hyperlink r:id="rId12" w:history="1">
        <w:r w:rsidRPr="00E8234D">
          <w:rPr>
            <w:rStyle w:val="Hyperlink"/>
          </w:rPr>
          <w:t>http://www.finance.gov.au/resource-management/charging-framework/risk-assessment-template/</w:t>
        </w:r>
      </w:hyperlink>
      <w:r>
        <w:t>.</w:t>
      </w:r>
    </w:p>
  </w:footnote>
  <w:footnote w:id="16">
    <w:p w14:paraId="2486F46C" w14:textId="633E2596" w:rsidR="006123EF" w:rsidRDefault="006123EF" w:rsidP="00864956">
      <w:pPr>
        <w:pStyle w:val="FootnoteText"/>
      </w:pPr>
      <w:r>
        <w:rPr>
          <w:rStyle w:val="FootnoteReference"/>
        </w:rPr>
        <w:footnoteRef/>
      </w:r>
      <w:r>
        <w:t xml:space="preserve"> </w:t>
      </w:r>
      <w:hyperlink r:id="rId13" w:history="1">
        <w:r w:rsidRPr="001D23D2">
          <w:rPr>
            <w:rStyle w:val="Hyperlink"/>
          </w:rPr>
          <w:t>https://static.treasury.gov.au/uploads/sites/1/2017/06/PBS-2.pdf</w:t>
        </w:r>
      </w:hyperlink>
      <w:r>
        <w:t>, p. 83.</w:t>
      </w:r>
    </w:p>
  </w:footnote>
  <w:footnote w:id="17">
    <w:p w14:paraId="1D6DC1B6" w14:textId="6234D07E" w:rsidR="006123EF" w:rsidRDefault="006123EF" w:rsidP="00864956">
      <w:pPr>
        <w:pStyle w:val="FootnoteText"/>
      </w:pPr>
      <w:r>
        <w:rPr>
          <w:rStyle w:val="FootnoteReference"/>
        </w:rPr>
        <w:footnoteRef/>
      </w:r>
      <w:hyperlink r:id="rId14" w:history="1">
        <w:r w:rsidRPr="002D5A7A">
          <w:rPr>
            <w:rStyle w:val="Hyperlink"/>
          </w:rPr>
          <w:t>https://static.treasury.gov.au/uploads/sites/1/2018/02/p2018-261159v3.pdf</w:t>
        </w:r>
      </w:hyperlink>
      <w:r>
        <w:t>, p. 37.</w:t>
      </w:r>
    </w:p>
  </w:footnote>
  <w:footnote w:id="18">
    <w:p w14:paraId="16AD1745" w14:textId="77777777" w:rsidR="006123EF" w:rsidRDefault="006123EF">
      <w:pPr>
        <w:pStyle w:val="FootnoteText"/>
      </w:pPr>
      <w:r>
        <w:rPr>
          <w:rStyle w:val="FootnoteReference"/>
        </w:rPr>
        <w:footnoteRef/>
      </w:r>
      <w:r>
        <w:t xml:space="preserve"> ACMA </w:t>
      </w:r>
      <w:r>
        <w:rPr>
          <w:i/>
        </w:rPr>
        <w:t>Annual report 2016–17</w:t>
      </w:r>
      <w:r>
        <w:t xml:space="preserve">, can be accessed from: </w:t>
      </w:r>
      <w:hyperlink r:id="rId15" w:history="1">
        <w:r>
          <w:rPr>
            <w:rStyle w:val="Hyperlink"/>
          </w:rPr>
          <w:t>www.acma.gov.au/theACMA/Library/Corporate-library/Corporate-publications/annual-report</w:t>
        </w:r>
      </w:hyperlink>
      <w:r w:rsidRPr="001F572C">
        <w:rPr>
          <w:rStyle w:val="Hyperlink"/>
          <w:u w:val="none"/>
        </w:rPr>
        <w:t>.</w:t>
      </w:r>
    </w:p>
  </w:footnote>
  <w:footnote w:id="19">
    <w:p w14:paraId="5FE67D53" w14:textId="77777777" w:rsidR="006123EF" w:rsidRDefault="006123EF" w:rsidP="009E3A91">
      <w:pPr>
        <w:pStyle w:val="FootnoteText"/>
      </w:pPr>
      <w:r>
        <w:rPr>
          <w:rStyle w:val="FootnoteReference"/>
        </w:rPr>
        <w:footnoteRef/>
      </w:r>
      <w:r>
        <w:t xml:space="preserve"> Australian Competition and Consumer Commission (2017), </w:t>
      </w:r>
      <w:r w:rsidRPr="009D2B04">
        <w:rPr>
          <w:i/>
        </w:rPr>
        <w:t>ACCC to monitor Australia's broadband performance</w:t>
      </w:r>
      <w:r>
        <w:t xml:space="preserve">, </w:t>
      </w:r>
      <w:hyperlink r:id="rId16" w:history="1">
        <w:r w:rsidRPr="00565F9A">
          <w:rPr>
            <w:rStyle w:val="Hyperlink"/>
          </w:rPr>
          <w:t>https://www.accc.gov.au/media-release/accc-to-monitor-australias-broadband-performance</w:t>
        </w:r>
      </w:hyperlink>
      <w:r>
        <w:rPr>
          <w:rStyle w:val="Hyperlink"/>
        </w:rPr>
        <w:t>;</w:t>
      </w:r>
      <w:r>
        <w:br/>
      </w:r>
      <w:r w:rsidRPr="009D2B04">
        <w:t>Senator the Hon Mitch Fifield</w:t>
      </w:r>
      <w:r>
        <w:t xml:space="preserve"> (2017), </w:t>
      </w:r>
      <w:r w:rsidRPr="009D2B04">
        <w:rPr>
          <w:i/>
        </w:rPr>
        <w:t>ACCC to monitor broadband performance</w:t>
      </w:r>
      <w:r>
        <w:rPr>
          <w:i/>
        </w:rPr>
        <w:t>,</w:t>
      </w:r>
      <w:r>
        <w:t xml:space="preserve"> </w:t>
      </w:r>
      <w:hyperlink r:id="rId17" w:history="1">
        <w:r w:rsidRPr="00565F9A">
          <w:rPr>
            <w:rStyle w:val="Hyperlink"/>
          </w:rPr>
          <w:t>http://www.minister.communications.gov.au/mitch_fifield/news/accc_to_monitor_broadband_performance</w:t>
        </w:r>
      </w:hyperlink>
      <w:r w:rsidRPr="00F37B15">
        <w:rPr>
          <w:rStyle w:val="Hyperlink"/>
          <w:color w:val="auto"/>
          <w:u w:val="none"/>
        </w:rPr>
        <w:t>.</w:t>
      </w:r>
    </w:p>
  </w:footnote>
  <w:footnote w:id="20">
    <w:p w14:paraId="2862CC5B" w14:textId="77777777" w:rsidR="006123EF" w:rsidRDefault="006123EF" w:rsidP="009E3A91">
      <w:pPr>
        <w:pStyle w:val="FootnoteText"/>
      </w:pPr>
      <w:r>
        <w:rPr>
          <w:rStyle w:val="FootnoteReference"/>
        </w:rPr>
        <w:footnoteRef/>
      </w:r>
      <w:r>
        <w:t xml:space="preserve"> Portfolio Budget Statements 2017</w:t>
      </w:r>
      <w:r w:rsidRPr="00DF1372">
        <w:rPr>
          <w:rFonts w:cs="Arial"/>
        </w:rPr>
        <w:t>–</w:t>
      </w:r>
      <w:r>
        <w:t xml:space="preserve">18 Budget Related Paper No. 1.16 Treasury Portfolio, </w:t>
      </w:r>
      <w:hyperlink r:id="rId18" w:history="1">
        <w:r w:rsidRPr="00B45D9C">
          <w:rPr>
            <w:rStyle w:val="Hyperlink"/>
          </w:rPr>
          <w:t>https://static.treasury.gov.au/uploads/sites/1/2017/06/PBS-2.pdf</w:t>
        </w:r>
      </w:hyperlink>
      <w:r>
        <w:t>, p. 83</w:t>
      </w:r>
    </w:p>
  </w:footnote>
  <w:footnote w:id="21">
    <w:p w14:paraId="71469021" w14:textId="77777777" w:rsidR="006123EF" w:rsidRDefault="006123EF" w:rsidP="009E3A91">
      <w:pPr>
        <w:pStyle w:val="FootnoteText"/>
      </w:pPr>
      <w:r>
        <w:rPr>
          <w:rStyle w:val="FootnoteReference"/>
        </w:rPr>
        <w:footnoteRef/>
      </w:r>
      <w:r>
        <w:t xml:space="preserve"> </w:t>
      </w:r>
      <w:r w:rsidRPr="006D0585">
        <w:t>Speed tier refers to the NBN speed option being used to provide the volunteer’s broadband service (</w:t>
      </w:r>
      <w:r>
        <w:t>for example,</w:t>
      </w:r>
      <w:r w:rsidRPr="006D0585">
        <w:t xml:space="preserve"> 12/1 Mbps, 25/5 Mbps)</w:t>
      </w:r>
      <w:r>
        <w:t>,</w:t>
      </w:r>
      <w:r w:rsidRPr="006D0585">
        <w:t xml:space="preserve"> being a speed tier that the ACCC has chosen to include in their reporting.</w:t>
      </w:r>
    </w:p>
  </w:footnote>
  <w:footnote w:id="22">
    <w:p w14:paraId="3B14305C" w14:textId="77777777" w:rsidR="006123EF" w:rsidRDefault="006123EF" w:rsidP="009E3A91">
      <w:pPr>
        <w:pStyle w:val="FootnoteText"/>
      </w:pPr>
      <w:r>
        <w:rPr>
          <w:rStyle w:val="FootnoteReference"/>
        </w:rPr>
        <w:footnoteRef/>
      </w:r>
      <w:r>
        <w:t xml:space="preserve"> This is available on </w:t>
      </w:r>
      <w:hyperlink r:id="rId19" w:history="1">
        <w:r w:rsidRPr="00E8234D">
          <w:rPr>
            <w:rStyle w:val="Hyperlink"/>
          </w:rPr>
          <w:t>http://www.finance.gov.au/resource-management/charging-framework/risk-assessment-template/</w:t>
        </w:r>
      </w:hyperlink>
      <w:r>
        <w:t>.</w:t>
      </w:r>
    </w:p>
  </w:footnote>
  <w:footnote w:id="23">
    <w:p w14:paraId="10900255" w14:textId="77777777" w:rsidR="006123EF" w:rsidRDefault="006123EF" w:rsidP="009E3A91">
      <w:pPr>
        <w:pStyle w:val="FootnoteText"/>
      </w:pPr>
      <w:r>
        <w:rPr>
          <w:rStyle w:val="FootnoteReference"/>
        </w:rPr>
        <w:footnoteRef/>
      </w:r>
      <w:r>
        <w:t xml:space="preserve"> Overall risk rating is determined according to the formula published at </w:t>
      </w:r>
      <w:hyperlink r:id="rId20" w:history="1">
        <w:r w:rsidRPr="0011577D">
          <w:rPr>
            <w:rStyle w:val="Hyperlink"/>
          </w:rPr>
          <w:t>https://www.finance.gov.au/resource-management/charging-framework/risk-assessment-template/</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0B9284" w14:textId="77777777" w:rsidR="006123EF" w:rsidRPr="00A5474E" w:rsidRDefault="006123EF" w:rsidP="00A5474E">
    <w:pPr>
      <w:pStyle w:val="Header"/>
    </w:pPr>
    <w:r>
      <w:rPr>
        <w:noProof/>
      </w:rPr>
      <w:drawing>
        <wp:inline distT="0" distB="0" distL="0" distR="0" wp14:anchorId="153B42C5" wp14:editId="1D7D4DCB">
          <wp:extent cx="6388100" cy="520700"/>
          <wp:effectExtent l="0" t="0" r="0" b="0"/>
          <wp:docPr id="4" name="Picture 4" descr="logo and strapline" title="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C3F856" w14:textId="77777777" w:rsidR="006123EF" w:rsidRPr="00A5474E" w:rsidRDefault="006123EF"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878E28" w14:textId="77777777" w:rsidR="006123EF" w:rsidRDefault="006123E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19DABE" w14:textId="77777777" w:rsidR="006123EF" w:rsidRDefault="006123E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6123EF" w14:paraId="5079DD69" w14:textId="77777777" w:rsidTr="00997A48">
      <w:trPr>
        <w:trHeight w:hRule="exact" w:val="988"/>
      </w:trPr>
      <w:tc>
        <w:tcPr>
          <w:tcW w:w="7678" w:type="dxa"/>
          <w:shd w:val="clear" w:color="auto" w:fill="auto"/>
        </w:tcPr>
        <w:p w14:paraId="7449DB95" w14:textId="77777777" w:rsidR="006123EF" w:rsidRDefault="006123EF" w:rsidP="006D3409">
          <w:pPr>
            <w:pStyle w:val="Header"/>
          </w:pPr>
        </w:p>
      </w:tc>
    </w:tr>
    <w:tr w:rsidR="006123EF" w14:paraId="400E1E40" w14:textId="77777777" w:rsidTr="00997A48">
      <w:tc>
        <w:tcPr>
          <w:tcW w:w="7678" w:type="dxa"/>
          <w:shd w:val="clear" w:color="auto" w:fill="auto"/>
        </w:tcPr>
        <w:p w14:paraId="6E2FEFC4" w14:textId="77777777" w:rsidR="006123EF" w:rsidRDefault="006123EF" w:rsidP="006D3409">
          <w:pPr>
            <w:pStyle w:val="GridTable31"/>
          </w:pPr>
          <w:r>
            <w:t xml:space="preserve">Contents </w:t>
          </w:r>
          <w:r w:rsidRPr="00915B1C">
            <w:rPr>
              <w:b w:val="0"/>
              <w:spacing w:val="0"/>
              <w:sz w:val="28"/>
              <w:szCs w:val="28"/>
            </w:rPr>
            <w:t>(Continued)</w:t>
          </w:r>
        </w:p>
      </w:tc>
    </w:tr>
    <w:tr w:rsidR="006123EF" w14:paraId="5FD163AE" w14:textId="77777777" w:rsidTr="00997A48">
      <w:trPr>
        <w:trHeight w:val="1220"/>
      </w:trPr>
      <w:tc>
        <w:tcPr>
          <w:tcW w:w="7678" w:type="dxa"/>
          <w:shd w:val="clear" w:color="auto" w:fill="auto"/>
        </w:tcPr>
        <w:p w14:paraId="78AB5463" w14:textId="77777777" w:rsidR="006123EF" w:rsidRDefault="006123EF" w:rsidP="006D3409"/>
      </w:tc>
    </w:tr>
  </w:tbl>
  <w:p w14:paraId="7EEA0504" w14:textId="77777777" w:rsidR="006123EF" w:rsidRPr="00A5474E" w:rsidRDefault="006123EF" w:rsidP="00A5474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8F3420" w14:textId="77777777" w:rsidR="006123EF" w:rsidRPr="00A5474E" w:rsidRDefault="006123EF"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D21FED" w14:textId="77777777" w:rsidR="006123EF" w:rsidRDefault="006123E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385060" w14:textId="77777777" w:rsidR="006123EF" w:rsidRDefault="006123E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55620024"/>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4" w15:restartNumberingAfterBreak="0">
    <w:nsid w:val="FFFFFF89"/>
    <w:multiLevelType w:val="singleLevel"/>
    <w:tmpl w:val="40BE324E"/>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093568BC"/>
    <w:multiLevelType w:val="hybridMultilevel"/>
    <w:tmpl w:val="71705464"/>
    <w:lvl w:ilvl="0" w:tplc="5D24AD74">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0EB55F81"/>
    <w:multiLevelType w:val="hybridMultilevel"/>
    <w:tmpl w:val="884A1BC8"/>
    <w:lvl w:ilvl="0" w:tplc="32204036">
      <w:start w:val="1"/>
      <w:numFmt w:val="decimal"/>
      <w:pStyle w:val="LegislationLvl1"/>
      <w:lvlText w:val="%1"/>
      <w:lvlJc w:val="left"/>
      <w:pPr>
        <w:tabs>
          <w:tab w:val="num" w:pos="1176"/>
        </w:tabs>
        <w:ind w:left="1176" w:hanging="720"/>
      </w:pPr>
      <w:rPr>
        <w:rFonts w:hint="default"/>
      </w:rPr>
    </w:lvl>
    <w:lvl w:ilvl="1" w:tplc="93C69154">
      <w:start w:val="1"/>
      <w:numFmt w:val="decimal"/>
      <w:pStyle w:val="LegislationLvl2"/>
      <w:lvlText w:val="(%2)"/>
      <w:lvlJc w:val="left"/>
      <w:pPr>
        <w:tabs>
          <w:tab w:val="num" w:pos="1536"/>
        </w:tabs>
        <w:ind w:left="1536" w:hanging="360"/>
      </w:pPr>
      <w:rPr>
        <w:rFonts w:hint="default"/>
      </w:rPr>
    </w:lvl>
    <w:lvl w:ilvl="2" w:tplc="BD8A0056">
      <w:start w:val="1"/>
      <w:numFmt w:val="lowerLetter"/>
      <w:pStyle w:val="LegislationLvl1"/>
      <w:lvlText w:val="(%3)"/>
      <w:lvlJc w:val="left"/>
      <w:pPr>
        <w:tabs>
          <w:tab w:val="num" w:pos="2436"/>
        </w:tabs>
        <w:ind w:left="2436" w:hanging="360"/>
      </w:pPr>
      <w:rPr>
        <w:rFonts w:hint="default"/>
      </w:rPr>
    </w:lvl>
    <w:lvl w:ilvl="3" w:tplc="BF665EE0">
      <w:start w:val="1"/>
      <w:numFmt w:val="lowerRoman"/>
      <w:pStyle w:val="LegislationLvl2"/>
      <w:lvlText w:val="(%4)"/>
      <w:lvlJc w:val="right"/>
      <w:pPr>
        <w:tabs>
          <w:tab w:val="num" w:pos="2796"/>
        </w:tabs>
        <w:ind w:left="2796" w:hanging="180"/>
      </w:pPr>
      <w:rPr>
        <w:rFonts w:hint="default"/>
      </w:rPr>
    </w:lvl>
    <w:lvl w:ilvl="4" w:tplc="04090019">
      <w:start w:val="1"/>
      <w:numFmt w:val="lowerLetter"/>
      <w:lvlText w:val="%5."/>
      <w:lvlJc w:val="left"/>
      <w:pPr>
        <w:tabs>
          <w:tab w:val="num" w:pos="3696"/>
        </w:tabs>
        <w:ind w:left="3696" w:hanging="360"/>
      </w:pPr>
    </w:lvl>
    <w:lvl w:ilvl="5" w:tplc="0409001B">
      <w:start w:val="1"/>
      <w:numFmt w:val="lowerRoman"/>
      <w:lvlText w:val="%6."/>
      <w:lvlJc w:val="right"/>
      <w:pPr>
        <w:tabs>
          <w:tab w:val="num" w:pos="4416"/>
        </w:tabs>
        <w:ind w:left="4416" w:hanging="180"/>
      </w:pPr>
    </w:lvl>
    <w:lvl w:ilvl="6" w:tplc="0409000F">
      <w:start w:val="1"/>
      <w:numFmt w:val="decimal"/>
      <w:lvlText w:val="%7."/>
      <w:lvlJc w:val="left"/>
      <w:pPr>
        <w:tabs>
          <w:tab w:val="num" w:pos="5136"/>
        </w:tabs>
        <w:ind w:left="5136" w:hanging="360"/>
      </w:pPr>
    </w:lvl>
    <w:lvl w:ilvl="7" w:tplc="04090019">
      <w:start w:val="1"/>
      <w:numFmt w:val="lowerLetter"/>
      <w:lvlText w:val="%8."/>
      <w:lvlJc w:val="left"/>
      <w:pPr>
        <w:tabs>
          <w:tab w:val="num" w:pos="5856"/>
        </w:tabs>
        <w:ind w:left="5856" w:hanging="360"/>
      </w:pPr>
    </w:lvl>
    <w:lvl w:ilvl="8" w:tplc="0409001B">
      <w:start w:val="1"/>
      <w:numFmt w:val="lowerRoman"/>
      <w:lvlText w:val="%9."/>
      <w:lvlJc w:val="right"/>
      <w:pPr>
        <w:tabs>
          <w:tab w:val="num" w:pos="6576"/>
        </w:tabs>
        <w:ind w:left="6576" w:hanging="180"/>
      </w:pPr>
    </w:lvl>
  </w:abstractNum>
  <w:abstractNum w:abstractNumId="7" w15:restartNumberingAfterBreak="0">
    <w:nsid w:val="269719E8"/>
    <w:multiLevelType w:val="hybridMultilevel"/>
    <w:tmpl w:val="3392B164"/>
    <w:lvl w:ilvl="0" w:tplc="A24CE84C">
      <w:start w:val="2"/>
      <w:numFmt w:val="lowerLetter"/>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9" w15:restartNumberingAfterBreak="0">
    <w:nsid w:val="2F5A5080"/>
    <w:multiLevelType w:val="hybridMultilevel"/>
    <w:tmpl w:val="24705096"/>
    <w:lvl w:ilvl="0" w:tplc="2668C79A">
      <w:start w:val="1"/>
      <w:numFmt w:val="bullet"/>
      <w:pStyle w:val="ACMABulletLevel1"/>
      <w:lvlText w:val="●"/>
      <w:lvlJc w:val="left"/>
      <w:pPr>
        <w:tabs>
          <w:tab w:val="num" w:pos="-31680"/>
        </w:tabs>
        <w:ind w:left="357" w:hanging="357"/>
      </w:pPr>
      <w:rPr>
        <w:rFonts w:ascii="Times New Roman" w:hAnsi="Times New Roman" w:cs="Times New Roman" w:hint="default"/>
      </w:rPr>
    </w:lvl>
    <w:lvl w:ilvl="1" w:tplc="04090003">
      <w:start w:val="1"/>
      <w:numFmt w:val="bullet"/>
      <w:lvlText w:val="o"/>
      <w:lvlJc w:val="left"/>
      <w:pPr>
        <w:tabs>
          <w:tab w:val="num" w:pos="1728"/>
        </w:tabs>
        <w:ind w:left="1728" w:hanging="360"/>
      </w:pPr>
      <w:rPr>
        <w:rFonts w:ascii="Courier New" w:hAnsi="Courier New" w:cs="Courier New" w:hint="default"/>
      </w:rPr>
    </w:lvl>
    <w:lvl w:ilvl="2" w:tplc="04090005">
      <w:start w:val="1"/>
      <w:numFmt w:val="bullet"/>
      <w:lvlText w:val=""/>
      <w:lvlJc w:val="left"/>
      <w:pPr>
        <w:tabs>
          <w:tab w:val="num" w:pos="2448"/>
        </w:tabs>
        <w:ind w:left="2448" w:hanging="360"/>
      </w:pPr>
      <w:rPr>
        <w:rFonts w:ascii="Wingdings" w:hAnsi="Wingdings" w:cs="Wingdings" w:hint="default"/>
      </w:rPr>
    </w:lvl>
    <w:lvl w:ilvl="3" w:tplc="04090001">
      <w:start w:val="1"/>
      <w:numFmt w:val="bullet"/>
      <w:lvlText w:val=""/>
      <w:lvlJc w:val="left"/>
      <w:pPr>
        <w:tabs>
          <w:tab w:val="num" w:pos="3168"/>
        </w:tabs>
        <w:ind w:left="3168" w:hanging="360"/>
      </w:pPr>
      <w:rPr>
        <w:rFonts w:ascii="Symbol" w:hAnsi="Symbol" w:cs="Symbol" w:hint="default"/>
      </w:rPr>
    </w:lvl>
    <w:lvl w:ilvl="4" w:tplc="04090003">
      <w:start w:val="1"/>
      <w:numFmt w:val="bullet"/>
      <w:lvlText w:val="o"/>
      <w:lvlJc w:val="left"/>
      <w:pPr>
        <w:tabs>
          <w:tab w:val="num" w:pos="3888"/>
        </w:tabs>
        <w:ind w:left="3888" w:hanging="360"/>
      </w:pPr>
      <w:rPr>
        <w:rFonts w:ascii="Courier New" w:hAnsi="Courier New" w:cs="Courier New" w:hint="default"/>
      </w:rPr>
    </w:lvl>
    <w:lvl w:ilvl="5" w:tplc="04090005">
      <w:start w:val="1"/>
      <w:numFmt w:val="bullet"/>
      <w:lvlText w:val=""/>
      <w:lvlJc w:val="left"/>
      <w:pPr>
        <w:tabs>
          <w:tab w:val="num" w:pos="4608"/>
        </w:tabs>
        <w:ind w:left="4608" w:hanging="360"/>
      </w:pPr>
      <w:rPr>
        <w:rFonts w:ascii="Wingdings" w:hAnsi="Wingdings" w:cs="Wingdings" w:hint="default"/>
      </w:rPr>
    </w:lvl>
    <w:lvl w:ilvl="6" w:tplc="04090001">
      <w:start w:val="1"/>
      <w:numFmt w:val="bullet"/>
      <w:lvlText w:val=""/>
      <w:lvlJc w:val="left"/>
      <w:pPr>
        <w:tabs>
          <w:tab w:val="num" w:pos="5328"/>
        </w:tabs>
        <w:ind w:left="5328" w:hanging="360"/>
      </w:pPr>
      <w:rPr>
        <w:rFonts w:ascii="Symbol" w:hAnsi="Symbol" w:cs="Symbol" w:hint="default"/>
      </w:rPr>
    </w:lvl>
    <w:lvl w:ilvl="7" w:tplc="04090003">
      <w:start w:val="1"/>
      <w:numFmt w:val="bullet"/>
      <w:lvlText w:val="o"/>
      <w:lvlJc w:val="left"/>
      <w:pPr>
        <w:tabs>
          <w:tab w:val="num" w:pos="6048"/>
        </w:tabs>
        <w:ind w:left="6048" w:hanging="360"/>
      </w:pPr>
      <w:rPr>
        <w:rFonts w:ascii="Courier New" w:hAnsi="Courier New" w:cs="Courier New" w:hint="default"/>
      </w:rPr>
    </w:lvl>
    <w:lvl w:ilvl="8" w:tplc="04090005">
      <w:start w:val="1"/>
      <w:numFmt w:val="bullet"/>
      <w:lvlText w:val=""/>
      <w:lvlJc w:val="left"/>
      <w:pPr>
        <w:tabs>
          <w:tab w:val="num" w:pos="6768"/>
        </w:tabs>
        <w:ind w:left="6768" w:hanging="360"/>
      </w:pPr>
      <w:rPr>
        <w:rFonts w:ascii="Wingdings" w:hAnsi="Wingdings" w:cs="Wingdings" w:hint="default"/>
      </w:rPr>
    </w:lvl>
  </w:abstractNum>
  <w:abstractNum w:abstractNumId="10" w15:restartNumberingAfterBreak="0">
    <w:nsid w:val="3CC75A35"/>
    <w:multiLevelType w:val="hybridMultilevel"/>
    <w:tmpl w:val="EE2471DC"/>
    <w:lvl w:ilvl="0" w:tplc="5D24AD74">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4B443C0E"/>
    <w:multiLevelType w:val="hybridMultilevel"/>
    <w:tmpl w:val="3AC88E38"/>
    <w:lvl w:ilvl="0" w:tplc="5D24AD74">
      <w:start w:val="1"/>
      <w:numFmt w:val="bullet"/>
      <w:lvlText w:val=""/>
      <w:lvlJc w:val="left"/>
      <w:pPr>
        <w:ind w:left="360" w:hanging="360"/>
      </w:pPr>
      <w:rPr>
        <w:rFonts w:ascii="Symbol" w:hAnsi="Symbo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54E47993"/>
    <w:multiLevelType w:val="multilevel"/>
    <w:tmpl w:val="8056EFE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15:restartNumberingAfterBreak="0">
    <w:nsid w:val="55AA21F0"/>
    <w:multiLevelType w:val="hybridMultilevel"/>
    <w:tmpl w:val="EB34E0AC"/>
    <w:lvl w:ilvl="0" w:tplc="030419D2">
      <w:start w:val="1"/>
      <w:numFmt w:val="decimal"/>
      <w:pStyle w:val="ACMATableHeader"/>
      <w:lvlText w:val="Table %1:"/>
      <w:lvlJc w:val="left"/>
      <w:pPr>
        <w:tabs>
          <w:tab w:val="num" w:pos="964"/>
        </w:tabs>
        <w:ind w:left="964" w:hanging="964"/>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B180201"/>
    <w:multiLevelType w:val="hybridMultilevel"/>
    <w:tmpl w:val="01DC90F8"/>
    <w:lvl w:ilvl="0" w:tplc="5D24AD74">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5CD230DB"/>
    <w:multiLevelType w:val="hybridMultilevel"/>
    <w:tmpl w:val="0CA8F08C"/>
    <w:lvl w:ilvl="0" w:tplc="5D24AD74">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5D123BFE"/>
    <w:multiLevelType w:val="hybridMultilevel"/>
    <w:tmpl w:val="60A6363C"/>
    <w:lvl w:ilvl="0" w:tplc="0C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5D6D7824"/>
    <w:multiLevelType w:val="hybridMultilevel"/>
    <w:tmpl w:val="9E46694E"/>
    <w:lvl w:ilvl="0" w:tplc="5D24AD74">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5F3654F1"/>
    <w:multiLevelType w:val="hybridMultilevel"/>
    <w:tmpl w:val="B69E7778"/>
    <w:lvl w:ilvl="0" w:tplc="5D24AD74">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9716B2A"/>
    <w:multiLevelType w:val="hybridMultilevel"/>
    <w:tmpl w:val="1496FCA8"/>
    <w:lvl w:ilvl="0" w:tplc="6A42D8FC">
      <w:start w:val="3"/>
      <w:numFmt w:val="lowerLetter"/>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6A4498F"/>
    <w:multiLevelType w:val="hybridMultilevel"/>
    <w:tmpl w:val="586A44B6"/>
    <w:lvl w:ilvl="0" w:tplc="5D24AD74">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4"/>
  </w:num>
  <w:num w:numId="2">
    <w:abstractNumId w:val="2"/>
  </w:num>
  <w:num w:numId="3">
    <w:abstractNumId w:val="3"/>
  </w:num>
  <w:num w:numId="4">
    <w:abstractNumId w:val="1"/>
  </w:num>
  <w:num w:numId="5">
    <w:abstractNumId w:val="8"/>
  </w:num>
  <w:num w:numId="6">
    <w:abstractNumId w:val="20"/>
  </w:num>
  <w:num w:numId="7">
    <w:abstractNumId w:val="13"/>
  </w:num>
  <w:num w:numId="8">
    <w:abstractNumId w:val="19"/>
  </w:num>
  <w:num w:numId="9">
    <w:abstractNumId w:val="22"/>
  </w:num>
  <w:num w:numId="10">
    <w:abstractNumId w:val="9"/>
  </w:num>
  <w:num w:numId="11">
    <w:abstractNumId w:val="6"/>
    <w:lvlOverride w:ilvl="0">
      <w:startOverride w:val="1"/>
    </w:lvlOverride>
  </w:num>
  <w:num w:numId="12">
    <w:abstractNumId w:val="5"/>
  </w:num>
  <w:num w:numId="13">
    <w:abstractNumId w:val="15"/>
  </w:num>
  <w:num w:numId="14">
    <w:abstractNumId w:val="17"/>
  </w:num>
  <w:num w:numId="15">
    <w:abstractNumId w:val="10"/>
  </w:num>
  <w:num w:numId="16">
    <w:abstractNumId w:val="14"/>
  </w:num>
  <w:num w:numId="17">
    <w:abstractNumId w:val="23"/>
  </w:num>
  <w:num w:numId="18">
    <w:abstractNumId w:val="18"/>
  </w:num>
  <w:num w:numId="19">
    <w:abstractNumId w:val="11"/>
  </w:num>
  <w:num w:numId="20">
    <w:abstractNumId w:val="12"/>
  </w:num>
  <w:num w:numId="2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0"/>
  </w:num>
  <w:num w:numId="2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6"/>
  </w:num>
  <w:num w:numId="31">
    <w:abstractNumId w:val="7"/>
  </w:num>
  <w:num w:numId="32">
    <w:abstractNumId w:val="2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8193">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29A5"/>
    <w:rsid w:val="00004252"/>
    <w:rsid w:val="00005B6A"/>
    <w:rsid w:val="00005F61"/>
    <w:rsid w:val="00010667"/>
    <w:rsid w:val="000109E0"/>
    <w:rsid w:val="000114F8"/>
    <w:rsid w:val="000129D5"/>
    <w:rsid w:val="000153DA"/>
    <w:rsid w:val="00015AE7"/>
    <w:rsid w:val="0001676E"/>
    <w:rsid w:val="00016E21"/>
    <w:rsid w:val="0001719C"/>
    <w:rsid w:val="000202B6"/>
    <w:rsid w:val="00021D0D"/>
    <w:rsid w:val="00023329"/>
    <w:rsid w:val="00026185"/>
    <w:rsid w:val="000269F7"/>
    <w:rsid w:val="00026F91"/>
    <w:rsid w:val="000277B0"/>
    <w:rsid w:val="00031A40"/>
    <w:rsid w:val="000321B5"/>
    <w:rsid w:val="00034407"/>
    <w:rsid w:val="00042AD0"/>
    <w:rsid w:val="00043FDB"/>
    <w:rsid w:val="0005011A"/>
    <w:rsid w:val="0005045A"/>
    <w:rsid w:val="00050D45"/>
    <w:rsid w:val="00051C1E"/>
    <w:rsid w:val="000539F9"/>
    <w:rsid w:val="00054C27"/>
    <w:rsid w:val="00055EC3"/>
    <w:rsid w:val="000563CE"/>
    <w:rsid w:val="0006216F"/>
    <w:rsid w:val="000648BF"/>
    <w:rsid w:val="000659B6"/>
    <w:rsid w:val="0006722A"/>
    <w:rsid w:val="0007149B"/>
    <w:rsid w:val="00073157"/>
    <w:rsid w:val="000732CF"/>
    <w:rsid w:val="00073FCE"/>
    <w:rsid w:val="00075B96"/>
    <w:rsid w:val="00076712"/>
    <w:rsid w:val="00076DC6"/>
    <w:rsid w:val="0008196A"/>
    <w:rsid w:val="00083344"/>
    <w:rsid w:val="000849B6"/>
    <w:rsid w:val="000850B2"/>
    <w:rsid w:val="000915ED"/>
    <w:rsid w:val="0009209D"/>
    <w:rsid w:val="000969BD"/>
    <w:rsid w:val="000969BF"/>
    <w:rsid w:val="000A0C22"/>
    <w:rsid w:val="000A3C43"/>
    <w:rsid w:val="000A40F6"/>
    <w:rsid w:val="000A4A51"/>
    <w:rsid w:val="000A5ABB"/>
    <w:rsid w:val="000A5D2B"/>
    <w:rsid w:val="000A64FA"/>
    <w:rsid w:val="000B1895"/>
    <w:rsid w:val="000B1E0A"/>
    <w:rsid w:val="000B304E"/>
    <w:rsid w:val="000B3645"/>
    <w:rsid w:val="000B51F3"/>
    <w:rsid w:val="000B5DE3"/>
    <w:rsid w:val="000B6B41"/>
    <w:rsid w:val="000C0A57"/>
    <w:rsid w:val="000C0EE9"/>
    <w:rsid w:val="000C230C"/>
    <w:rsid w:val="000C38F8"/>
    <w:rsid w:val="000C50DA"/>
    <w:rsid w:val="000C7CC9"/>
    <w:rsid w:val="000C7F48"/>
    <w:rsid w:val="000D2EE7"/>
    <w:rsid w:val="000D4779"/>
    <w:rsid w:val="000D5F25"/>
    <w:rsid w:val="000D71D9"/>
    <w:rsid w:val="000D76E0"/>
    <w:rsid w:val="000D7E8B"/>
    <w:rsid w:val="000E0EFD"/>
    <w:rsid w:val="000E1864"/>
    <w:rsid w:val="000E4449"/>
    <w:rsid w:val="000E6097"/>
    <w:rsid w:val="000E6FA6"/>
    <w:rsid w:val="000F0374"/>
    <w:rsid w:val="000F0446"/>
    <w:rsid w:val="000F1838"/>
    <w:rsid w:val="000F3887"/>
    <w:rsid w:val="00103218"/>
    <w:rsid w:val="00103628"/>
    <w:rsid w:val="00103829"/>
    <w:rsid w:val="00104923"/>
    <w:rsid w:val="00106630"/>
    <w:rsid w:val="001071EB"/>
    <w:rsid w:val="00107B1E"/>
    <w:rsid w:val="00111A86"/>
    <w:rsid w:val="00111FCE"/>
    <w:rsid w:val="00112F79"/>
    <w:rsid w:val="00113856"/>
    <w:rsid w:val="00120B54"/>
    <w:rsid w:val="00121F33"/>
    <w:rsid w:val="001228D1"/>
    <w:rsid w:val="001229A5"/>
    <w:rsid w:val="00123A07"/>
    <w:rsid w:val="0012489B"/>
    <w:rsid w:val="0012599F"/>
    <w:rsid w:val="00130017"/>
    <w:rsid w:val="00130B63"/>
    <w:rsid w:val="00130F91"/>
    <w:rsid w:val="00132811"/>
    <w:rsid w:val="001365CE"/>
    <w:rsid w:val="00136A92"/>
    <w:rsid w:val="00137424"/>
    <w:rsid w:val="0013788E"/>
    <w:rsid w:val="00140318"/>
    <w:rsid w:val="0014060A"/>
    <w:rsid w:val="00140B7C"/>
    <w:rsid w:val="00141AD9"/>
    <w:rsid w:val="00142961"/>
    <w:rsid w:val="00144A3A"/>
    <w:rsid w:val="00145727"/>
    <w:rsid w:val="00146CE6"/>
    <w:rsid w:val="00152903"/>
    <w:rsid w:val="00155697"/>
    <w:rsid w:val="00155823"/>
    <w:rsid w:val="0015614F"/>
    <w:rsid w:val="00156B53"/>
    <w:rsid w:val="001577C2"/>
    <w:rsid w:val="00157B12"/>
    <w:rsid w:val="00157C74"/>
    <w:rsid w:val="00157F82"/>
    <w:rsid w:val="0016145B"/>
    <w:rsid w:val="001633C4"/>
    <w:rsid w:val="00171591"/>
    <w:rsid w:val="00173819"/>
    <w:rsid w:val="00173981"/>
    <w:rsid w:val="001746D1"/>
    <w:rsid w:val="00176CB9"/>
    <w:rsid w:val="0017719D"/>
    <w:rsid w:val="00181743"/>
    <w:rsid w:val="001839CE"/>
    <w:rsid w:val="00185049"/>
    <w:rsid w:val="00185CAB"/>
    <w:rsid w:val="001875B7"/>
    <w:rsid w:val="00187CB3"/>
    <w:rsid w:val="0019050A"/>
    <w:rsid w:val="001910D4"/>
    <w:rsid w:val="00192225"/>
    <w:rsid w:val="00193436"/>
    <w:rsid w:val="001937CA"/>
    <w:rsid w:val="00194FDF"/>
    <w:rsid w:val="001958CD"/>
    <w:rsid w:val="00195C92"/>
    <w:rsid w:val="001976E3"/>
    <w:rsid w:val="001A0139"/>
    <w:rsid w:val="001A3BDB"/>
    <w:rsid w:val="001A44EC"/>
    <w:rsid w:val="001A63F3"/>
    <w:rsid w:val="001B038E"/>
    <w:rsid w:val="001B277A"/>
    <w:rsid w:val="001B58AA"/>
    <w:rsid w:val="001B7E48"/>
    <w:rsid w:val="001C0FA9"/>
    <w:rsid w:val="001C17CE"/>
    <w:rsid w:val="001C1C15"/>
    <w:rsid w:val="001C2D07"/>
    <w:rsid w:val="001C34CB"/>
    <w:rsid w:val="001C36CA"/>
    <w:rsid w:val="001C3DE0"/>
    <w:rsid w:val="001C44D1"/>
    <w:rsid w:val="001C45E9"/>
    <w:rsid w:val="001C6AEE"/>
    <w:rsid w:val="001C7630"/>
    <w:rsid w:val="001D062D"/>
    <w:rsid w:val="001D49A2"/>
    <w:rsid w:val="001D4BA6"/>
    <w:rsid w:val="001D4C7C"/>
    <w:rsid w:val="001D5C0F"/>
    <w:rsid w:val="001D5FB3"/>
    <w:rsid w:val="001D61BD"/>
    <w:rsid w:val="001D64D9"/>
    <w:rsid w:val="001D6D15"/>
    <w:rsid w:val="001E0589"/>
    <w:rsid w:val="001E48CF"/>
    <w:rsid w:val="001E6B67"/>
    <w:rsid w:val="001E75F7"/>
    <w:rsid w:val="001E7AF7"/>
    <w:rsid w:val="001F3D36"/>
    <w:rsid w:val="001F4147"/>
    <w:rsid w:val="001F572C"/>
    <w:rsid w:val="001F7558"/>
    <w:rsid w:val="002010FE"/>
    <w:rsid w:val="00205178"/>
    <w:rsid w:val="00205B57"/>
    <w:rsid w:val="00205C03"/>
    <w:rsid w:val="00213978"/>
    <w:rsid w:val="002157E0"/>
    <w:rsid w:val="00216A57"/>
    <w:rsid w:val="002219BD"/>
    <w:rsid w:val="002220E3"/>
    <w:rsid w:val="002223D2"/>
    <w:rsid w:val="00222E46"/>
    <w:rsid w:val="0022334F"/>
    <w:rsid w:val="002237C2"/>
    <w:rsid w:val="00223DBD"/>
    <w:rsid w:val="00226819"/>
    <w:rsid w:val="00230E76"/>
    <w:rsid w:val="00233101"/>
    <w:rsid w:val="0023358A"/>
    <w:rsid w:val="00233817"/>
    <w:rsid w:val="002367FF"/>
    <w:rsid w:val="00240CE9"/>
    <w:rsid w:val="002434BA"/>
    <w:rsid w:val="00246089"/>
    <w:rsid w:val="00246093"/>
    <w:rsid w:val="00246702"/>
    <w:rsid w:val="00246BEA"/>
    <w:rsid w:val="00247C59"/>
    <w:rsid w:val="00247F2E"/>
    <w:rsid w:val="00250900"/>
    <w:rsid w:val="00250ADC"/>
    <w:rsid w:val="00250B07"/>
    <w:rsid w:val="00252477"/>
    <w:rsid w:val="002534A7"/>
    <w:rsid w:val="00254990"/>
    <w:rsid w:val="00255013"/>
    <w:rsid w:val="00256A1A"/>
    <w:rsid w:val="00257553"/>
    <w:rsid w:val="0026003E"/>
    <w:rsid w:val="00260FB2"/>
    <w:rsid w:val="00261225"/>
    <w:rsid w:val="00261921"/>
    <w:rsid w:val="00262128"/>
    <w:rsid w:val="0027165D"/>
    <w:rsid w:val="00273CEB"/>
    <w:rsid w:val="00276E70"/>
    <w:rsid w:val="0027788D"/>
    <w:rsid w:val="00277A10"/>
    <w:rsid w:val="00280208"/>
    <w:rsid w:val="00281C89"/>
    <w:rsid w:val="0028282F"/>
    <w:rsid w:val="00285099"/>
    <w:rsid w:val="002850F8"/>
    <w:rsid w:val="00291CF1"/>
    <w:rsid w:val="00291F05"/>
    <w:rsid w:val="00292FFE"/>
    <w:rsid w:val="00293B75"/>
    <w:rsid w:val="00294F5B"/>
    <w:rsid w:val="0029593B"/>
    <w:rsid w:val="00295CB7"/>
    <w:rsid w:val="00295E8B"/>
    <w:rsid w:val="00297FC5"/>
    <w:rsid w:val="002A0417"/>
    <w:rsid w:val="002A085A"/>
    <w:rsid w:val="002A16D8"/>
    <w:rsid w:val="002A1BC8"/>
    <w:rsid w:val="002A1BF3"/>
    <w:rsid w:val="002A3EF2"/>
    <w:rsid w:val="002A6A5D"/>
    <w:rsid w:val="002A7CFA"/>
    <w:rsid w:val="002B0DED"/>
    <w:rsid w:val="002B19A2"/>
    <w:rsid w:val="002B2CE2"/>
    <w:rsid w:val="002B381A"/>
    <w:rsid w:val="002B3CF0"/>
    <w:rsid w:val="002B4FCC"/>
    <w:rsid w:val="002B5189"/>
    <w:rsid w:val="002B5531"/>
    <w:rsid w:val="002B7329"/>
    <w:rsid w:val="002B7408"/>
    <w:rsid w:val="002B7CFD"/>
    <w:rsid w:val="002C210F"/>
    <w:rsid w:val="002C5439"/>
    <w:rsid w:val="002C5D95"/>
    <w:rsid w:val="002C647D"/>
    <w:rsid w:val="002D3600"/>
    <w:rsid w:val="002D6B92"/>
    <w:rsid w:val="002D764E"/>
    <w:rsid w:val="002D7B26"/>
    <w:rsid w:val="002E04FF"/>
    <w:rsid w:val="002E37B0"/>
    <w:rsid w:val="002E4DDC"/>
    <w:rsid w:val="002E7A0B"/>
    <w:rsid w:val="002F33E4"/>
    <w:rsid w:val="002F64B1"/>
    <w:rsid w:val="002F73FC"/>
    <w:rsid w:val="003011D7"/>
    <w:rsid w:val="00302480"/>
    <w:rsid w:val="003035D0"/>
    <w:rsid w:val="003051AC"/>
    <w:rsid w:val="00307ECC"/>
    <w:rsid w:val="003165E6"/>
    <w:rsid w:val="0031688A"/>
    <w:rsid w:val="00320BCB"/>
    <w:rsid w:val="003221CF"/>
    <w:rsid w:val="003233ED"/>
    <w:rsid w:val="00323846"/>
    <w:rsid w:val="00324D9F"/>
    <w:rsid w:val="00325B84"/>
    <w:rsid w:val="00325BFA"/>
    <w:rsid w:val="00327948"/>
    <w:rsid w:val="0033000F"/>
    <w:rsid w:val="00332011"/>
    <w:rsid w:val="00332339"/>
    <w:rsid w:val="00332518"/>
    <w:rsid w:val="003327AC"/>
    <w:rsid w:val="00332925"/>
    <w:rsid w:val="003332ED"/>
    <w:rsid w:val="0033525E"/>
    <w:rsid w:val="003368DC"/>
    <w:rsid w:val="00341109"/>
    <w:rsid w:val="00341387"/>
    <w:rsid w:val="00345927"/>
    <w:rsid w:val="00345C89"/>
    <w:rsid w:val="00345D25"/>
    <w:rsid w:val="00347085"/>
    <w:rsid w:val="00350584"/>
    <w:rsid w:val="00351857"/>
    <w:rsid w:val="003610E1"/>
    <w:rsid w:val="0036128F"/>
    <w:rsid w:val="003617DD"/>
    <w:rsid w:val="00364C70"/>
    <w:rsid w:val="003671BE"/>
    <w:rsid w:val="00367A15"/>
    <w:rsid w:val="00370E1B"/>
    <w:rsid w:val="00371FAE"/>
    <w:rsid w:val="00372371"/>
    <w:rsid w:val="00372485"/>
    <w:rsid w:val="00372EAE"/>
    <w:rsid w:val="00373200"/>
    <w:rsid w:val="003751CA"/>
    <w:rsid w:val="00375EF5"/>
    <w:rsid w:val="003767A5"/>
    <w:rsid w:val="00380B46"/>
    <w:rsid w:val="00385254"/>
    <w:rsid w:val="00386FB7"/>
    <w:rsid w:val="00387831"/>
    <w:rsid w:val="00391111"/>
    <w:rsid w:val="0039435F"/>
    <w:rsid w:val="00395A41"/>
    <w:rsid w:val="00397F1C"/>
    <w:rsid w:val="003A1551"/>
    <w:rsid w:val="003A2CEA"/>
    <w:rsid w:val="003A2E6F"/>
    <w:rsid w:val="003A36E2"/>
    <w:rsid w:val="003A4873"/>
    <w:rsid w:val="003A5F5B"/>
    <w:rsid w:val="003A789A"/>
    <w:rsid w:val="003A7931"/>
    <w:rsid w:val="003A7E79"/>
    <w:rsid w:val="003B0551"/>
    <w:rsid w:val="003B12EC"/>
    <w:rsid w:val="003B261B"/>
    <w:rsid w:val="003B676E"/>
    <w:rsid w:val="003C0C7F"/>
    <w:rsid w:val="003C3E9A"/>
    <w:rsid w:val="003C406F"/>
    <w:rsid w:val="003C50CF"/>
    <w:rsid w:val="003C77E0"/>
    <w:rsid w:val="003C7C8A"/>
    <w:rsid w:val="003D1412"/>
    <w:rsid w:val="003D177E"/>
    <w:rsid w:val="003D17D7"/>
    <w:rsid w:val="003D2678"/>
    <w:rsid w:val="003D3005"/>
    <w:rsid w:val="003D3730"/>
    <w:rsid w:val="003D62FB"/>
    <w:rsid w:val="003D7152"/>
    <w:rsid w:val="003D71A3"/>
    <w:rsid w:val="003D7D43"/>
    <w:rsid w:val="003E2B8A"/>
    <w:rsid w:val="003E45EE"/>
    <w:rsid w:val="003E5D16"/>
    <w:rsid w:val="003E5D58"/>
    <w:rsid w:val="003F0793"/>
    <w:rsid w:val="003F10EE"/>
    <w:rsid w:val="003F16F6"/>
    <w:rsid w:val="003F4664"/>
    <w:rsid w:val="003F4DC7"/>
    <w:rsid w:val="003F5235"/>
    <w:rsid w:val="003F6205"/>
    <w:rsid w:val="003F7E3A"/>
    <w:rsid w:val="00400A7F"/>
    <w:rsid w:val="004027E4"/>
    <w:rsid w:val="00403B50"/>
    <w:rsid w:val="0041071D"/>
    <w:rsid w:val="00410995"/>
    <w:rsid w:val="00414AFC"/>
    <w:rsid w:val="004151A7"/>
    <w:rsid w:val="00415310"/>
    <w:rsid w:val="00415539"/>
    <w:rsid w:val="004210B2"/>
    <w:rsid w:val="00421709"/>
    <w:rsid w:val="00423763"/>
    <w:rsid w:val="0042762F"/>
    <w:rsid w:val="00427DC7"/>
    <w:rsid w:val="00430D74"/>
    <w:rsid w:val="00431613"/>
    <w:rsid w:val="00431792"/>
    <w:rsid w:val="0043297A"/>
    <w:rsid w:val="00432EB2"/>
    <w:rsid w:val="00433B9E"/>
    <w:rsid w:val="00434461"/>
    <w:rsid w:val="0043714F"/>
    <w:rsid w:val="004438B5"/>
    <w:rsid w:val="00445850"/>
    <w:rsid w:val="00447037"/>
    <w:rsid w:val="00447B41"/>
    <w:rsid w:val="0045124D"/>
    <w:rsid w:val="00451B25"/>
    <w:rsid w:val="00452980"/>
    <w:rsid w:val="00454596"/>
    <w:rsid w:val="004554F3"/>
    <w:rsid w:val="0045605D"/>
    <w:rsid w:val="0045658C"/>
    <w:rsid w:val="00461070"/>
    <w:rsid w:val="0046135B"/>
    <w:rsid w:val="00462477"/>
    <w:rsid w:val="004643B8"/>
    <w:rsid w:val="0046793D"/>
    <w:rsid w:val="0047093B"/>
    <w:rsid w:val="004718CC"/>
    <w:rsid w:val="00471937"/>
    <w:rsid w:val="00481695"/>
    <w:rsid w:val="00484562"/>
    <w:rsid w:val="004856ED"/>
    <w:rsid w:val="00487155"/>
    <w:rsid w:val="004923E7"/>
    <w:rsid w:val="00493029"/>
    <w:rsid w:val="00493DFE"/>
    <w:rsid w:val="004958DB"/>
    <w:rsid w:val="00495A96"/>
    <w:rsid w:val="00495BB3"/>
    <w:rsid w:val="00497542"/>
    <w:rsid w:val="004A3214"/>
    <w:rsid w:val="004A38F0"/>
    <w:rsid w:val="004A3F35"/>
    <w:rsid w:val="004A499A"/>
    <w:rsid w:val="004A4DB9"/>
    <w:rsid w:val="004A56BB"/>
    <w:rsid w:val="004B0306"/>
    <w:rsid w:val="004B052A"/>
    <w:rsid w:val="004B1751"/>
    <w:rsid w:val="004B1B30"/>
    <w:rsid w:val="004B2779"/>
    <w:rsid w:val="004B36B1"/>
    <w:rsid w:val="004C0253"/>
    <w:rsid w:val="004C3BA8"/>
    <w:rsid w:val="004D04D6"/>
    <w:rsid w:val="004D0E2A"/>
    <w:rsid w:val="004D51E1"/>
    <w:rsid w:val="004D56FF"/>
    <w:rsid w:val="004D642B"/>
    <w:rsid w:val="004E2F7E"/>
    <w:rsid w:val="004E3361"/>
    <w:rsid w:val="004E39D3"/>
    <w:rsid w:val="004E508A"/>
    <w:rsid w:val="004E616D"/>
    <w:rsid w:val="004E68CD"/>
    <w:rsid w:val="004F1BDE"/>
    <w:rsid w:val="004F2262"/>
    <w:rsid w:val="004F2CEE"/>
    <w:rsid w:val="004F3816"/>
    <w:rsid w:val="004F556E"/>
    <w:rsid w:val="004F79CA"/>
    <w:rsid w:val="004F7F44"/>
    <w:rsid w:val="005037B4"/>
    <w:rsid w:val="005079BF"/>
    <w:rsid w:val="00514762"/>
    <w:rsid w:val="005156D0"/>
    <w:rsid w:val="00516F70"/>
    <w:rsid w:val="005219E7"/>
    <w:rsid w:val="00523DCE"/>
    <w:rsid w:val="00531B9A"/>
    <w:rsid w:val="00531D15"/>
    <w:rsid w:val="00531DDE"/>
    <w:rsid w:val="0053216E"/>
    <w:rsid w:val="005333EC"/>
    <w:rsid w:val="0053725B"/>
    <w:rsid w:val="00537604"/>
    <w:rsid w:val="00542377"/>
    <w:rsid w:val="005428F4"/>
    <w:rsid w:val="00546523"/>
    <w:rsid w:val="005476EB"/>
    <w:rsid w:val="005516C2"/>
    <w:rsid w:val="00551782"/>
    <w:rsid w:val="00553FA5"/>
    <w:rsid w:val="00556216"/>
    <w:rsid w:val="00561D95"/>
    <w:rsid w:val="00563560"/>
    <w:rsid w:val="00563EF1"/>
    <w:rsid w:val="005664E6"/>
    <w:rsid w:val="00566AB4"/>
    <w:rsid w:val="00571289"/>
    <w:rsid w:val="00573764"/>
    <w:rsid w:val="005741DB"/>
    <w:rsid w:val="00575AC5"/>
    <w:rsid w:val="0057605D"/>
    <w:rsid w:val="00581347"/>
    <w:rsid w:val="00581AC9"/>
    <w:rsid w:val="005822FA"/>
    <w:rsid w:val="00583CA5"/>
    <w:rsid w:val="005849F8"/>
    <w:rsid w:val="00586D91"/>
    <w:rsid w:val="00590BF0"/>
    <w:rsid w:val="005938DF"/>
    <w:rsid w:val="00593B36"/>
    <w:rsid w:val="00594C25"/>
    <w:rsid w:val="00594E9C"/>
    <w:rsid w:val="0059546E"/>
    <w:rsid w:val="00596FD7"/>
    <w:rsid w:val="005A035B"/>
    <w:rsid w:val="005A099B"/>
    <w:rsid w:val="005A105D"/>
    <w:rsid w:val="005A2D9C"/>
    <w:rsid w:val="005A30CB"/>
    <w:rsid w:val="005A3BF2"/>
    <w:rsid w:val="005A55FE"/>
    <w:rsid w:val="005A5B87"/>
    <w:rsid w:val="005A6A11"/>
    <w:rsid w:val="005B1640"/>
    <w:rsid w:val="005B4096"/>
    <w:rsid w:val="005B5E9D"/>
    <w:rsid w:val="005B7841"/>
    <w:rsid w:val="005B7E00"/>
    <w:rsid w:val="005C2BF4"/>
    <w:rsid w:val="005D2502"/>
    <w:rsid w:val="005D47F3"/>
    <w:rsid w:val="005D49BF"/>
    <w:rsid w:val="005D4F8A"/>
    <w:rsid w:val="005D67A8"/>
    <w:rsid w:val="005D6DD6"/>
    <w:rsid w:val="005D6F4E"/>
    <w:rsid w:val="005E13C8"/>
    <w:rsid w:val="005E338B"/>
    <w:rsid w:val="005E3ACD"/>
    <w:rsid w:val="005E4110"/>
    <w:rsid w:val="005E7226"/>
    <w:rsid w:val="005E7A57"/>
    <w:rsid w:val="005E7C6B"/>
    <w:rsid w:val="005F0356"/>
    <w:rsid w:val="005F1396"/>
    <w:rsid w:val="005F2077"/>
    <w:rsid w:val="005F24B0"/>
    <w:rsid w:val="005F3B11"/>
    <w:rsid w:val="005F5EE0"/>
    <w:rsid w:val="005F64CD"/>
    <w:rsid w:val="00601985"/>
    <w:rsid w:val="00603395"/>
    <w:rsid w:val="00604315"/>
    <w:rsid w:val="00604466"/>
    <w:rsid w:val="00604B7C"/>
    <w:rsid w:val="00604E26"/>
    <w:rsid w:val="006051F5"/>
    <w:rsid w:val="006052CF"/>
    <w:rsid w:val="00606394"/>
    <w:rsid w:val="00607B8D"/>
    <w:rsid w:val="00611F5C"/>
    <w:rsid w:val="006123EF"/>
    <w:rsid w:val="00616057"/>
    <w:rsid w:val="00616E09"/>
    <w:rsid w:val="006174BB"/>
    <w:rsid w:val="0061763C"/>
    <w:rsid w:val="00617FF9"/>
    <w:rsid w:val="00620438"/>
    <w:rsid w:val="00622A3B"/>
    <w:rsid w:val="00622EEA"/>
    <w:rsid w:val="00623154"/>
    <w:rsid w:val="0062396C"/>
    <w:rsid w:val="00623FF9"/>
    <w:rsid w:val="00626841"/>
    <w:rsid w:val="00627665"/>
    <w:rsid w:val="00627D4E"/>
    <w:rsid w:val="00634478"/>
    <w:rsid w:val="0064240D"/>
    <w:rsid w:val="006428C7"/>
    <w:rsid w:val="00644373"/>
    <w:rsid w:val="00645915"/>
    <w:rsid w:val="006475A0"/>
    <w:rsid w:val="006519C3"/>
    <w:rsid w:val="00651B6A"/>
    <w:rsid w:val="00652B30"/>
    <w:rsid w:val="00654133"/>
    <w:rsid w:val="00654359"/>
    <w:rsid w:val="00654448"/>
    <w:rsid w:val="00655716"/>
    <w:rsid w:val="00656345"/>
    <w:rsid w:val="00656448"/>
    <w:rsid w:val="00656DC6"/>
    <w:rsid w:val="00660D8F"/>
    <w:rsid w:val="006638FE"/>
    <w:rsid w:val="00664110"/>
    <w:rsid w:val="00664D17"/>
    <w:rsid w:val="00666520"/>
    <w:rsid w:val="00666F7C"/>
    <w:rsid w:val="00667C5B"/>
    <w:rsid w:val="00673DB9"/>
    <w:rsid w:val="0067534E"/>
    <w:rsid w:val="00676B65"/>
    <w:rsid w:val="006804B7"/>
    <w:rsid w:val="00681F59"/>
    <w:rsid w:val="00682391"/>
    <w:rsid w:val="00685B5D"/>
    <w:rsid w:val="00692CDE"/>
    <w:rsid w:val="00693073"/>
    <w:rsid w:val="00694C07"/>
    <w:rsid w:val="00694F5C"/>
    <w:rsid w:val="0069517B"/>
    <w:rsid w:val="00695D10"/>
    <w:rsid w:val="00696EF1"/>
    <w:rsid w:val="006977FF"/>
    <w:rsid w:val="00697E3C"/>
    <w:rsid w:val="006A01FA"/>
    <w:rsid w:val="006A088D"/>
    <w:rsid w:val="006A0E9E"/>
    <w:rsid w:val="006A0F18"/>
    <w:rsid w:val="006A25C7"/>
    <w:rsid w:val="006A3E57"/>
    <w:rsid w:val="006A3F76"/>
    <w:rsid w:val="006A4AAD"/>
    <w:rsid w:val="006A56FD"/>
    <w:rsid w:val="006A6053"/>
    <w:rsid w:val="006A64AA"/>
    <w:rsid w:val="006A6DA2"/>
    <w:rsid w:val="006A7342"/>
    <w:rsid w:val="006A7AB2"/>
    <w:rsid w:val="006B48BA"/>
    <w:rsid w:val="006B519D"/>
    <w:rsid w:val="006B5717"/>
    <w:rsid w:val="006B582F"/>
    <w:rsid w:val="006C0CEB"/>
    <w:rsid w:val="006C23CD"/>
    <w:rsid w:val="006C3B1E"/>
    <w:rsid w:val="006C47FD"/>
    <w:rsid w:val="006C4ACA"/>
    <w:rsid w:val="006C4FD9"/>
    <w:rsid w:val="006C513A"/>
    <w:rsid w:val="006C70A0"/>
    <w:rsid w:val="006D27CB"/>
    <w:rsid w:val="006D2F08"/>
    <w:rsid w:val="006D3408"/>
    <w:rsid w:val="006D3409"/>
    <w:rsid w:val="006D46E2"/>
    <w:rsid w:val="006D576C"/>
    <w:rsid w:val="006D5865"/>
    <w:rsid w:val="006D67FF"/>
    <w:rsid w:val="006D6ED5"/>
    <w:rsid w:val="006E30E3"/>
    <w:rsid w:val="006E423A"/>
    <w:rsid w:val="006E4B1B"/>
    <w:rsid w:val="006E5445"/>
    <w:rsid w:val="006E7D93"/>
    <w:rsid w:val="006F4C16"/>
    <w:rsid w:val="006F4DBE"/>
    <w:rsid w:val="006F66CC"/>
    <w:rsid w:val="0070194D"/>
    <w:rsid w:val="007029A3"/>
    <w:rsid w:val="0070539F"/>
    <w:rsid w:val="00705655"/>
    <w:rsid w:val="00706DBA"/>
    <w:rsid w:val="00706E4E"/>
    <w:rsid w:val="0070791C"/>
    <w:rsid w:val="0071383C"/>
    <w:rsid w:val="0071397C"/>
    <w:rsid w:val="007141A7"/>
    <w:rsid w:val="0071508A"/>
    <w:rsid w:val="00715A9E"/>
    <w:rsid w:val="007167F9"/>
    <w:rsid w:val="00716D7B"/>
    <w:rsid w:val="00721032"/>
    <w:rsid w:val="00721B55"/>
    <w:rsid w:val="007226C7"/>
    <w:rsid w:val="00723A38"/>
    <w:rsid w:val="0072457B"/>
    <w:rsid w:val="00726CE4"/>
    <w:rsid w:val="00726F21"/>
    <w:rsid w:val="00730201"/>
    <w:rsid w:val="00734143"/>
    <w:rsid w:val="00734804"/>
    <w:rsid w:val="00737E2C"/>
    <w:rsid w:val="00737E47"/>
    <w:rsid w:val="00737F52"/>
    <w:rsid w:val="00740EAC"/>
    <w:rsid w:val="00744956"/>
    <w:rsid w:val="00745A5C"/>
    <w:rsid w:val="0074605F"/>
    <w:rsid w:val="007462D9"/>
    <w:rsid w:val="00747E94"/>
    <w:rsid w:val="00757D30"/>
    <w:rsid w:val="00760660"/>
    <w:rsid w:val="00760A84"/>
    <w:rsid w:val="00765C1E"/>
    <w:rsid w:val="00766749"/>
    <w:rsid w:val="00767C1B"/>
    <w:rsid w:val="00767C1C"/>
    <w:rsid w:val="0077141D"/>
    <w:rsid w:val="007714A9"/>
    <w:rsid w:val="00773864"/>
    <w:rsid w:val="00774F88"/>
    <w:rsid w:val="00774FDB"/>
    <w:rsid w:val="00775096"/>
    <w:rsid w:val="00777BA2"/>
    <w:rsid w:val="00777FE2"/>
    <w:rsid w:val="00780026"/>
    <w:rsid w:val="007801E9"/>
    <w:rsid w:val="00781408"/>
    <w:rsid w:val="00784C47"/>
    <w:rsid w:val="00784F7A"/>
    <w:rsid w:val="00784F7F"/>
    <w:rsid w:val="00796908"/>
    <w:rsid w:val="00796C7D"/>
    <w:rsid w:val="00796F25"/>
    <w:rsid w:val="007A2787"/>
    <w:rsid w:val="007A2E98"/>
    <w:rsid w:val="007A371B"/>
    <w:rsid w:val="007A3BA3"/>
    <w:rsid w:val="007A6CC0"/>
    <w:rsid w:val="007A7B4C"/>
    <w:rsid w:val="007A7FEC"/>
    <w:rsid w:val="007B13C2"/>
    <w:rsid w:val="007B1499"/>
    <w:rsid w:val="007B1BBF"/>
    <w:rsid w:val="007B2960"/>
    <w:rsid w:val="007B2A6C"/>
    <w:rsid w:val="007B2F6C"/>
    <w:rsid w:val="007B355D"/>
    <w:rsid w:val="007B3E93"/>
    <w:rsid w:val="007B57F4"/>
    <w:rsid w:val="007B5ADB"/>
    <w:rsid w:val="007B7292"/>
    <w:rsid w:val="007B7726"/>
    <w:rsid w:val="007B7980"/>
    <w:rsid w:val="007C3E84"/>
    <w:rsid w:val="007C4199"/>
    <w:rsid w:val="007C44D1"/>
    <w:rsid w:val="007C485A"/>
    <w:rsid w:val="007C506F"/>
    <w:rsid w:val="007C5D5A"/>
    <w:rsid w:val="007C607F"/>
    <w:rsid w:val="007C722C"/>
    <w:rsid w:val="007C7652"/>
    <w:rsid w:val="007C79DD"/>
    <w:rsid w:val="007D1A97"/>
    <w:rsid w:val="007D2342"/>
    <w:rsid w:val="007D2CD6"/>
    <w:rsid w:val="007D3063"/>
    <w:rsid w:val="007D3CEB"/>
    <w:rsid w:val="007D4E71"/>
    <w:rsid w:val="007E1651"/>
    <w:rsid w:val="007E5D83"/>
    <w:rsid w:val="007E6DF8"/>
    <w:rsid w:val="007E7683"/>
    <w:rsid w:val="007E76AB"/>
    <w:rsid w:val="007F15C9"/>
    <w:rsid w:val="007F49FA"/>
    <w:rsid w:val="007F54C4"/>
    <w:rsid w:val="007F6E9A"/>
    <w:rsid w:val="008044D4"/>
    <w:rsid w:val="00806A36"/>
    <w:rsid w:val="00810073"/>
    <w:rsid w:val="00810AB4"/>
    <w:rsid w:val="0081186A"/>
    <w:rsid w:val="0081354C"/>
    <w:rsid w:val="008172A6"/>
    <w:rsid w:val="00817409"/>
    <w:rsid w:val="00817B56"/>
    <w:rsid w:val="00821566"/>
    <w:rsid w:val="00821A88"/>
    <w:rsid w:val="0082384E"/>
    <w:rsid w:val="0082468A"/>
    <w:rsid w:val="0082495D"/>
    <w:rsid w:val="00830147"/>
    <w:rsid w:val="0083033F"/>
    <w:rsid w:val="00831AC3"/>
    <w:rsid w:val="00834FF6"/>
    <w:rsid w:val="00837568"/>
    <w:rsid w:val="008408FF"/>
    <w:rsid w:val="00844DDC"/>
    <w:rsid w:val="0084754A"/>
    <w:rsid w:val="008506E9"/>
    <w:rsid w:val="00851BD7"/>
    <w:rsid w:val="00851F3F"/>
    <w:rsid w:val="00856EDC"/>
    <w:rsid w:val="00857F01"/>
    <w:rsid w:val="008623B5"/>
    <w:rsid w:val="008644DF"/>
    <w:rsid w:val="00864956"/>
    <w:rsid w:val="0086526B"/>
    <w:rsid w:val="00870ABA"/>
    <w:rsid w:val="008710E1"/>
    <w:rsid w:val="008716E5"/>
    <w:rsid w:val="0087366E"/>
    <w:rsid w:val="0087520B"/>
    <w:rsid w:val="008757E2"/>
    <w:rsid w:val="00876B93"/>
    <w:rsid w:val="008779EF"/>
    <w:rsid w:val="00877AD7"/>
    <w:rsid w:val="00881CA9"/>
    <w:rsid w:val="0088294F"/>
    <w:rsid w:val="00883628"/>
    <w:rsid w:val="00885544"/>
    <w:rsid w:val="0088634E"/>
    <w:rsid w:val="008868D7"/>
    <w:rsid w:val="00890A12"/>
    <w:rsid w:val="00891345"/>
    <w:rsid w:val="00893AB8"/>
    <w:rsid w:val="00894923"/>
    <w:rsid w:val="008A04C8"/>
    <w:rsid w:val="008A2FC3"/>
    <w:rsid w:val="008A4599"/>
    <w:rsid w:val="008A648A"/>
    <w:rsid w:val="008A6913"/>
    <w:rsid w:val="008B038C"/>
    <w:rsid w:val="008B1F63"/>
    <w:rsid w:val="008B3EE2"/>
    <w:rsid w:val="008B6B01"/>
    <w:rsid w:val="008B70F3"/>
    <w:rsid w:val="008B76DF"/>
    <w:rsid w:val="008C10F4"/>
    <w:rsid w:val="008C13EF"/>
    <w:rsid w:val="008C65F7"/>
    <w:rsid w:val="008D0406"/>
    <w:rsid w:val="008D288C"/>
    <w:rsid w:val="008D42C1"/>
    <w:rsid w:val="008D5060"/>
    <w:rsid w:val="008E065C"/>
    <w:rsid w:val="008E0DB6"/>
    <w:rsid w:val="008E2D5F"/>
    <w:rsid w:val="008E3864"/>
    <w:rsid w:val="008E4767"/>
    <w:rsid w:val="008E7A8C"/>
    <w:rsid w:val="008F3CE0"/>
    <w:rsid w:val="008F54DA"/>
    <w:rsid w:val="008F7A47"/>
    <w:rsid w:val="0090217E"/>
    <w:rsid w:val="00903285"/>
    <w:rsid w:val="00903992"/>
    <w:rsid w:val="00906F40"/>
    <w:rsid w:val="0090731E"/>
    <w:rsid w:val="009115AE"/>
    <w:rsid w:val="00913E30"/>
    <w:rsid w:val="00915B1C"/>
    <w:rsid w:val="0091656A"/>
    <w:rsid w:val="009174F3"/>
    <w:rsid w:val="0091797D"/>
    <w:rsid w:val="009200F9"/>
    <w:rsid w:val="009215DD"/>
    <w:rsid w:val="00922C1D"/>
    <w:rsid w:val="00923CBA"/>
    <w:rsid w:val="009263A5"/>
    <w:rsid w:val="00926703"/>
    <w:rsid w:val="00927691"/>
    <w:rsid w:val="00927A5F"/>
    <w:rsid w:val="00931AC7"/>
    <w:rsid w:val="00933079"/>
    <w:rsid w:val="0093407C"/>
    <w:rsid w:val="00935B63"/>
    <w:rsid w:val="00936B69"/>
    <w:rsid w:val="0094078F"/>
    <w:rsid w:val="00940FA3"/>
    <w:rsid w:val="00941FB0"/>
    <w:rsid w:val="009426D4"/>
    <w:rsid w:val="0094737E"/>
    <w:rsid w:val="00947F25"/>
    <w:rsid w:val="00950159"/>
    <w:rsid w:val="00953BCE"/>
    <w:rsid w:val="0095490B"/>
    <w:rsid w:val="009609AC"/>
    <w:rsid w:val="00961A56"/>
    <w:rsid w:val="00963A16"/>
    <w:rsid w:val="00966AB1"/>
    <w:rsid w:val="00966AF8"/>
    <w:rsid w:val="009679A4"/>
    <w:rsid w:val="009737B2"/>
    <w:rsid w:val="00974363"/>
    <w:rsid w:val="00974F74"/>
    <w:rsid w:val="00977B43"/>
    <w:rsid w:val="00981898"/>
    <w:rsid w:val="00990463"/>
    <w:rsid w:val="009906F9"/>
    <w:rsid w:val="009945B4"/>
    <w:rsid w:val="0099577C"/>
    <w:rsid w:val="00995F09"/>
    <w:rsid w:val="00997A48"/>
    <w:rsid w:val="009A15FD"/>
    <w:rsid w:val="009A378C"/>
    <w:rsid w:val="009A775E"/>
    <w:rsid w:val="009B074B"/>
    <w:rsid w:val="009B23F5"/>
    <w:rsid w:val="009B2786"/>
    <w:rsid w:val="009B2A22"/>
    <w:rsid w:val="009B41C3"/>
    <w:rsid w:val="009B4E9E"/>
    <w:rsid w:val="009B7744"/>
    <w:rsid w:val="009B7F58"/>
    <w:rsid w:val="009C1690"/>
    <w:rsid w:val="009C64BD"/>
    <w:rsid w:val="009C6881"/>
    <w:rsid w:val="009C744E"/>
    <w:rsid w:val="009C7759"/>
    <w:rsid w:val="009D043D"/>
    <w:rsid w:val="009D183B"/>
    <w:rsid w:val="009D1B0C"/>
    <w:rsid w:val="009D258D"/>
    <w:rsid w:val="009D3C4F"/>
    <w:rsid w:val="009D54C2"/>
    <w:rsid w:val="009D5810"/>
    <w:rsid w:val="009D6C71"/>
    <w:rsid w:val="009E0631"/>
    <w:rsid w:val="009E16D0"/>
    <w:rsid w:val="009E26EB"/>
    <w:rsid w:val="009E38FD"/>
    <w:rsid w:val="009E3A91"/>
    <w:rsid w:val="009E48A1"/>
    <w:rsid w:val="009E57B0"/>
    <w:rsid w:val="009E5CB7"/>
    <w:rsid w:val="009E783D"/>
    <w:rsid w:val="009E7B6E"/>
    <w:rsid w:val="009F13D6"/>
    <w:rsid w:val="009F1958"/>
    <w:rsid w:val="009F4C6B"/>
    <w:rsid w:val="009F53A3"/>
    <w:rsid w:val="009F78A8"/>
    <w:rsid w:val="00A0125E"/>
    <w:rsid w:val="00A02AD6"/>
    <w:rsid w:val="00A0328F"/>
    <w:rsid w:val="00A0351A"/>
    <w:rsid w:val="00A03E5E"/>
    <w:rsid w:val="00A07096"/>
    <w:rsid w:val="00A07318"/>
    <w:rsid w:val="00A10472"/>
    <w:rsid w:val="00A11370"/>
    <w:rsid w:val="00A159C9"/>
    <w:rsid w:val="00A224CE"/>
    <w:rsid w:val="00A22522"/>
    <w:rsid w:val="00A24AFD"/>
    <w:rsid w:val="00A24F5C"/>
    <w:rsid w:val="00A261CF"/>
    <w:rsid w:val="00A26605"/>
    <w:rsid w:val="00A269DD"/>
    <w:rsid w:val="00A32F96"/>
    <w:rsid w:val="00A34B80"/>
    <w:rsid w:val="00A35C59"/>
    <w:rsid w:val="00A35DCB"/>
    <w:rsid w:val="00A372F1"/>
    <w:rsid w:val="00A37EF7"/>
    <w:rsid w:val="00A40871"/>
    <w:rsid w:val="00A412AB"/>
    <w:rsid w:val="00A4193E"/>
    <w:rsid w:val="00A440E0"/>
    <w:rsid w:val="00A442EF"/>
    <w:rsid w:val="00A45642"/>
    <w:rsid w:val="00A46D9D"/>
    <w:rsid w:val="00A51180"/>
    <w:rsid w:val="00A51D1A"/>
    <w:rsid w:val="00A5418D"/>
    <w:rsid w:val="00A5474E"/>
    <w:rsid w:val="00A575B2"/>
    <w:rsid w:val="00A61505"/>
    <w:rsid w:val="00A622CC"/>
    <w:rsid w:val="00A6254F"/>
    <w:rsid w:val="00A62F57"/>
    <w:rsid w:val="00A64485"/>
    <w:rsid w:val="00A70ADF"/>
    <w:rsid w:val="00A70C0A"/>
    <w:rsid w:val="00A71466"/>
    <w:rsid w:val="00A72456"/>
    <w:rsid w:val="00A72A43"/>
    <w:rsid w:val="00A74B5E"/>
    <w:rsid w:val="00A75447"/>
    <w:rsid w:val="00A8027B"/>
    <w:rsid w:val="00A80792"/>
    <w:rsid w:val="00A81BED"/>
    <w:rsid w:val="00A81EC4"/>
    <w:rsid w:val="00A83698"/>
    <w:rsid w:val="00A85056"/>
    <w:rsid w:val="00A858B6"/>
    <w:rsid w:val="00A86A9D"/>
    <w:rsid w:val="00A90C13"/>
    <w:rsid w:val="00A91A29"/>
    <w:rsid w:val="00A945DA"/>
    <w:rsid w:val="00A95E6B"/>
    <w:rsid w:val="00A967FD"/>
    <w:rsid w:val="00AA0DBC"/>
    <w:rsid w:val="00AA1278"/>
    <w:rsid w:val="00AA7B15"/>
    <w:rsid w:val="00AB0869"/>
    <w:rsid w:val="00AB156C"/>
    <w:rsid w:val="00AB62C6"/>
    <w:rsid w:val="00AB6814"/>
    <w:rsid w:val="00AB6C70"/>
    <w:rsid w:val="00AC0442"/>
    <w:rsid w:val="00AC04BA"/>
    <w:rsid w:val="00AC0680"/>
    <w:rsid w:val="00AC0CFF"/>
    <w:rsid w:val="00AC0E39"/>
    <w:rsid w:val="00AD2433"/>
    <w:rsid w:val="00AD3082"/>
    <w:rsid w:val="00AD4693"/>
    <w:rsid w:val="00AD4AD0"/>
    <w:rsid w:val="00AD5436"/>
    <w:rsid w:val="00AD60CD"/>
    <w:rsid w:val="00AD6427"/>
    <w:rsid w:val="00AD6C8C"/>
    <w:rsid w:val="00AD7393"/>
    <w:rsid w:val="00AD7622"/>
    <w:rsid w:val="00AD7A39"/>
    <w:rsid w:val="00AE091D"/>
    <w:rsid w:val="00AE2FD7"/>
    <w:rsid w:val="00AE3B60"/>
    <w:rsid w:val="00AE53A1"/>
    <w:rsid w:val="00AE7A7C"/>
    <w:rsid w:val="00AF1BE6"/>
    <w:rsid w:val="00AF1F82"/>
    <w:rsid w:val="00AF228C"/>
    <w:rsid w:val="00AF2484"/>
    <w:rsid w:val="00AF4267"/>
    <w:rsid w:val="00AF63E7"/>
    <w:rsid w:val="00B0165D"/>
    <w:rsid w:val="00B030F0"/>
    <w:rsid w:val="00B031F3"/>
    <w:rsid w:val="00B052A4"/>
    <w:rsid w:val="00B1182A"/>
    <w:rsid w:val="00B125DE"/>
    <w:rsid w:val="00B13FDD"/>
    <w:rsid w:val="00B15F8A"/>
    <w:rsid w:val="00B20C10"/>
    <w:rsid w:val="00B20DE1"/>
    <w:rsid w:val="00B22EB2"/>
    <w:rsid w:val="00B27039"/>
    <w:rsid w:val="00B27442"/>
    <w:rsid w:val="00B27DA2"/>
    <w:rsid w:val="00B306A8"/>
    <w:rsid w:val="00B31167"/>
    <w:rsid w:val="00B327BF"/>
    <w:rsid w:val="00B329D8"/>
    <w:rsid w:val="00B32BB9"/>
    <w:rsid w:val="00B33282"/>
    <w:rsid w:val="00B33AE1"/>
    <w:rsid w:val="00B33B5B"/>
    <w:rsid w:val="00B363A6"/>
    <w:rsid w:val="00B37C38"/>
    <w:rsid w:val="00B4288C"/>
    <w:rsid w:val="00B43262"/>
    <w:rsid w:val="00B435F0"/>
    <w:rsid w:val="00B44100"/>
    <w:rsid w:val="00B44A86"/>
    <w:rsid w:val="00B46902"/>
    <w:rsid w:val="00B469D9"/>
    <w:rsid w:val="00B46CBA"/>
    <w:rsid w:val="00B46F94"/>
    <w:rsid w:val="00B4734C"/>
    <w:rsid w:val="00B50172"/>
    <w:rsid w:val="00B53E20"/>
    <w:rsid w:val="00B557CB"/>
    <w:rsid w:val="00B601A3"/>
    <w:rsid w:val="00B60999"/>
    <w:rsid w:val="00B60F85"/>
    <w:rsid w:val="00B61F03"/>
    <w:rsid w:val="00B626E4"/>
    <w:rsid w:val="00B64534"/>
    <w:rsid w:val="00B64D37"/>
    <w:rsid w:val="00B6735C"/>
    <w:rsid w:val="00B72F4A"/>
    <w:rsid w:val="00B7357B"/>
    <w:rsid w:val="00B774DF"/>
    <w:rsid w:val="00B815BC"/>
    <w:rsid w:val="00B817EC"/>
    <w:rsid w:val="00B83A7C"/>
    <w:rsid w:val="00B83C27"/>
    <w:rsid w:val="00B84BC3"/>
    <w:rsid w:val="00B84BDD"/>
    <w:rsid w:val="00B85E28"/>
    <w:rsid w:val="00B86433"/>
    <w:rsid w:val="00B90EBA"/>
    <w:rsid w:val="00B92812"/>
    <w:rsid w:val="00B92ACD"/>
    <w:rsid w:val="00B92EA4"/>
    <w:rsid w:val="00B9480B"/>
    <w:rsid w:val="00BA51A8"/>
    <w:rsid w:val="00BA6431"/>
    <w:rsid w:val="00BB21BB"/>
    <w:rsid w:val="00BB4533"/>
    <w:rsid w:val="00BB45A1"/>
    <w:rsid w:val="00BB614F"/>
    <w:rsid w:val="00BB7686"/>
    <w:rsid w:val="00BC1A45"/>
    <w:rsid w:val="00BC23F9"/>
    <w:rsid w:val="00BC3421"/>
    <w:rsid w:val="00BC60F4"/>
    <w:rsid w:val="00BC732C"/>
    <w:rsid w:val="00BC77EA"/>
    <w:rsid w:val="00BD1C67"/>
    <w:rsid w:val="00BE2580"/>
    <w:rsid w:val="00BE266D"/>
    <w:rsid w:val="00BE3938"/>
    <w:rsid w:val="00BE4C11"/>
    <w:rsid w:val="00BE71C0"/>
    <w:rsid w:val="00BF0FBB"/>
    <w:rsid w:val="00BF2591"/>
    <w:rsid w:val="00BF610C"/>
    <w:rsid w:val="00C0060B"/>
    <w:rsid w:val="00C0277D"/>
    <w:rsid w:val="00C03710"/>
    <w:rsid w:val="00C049AD"/>
    <w:rsid w:val="00C053A1"/>
    <w:rsid w:val="00C05F92"/>
    <w:rsid w:val="00C06581"/>
    <w:rsid w:val="00C06F10"/>
    <w:rsid w:val="00C1008E"/>
    <w:rsid w:val="00C16198"/>
    <w:rsid w:val="00C16337"/>
    <w:rsid w:val="00C2083D"/>
    <w:rsid w:val="00C24A53"/>
    <w:rsid w:val="00C259F8"/>
    <w:rsid w:val="00C3097F"/>
    <w:rsid w:val="00C32914"/>
    <w:rsid w:val="00C36801"/>
    <w:rsid w:val="00C37EAD"/>
    <w:rsid w:val="00C4032F"/>
    <w:rsid w:val="00C44047"/>
    <w:rsid w:val="00C4464B"/>
    <w:rsid w:val="00C45155"/>
    <w:rsid w:val="00C4527D"/>
    <w:rsid w:val="00C45ED9"/>
    <w:rsid w:val="00C46D75"/>
    <w:rsid w:val="00C5498F"/>
    <w:rsid w:val="00C55235"/>
    <w:rsid w:val="00C5591D"/>
    <w:rsid w:val="00C61C2A"/>
    <w:rsid w:val="00C64CD0"/>
    <w:rsid w:val="00C64E29"/>
    <w:rsid w:val="00C65483"/>
    <w:rsid w:val="00C66479"/>
    <w:rsid w:val="00C6684F"/>
    <w:rsid w:val="00C67AA3"/>
    <w:rsid w:val="00C70E70"/>
    <w:rsid w:val="00C71FB9"/>
    <w:rsid w:val="00C75F8D"/>
    <w:rsid w:val="00C77342"/>
    <w:rsid w:val="00C77380"/>
    <w:rsid w:val="00C8335B"/>
    <w:rsid w:val="00C855AD"/>
    <w:rsid w:val="00C87691"/>
    <w:rsid w:val="00C90E75"/>
    <w:rsid w:val="00C91139"/>
    <w:rsid w:val="00C9249E"/>
    <w:rsid w:val="00C95AC0"/>
    <w:rsid w:val="00C97736"/>
    <w:rsid w:val="00C97C23"/>
    <w:rsid w:val="00CA32EA"/>
    <w:rsid w:val="00CA345A"/>
    <w:rsid w:val="00CB1E82"/>
    <w:rsid w:val="00CB3D67"/>
    <w:rsid w:val="00CB4A1F"/>
    <w:rsid w:val="00CB4BA8"/>
    <w:rsid w:val="00CB52D7"/>
    <w:rsid w:val="00CB6DEB"/>
    <w:rsid w:val="00CB7A04"/>
    <w:rsid w:val="00CC1182"/>
    <w:rsid w:val="00CC1A96"/>
    <w:rsid w:val="00CC2D7D"/>
    <w:rsid w:val="00CC6732"/>
    <w:rsid w:val="00CD0711"/>
    <w:rsid w:val="00CD0D32"/>
    <w:rsid w:val="00CD101D"/>
    <w:rsid w:val="00CD31CE"/>
    <w:rsid w:val="00CD395F"/>
    <w:rsid w:val="00CD6E7B"/>
    <w:rsid w:val="00CD6F7A"/>
    <w:rsid w:val="00CE0559"/>
    <w:rsid w:val="00CE1BCF"/>
    <w:rsid w:val="00CE3C96"/>
    <w:rsid w:val="00CE44DD"/>
    <w:rsid w:val="00CE51A8"/>
    <w:rsid w:val="00CE6BED"/>
    <w:rsid w:val="00CF0CAD"/>
    <w:rsid w:val="00CF110C"/>
    <w:rsid w:val="00CF369B"/>
    <w:rsid w:val="00CF3BDA"/>
    <w:rsid w:val="00CF5341"/>
    <w:rsid w:val="00CF7BD8"/>
    <w:rsid w:val="00D004C9"/>
    <w:rsid w:val="00D00E28"/>
    <w:rsid w:val="00D0269E"/>
    <w:rsid w:val="00D057F7"/>
    <w:rsid w:val="00D05D44"/>
    <w:rsid w:val="00D07871"/>
    <w:rsid w:val="00D10029"/>
    <w:rsid w:val="00D110A8"/>
    <w:rsid w:val="00D12CFD"/>
    <w:rsid w:val="00D14215"/>
    <w:rsid w:val="00D15810"/>
    <w:rsid w:val="00D16A06"/>
    <w:rsid w:val="00D16D4E"/>
    <w:rsid w:val="00D16FE3"/>
    <w:rsid w:val="00D172BB"/>
    <w:rsid w:val="00D17D01"/>
    <w:rsid w:val="00D20A7D"/>
    <w:rsid w:val="00D27069"/>
    <w:rsid w:val="00D27102"/>
    <w:rsid w:val="00D277B0"/>
    <w:rsid w:val="00D27F41"/>
    <w:rsid w:val="00D3561C"/>
    <w:rsid w:val="00D35E14"/>
    <w:rsid w:val="00D36441"/>
    <w:rsid w:val="00D372CC"/>
    <w:rsid w:val="00D4064E"/>
    <w:rsid w:val="00D41C57"/>
    <w:rsid w:val="00D449CC"/>
    <w:rsid w:val="00D44E9B"/>
    <w:rsid w:val="00D47AEB"/>
    <w:rsid w:val="00D50DB9"/>
    <w:rsid w:val="00D50E15"/>
    <w:rsid w:val="00D522C8"/>
    <w:rsid w:val="00D525FC"/>
    <w:rsid w:val="00D52B96"/>
    <w:rsid w:val="00D52C43"/>
    <w:rsid w:val="00D54D9E"/>
    <w:rsid w:val="00D567BE"/>
    <w:rsid w:val="00D57A1B"/>
    <w:rsid w:val="00D60493"/>
    <w:rsid w:val="00D64D7D"/>
    <w:rsid w:val="00D6507F"/>
    <w:rsid w:val="00D72139"/>
    <w:rsid w:val="00D730BC"/>
    <w:rsid w:val="00D73912"/>
    <w:rsid w:val="00D7442A"/>
    <w:rsid w:val="00D8038E"/>
    <w:rsid w:val="00D85226"/>
    <w:rsid w:val="00D866D4"/>
    <w:rsid w:val="00D87B94"/>
    <w:rsid w:val="00D92D49"/>
    <w:rsid w:val="00D92EC1"/>
    <w:rsid w:val="00D96D21"/>
    <w:rsid w:val="00D96DEA"/>
    <w:rsid w:val="00D972FA"/>
    <w:rsid w:val="00D978AE"/>
    <w:rsid w:val="00DA29E6"/>
    <w:rsid w:val="00DA3847"/>
    <w:rsid w:val="00DA4E41"/>
    <w:rsid w:val="00DA5037"/>
    <w:rsid w:val="00DA572C"/>
    <w:rsid w:val="00DA61EF"/>
    <w:rsid w:val="00DA7C60"/>
    <w:rsid w:val="00DB117A"/>
    <w:rsid w:val="00DB2661"/>
    <w:rsid w:val="00DB2EF8"/>
    <w:rsid w:val="00DB3415"/>
    <w:rsid w:val="00DB3E21"/>
    <w:rsid w:val="00DB4418"/>
    <w:rsid w:val="00DB47B5"/>
    <w:rsid w:val="00DB5173"/>
    <w:rsid w:val="00DB7873"/>
    <w:rsid w:val="00DC187B"/>
    <w:rsid w:val="00DC1CE8"/>
    <w:rsid w:val="00DC4A17"/>
    <w:rsid w:val="00DC5161"/>
    <w:rsid w:val="00DC53C1"/>
    <w:rsid w:val="00DC78B0"/>
    <w:rsid w:val="00DD6F3C"/>
    <w:rsid w:val="00DD73C2"/>
    <w:rsid w:val="00DD7517"/>
    <w:rsid w:val="00DE009E"/>
    <w:rsid w:val="00DE088A"/>
    <w:rsid w:val="00DE319B"/>
    <w:rsid w:val="00DE47AB"/>
    <w:rsid w:val="00DE497A"/>
    <w:rsid w:val="00DF2076"/>
    <w:rsid w:val="00DF34FE"/>
    <w:rsid w:val="00DF4E1A"/>
    <w:rsid w:val="00DF56AA"/>
    <w:rsid w:val="00DF78E7"/>
    <w:rsid w:val="00E00F42"/>
    <w:rsid w:val="00E0161E"/>
    <w:rsid w:val="00E0307D"/>
    <w:rsid w:val="00E0790B"/>
    <w:rsid w:val="00E10E01"/>
    <w:rsid w:val="00E110E0"/>
    <w:rsid w:val="00E1418A"/>
    <w:rsid w:val="00E14E43"/>
    <w:rsid w:val="00E15371"/>
    <w:rsid w:val="00E219EF"/>
    <w:rsid w:val="00E21B13"/>
    <w:rsid w:val="00E22916"/>
    <w:rsid w:val="00E22EB6"/>
    <w:rsid w:val="00E230DB"/>
    <w:rsid w:val="00E24104"/>
    <w:rsid w:val="00E2517F"/>
    <w:rsid w:val="00E25B3D"/>
    <w:rsid w:val="00E264B6"/>
    <w:rsid w:val="00E27462"/>
    <w:rsid w:val="00E302D0"/>
    <w:rsid w:val="00E31CF2"/>
    <w:rsid w:val="00E33CBA"/>
    <w:rsid w:val="00E341EA"/>
    <w:rsid w:val="00E34299"/>
    <w:rsid w:val="00E34A7E"/>
    <w:rsid w:val="00E35707"/>
    <w:rsid w:val="00E36A32"/>
    <w:rsid w:val="00E36AA1"/>
    <w:rsid w:val="00E41ECB"/>
    <w:rsid w:val="00E44904"/>
    <w:rsid w:val="00E46A54"/>
    <w:rsid w:val="00E50A27"/>
    <w:rsid w:val="00E50F6C"/>
    <w:rsid w:val="00E54FDB"/>
    <w:rsid w:val="00E5617D"/>
    <w:rsid w:val="00E563D7"/>
    <w:rsid w:val="00E6234B"/>
    <w:rsid w:val="00E62589"/>
    <w:rsid w:val="00E6490A"/>
    <w:rsid w:val="00E663F4"/>
    <w:rsid w:val="00E666F2"/>
    <w:rsid w:val="00E66DD4"/>
    <w:rsid w:val="00E704C9"/>
    <w:rsid w:val="00E70CCD"/>
    <w:rsid w:val="00E748CC"/>
    <w:rsid w:val="00E75415"/>
    <w:rsid w:val="00E775B1"/>
    <w:rsid w:val="00E77F8F"/>
    <w:rsid w:val="00E8129B"/>
    <w:rsid w:val="00E8152A"/>
    <w:rsid w:val="00E815C6"/>
    <w:rsid w:val="00E851D5"/>
    <w:rsid w:val="00E87055"/>
    <w:rsid w:val="00E93629"/>
    <w:rsid w:val="00E93B5C"/>
    <w:rsid w:val="00E94CEC"/>
    <w:rsid w:val="00E94F6D"/>
    <w:rsid w:val="00EA04EF"/>
    <w:rsid w:val="00EA11C4"/>
    <w:rsid w:val="00EA23D3"/>
    <w:rsid w:val="00EA3B0D"/>
    <w:rsid w:val="00EA3C30"/>
    <w:rsid w:val="00EA6F19"/>
    <w:rsid w:val="00EA782A"/>
    <w:rsid w:val="00EB0111"/>
    <w:rsid w:val="00EB5D8C"/>
    <w:rsid w:val="00EB6DAE"/>
    <w:rsid w:val="00EB7090"/>
    <w:rsid w:val="00EC19FE"/>
    <w:rsid w:val="00EC1BBE"/>
    <w:rsid w:val="00EC20B7"/>
    <w:rsid w:val="00EC2F26"/>
    <w:rsid w:val="00EC32FD"/>
    <w:rsid w:val="00EC5AC1"/>
    <w:rsid w:val="00EC5CD7"/>
    <w:rsid w:val="00ED0289"/>
    <w:rsid w:val="00EE5FB3"/>
    <w:rsid w:val="00EE7F79"/>
    <w:rsid w:val="00EF0497"/>
    <w:rsid w:val="00EF0AF3"/>
    <w:rsid w:val="00EF103D"/>
    <w:rsid w:val="00EF1602"/>
    <w:rsid w:val="00EF4320"/>
    <w:rsid w:val="00EF4F4D"/>
    <w:rsid w:val="00EF715A"/>
    <w:rsid w:val="00EF7289"/>
    <w:rsid w:val="00F0093C"/>
    <w:rsid w:val="00F024FD"/>
    <w:rsid w:val="00F02932"/>
    <w:rsid w:val="00F053CB"/>
    <w:rsid w:val="00F05F67"/>
    <w:rsid w:val="00F06E14"/>
    <w:rsid w:val="00F071C8"/>
    <w:rsid w:val="00F07C43"/>
    <w:rsid w:val="00F10110"/>
    <w:rsid w:val="00F106B6"/>
    <w:rsid w:val="00F179D4"/>
    <w:rsid w:val="00F21ABB"/>
    <w:rsid w:val="00F24FB7"/>
    <w:rsid w:val="00F250B5"/>
    <w:rsid w:val="00F254A8"/>
    <w:rsid w:val="00F25B6A"/>
    <w:rsid w:val="00F31CCF"/>
    <w:rsid w:val="00F33C56"/>
    <w:rsid w:val="00F34021"/>
    <w:rsid w:val="00F347C7"/>
    <w:rsid w:val="00F34848"/>
    <w:rsid w:val="00F37E39"/>
    <w:rsid w:val="00F41441"/>
    <w:rsid w:val="00F42D46"/>
    <w:rsid w:val="00F438BB"/>
    <w:rsid w:val="00F4496C"/>
    <w:rsid w:val="00F44F3A"/>
    <w:rsid w:val="00F47C96"/>
    <w:rsid w:val="00F51F10"/>
    <w:rsid w:val="00F529A5"/>
    <w:rsid w:val="00F52E7B"/>
    <w:rsid w:val="00F540C0"/>
    <w:rsid w:val="00F5728D"/>
    <w:rsid w:val="00F60F00"/>
    <w:rsid w:val="00F614C0"/>
    <w:rsid w:val="00F62678"/>
    <w:rsid w:val="00F65B5E"/>
    <w:rsid w:val="00F6658E"/>
    <w:rsid w:val="00F75982"/>
    <w:rsid w:val="00F75C24"/>
    <w:rsid w:val="00F773AA"/>
    <w:rsid w:val="00F81D51"/>
    <w:rsid w:val="00F83848"/>
    <w:rsid w:val="00F85B22"/>
    <w:rsid w:val="00F94A46"/>
    <w:rsid w:val="00F9559C"/>
    <w:rsid w:val="00F975E9"/>
    <w:rsid w:val="00FA02BF"/>
    <w:rsid w:val="00FA1B7D"/>
    <w:rsid w:val="00FA253E"/>
    <w:rsid w:val="00FA4114"/>
    <w:rsid w:val="00FA51BF"/>
    <w:rsid w:val="00FA62A4"/>
    <w:rsid w:val="00FB1B4D"/>
    <w:rsid w:val="00FB2AC3"/>
    <w:rsid w:val="00FB476B"/>
    <w:rsid w:val="00FB67DA"/>
    <w:rsid w:val="00FB6B88"/>
    <w:rsid w:val="00FB78AA"/>
    <w:rsid w:val="00FC040B"/>
    <w:rsid w:val="00FC07B9"/>
    <w:rsid w:val="00FC2E48"/>
    <w:rsid w:val="00FC4391"/>
    <w:rsid w:val="00FC4E21"/>
    <w:rsid w:val="00FC5F6D"/>
    <w:rsid w:val="00FC770E"/>
    <w:rsid w:val="00FC78EC"/>
    <w:rsid w:val="00FD0107"/>
    <w:rsid w:val="00FD2C2F"/>
    <w:rsid w:val="00FD3B31"/>
    <w:rsid w:val="00FD404F"/>
    <w:rsid w:val="00FD7256"/>
    <w:rsid w:val="00FE0CE7"/>
    <w:rsid w:val="00FE0E5A"/>
    <w:rsid w:val="00FE167A"/>
    <w:rsid w:val="00FE1823"/>
    <w:rsid w:val="00FE487A"/>
    <w:rsid w:val="00FE52D2"/>
    <w:rsid w:val="00FE70E6"/>
    <w:rsid w:val="00FF0569"/>
    <w:rsid w:val="00FF1C39"/>
    <w:rsid w:val="00FF206E"/>
    <w:rsid w:val="00FF3C69"/>
    <w:rsid w:val="00FF6DA5"/>
    <w:rsid w:val="00FF6E0A"/>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colormru v:ext="edit" colors="red,#4d4d4f"/>
    </o:shapedefaults>
    <o:shapelayout v:ext="edit">
      <o:idmap v:ext="edit" data="1"/>
    </o:shapelayout>
  </w:shapeDefaults>
  <w:decimalSymbol w:val="."/>
  <w:listSeparator w:val=","/>
  <w14:docId w14:val="471DDE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uiPriority="99" w:qFormat="1"/>
    <w:lsdException w:name="heading 2" w:uiPriority="99" w:qFormat="1"/>
    <w:lsdException w:name="heading 3" w:uiPriority="99" w:qFormat="1"/>
    <w:lsdException w:name="heading 4" w:uiPriority="99" w:qFormat="1"/>
    <w:lsdException w:name="heading 5" w:uiPriority="99" w:qFormat="1"/>
    <w:lsdException w:name="heading 6" w:uiPriority="99" w:qFormat="1"/>
    <w:lsdException w:name="heading 7" w:uiPriority="99" w:unhideWhenUsed="1" w:qFormat="1"/>
    <w:lsdException w:name="heading 8" w:uiPriority="99" w:unhideWhenUsed="1" w:qFormat="1"/>
    <w:lsdException w:name="heading 9" w:uiPriority="99" w:unhideWhenUsed="1" w:qFormat="1"/>
    <w:lsdException w:name="index 1" w:semiHidden="1" w:unhideWhenUsed="1"/>
    <w:lsdException w:name="index 2" w:unhideWhenUsed="1"/>
    <w:lsdException w:name="index 3" w:unhideWhenUsed="1"/>
    <w:lsdException w:name="index 4" w:unhideWhenUsed="1"/>
    <w:lsdException w:name="index 5" w:unhideWhenUsed="1"/>
    <w:lsdException w:name="index 6"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unhideWhenUsed="1" w:qFormat="1"/>
    <w:lsdException w:name="List Number 3" w:semiHidden="1" w:unhideWhenUsed="1"/>
    <w:lsdException w:name="List Number 4" w:semiHidden="1" w:unhideWhenUsed="1"/>
    <w:lsdException w:name="List Number 5" w:unhideWhenUsed="1"/>
    <w:lsdException w:name="Closing" w:semiHidden="1" w:unhideWhenUsed="1"/>
    <w:lsdException w:name="Signature" w:semiHidden="1" w:unhideWhenUsed="1"/>
    <w:lsdException w:name="Default Paragraph Font"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unhideWhenUsed="1"/>
    <w:lsdException w:name="Block Text" w:unhideWhenUsed="1"/>
    <w:lsdException w:name="Hyperlink" w:uiPriority="99" w:unhideWhenUsed="1" w:qFormat="1"/>
    <w:lsdException w:name="FollowedHyperlink"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Revision" w:semiHidden="1" w:uiPriority="99"/>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Bibliography" w:semiHidden="1"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0161E"/>
    <w:pPr>
      <w:spacing w:after="240" w:line="240" w:lineRule="atLeast"/>
    </w:pPr>
    <w:rPr>
      <w:rFonts w:ascii="Arial" w:hAnsi="Arial"/>
      <w:sz w:val="20"/>
    </w:rPr>
  </w:style>
  <w:style w:type="paragraph" w:styleId="Heading1">
    <w:name w:val="heading 1"/>
    <w:basedOn w:val="Normal"/>
    <w:next w:val="Normal"/>
    <w:uiPriority w:val="99"/>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uiPriority w:val="99"/>
    <w:qFormat/>
    <w:rsid w:val="00C55235"/>
    <w:pPr>
      <w:keepNext/>
      <w:spacing w:before="320" w:after="60"/>
      <w:outlineLvl w:val="1"/>
    </w:pPr>
    <w:rPr>
      <w:rFonts w:cs="Arial"/>
      <w:b/>
      <w:bCs/>
      <w:iCs/>
      <w:sz w:val="28"/>
      <w:szCs w:val="28"/>
    </w:rPr>
  </w:style>
  <w:style w:type="paragraph" w:styleId="Heading3">
    <w:name w:val="heading 3"/>
    <w:basedOn w:val="Normal"/>
    <w:next w:val="Normal"/>
    <w:uiPriority w:val="99"/>
    <w:qFormat/>
    <w:rsid w:val="00C55235"/>
    <w:pPr>
      <w:keepNext/>
      <w:spacing w:before="60" w:after="60"/>
      <w:outlineLvl w:val="2"/>
    </w:pPr>
    <w:rPr>
      <w:rFonts w:cs="Arial"/>
      <w:b/>
      <w:bCs/>
      <w:szCs w:val="26"/>
    </w:rPr>
  </w:style>
  <w:style w:type="paragraph" w:styleId="Heading4">
    <w:name w:val="heading 4"/>
    <w:basedOn w:val="Normal"/>
    <w:next w:val="Normal"/>
    <w:uiPriority w:val="99"/>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uiPriority w:val="99"/>
    <w:qFormat/>
    <w:rsid w:val="00AD5436"/>
    <w:pPr>
      <w:numPr>
        <w:ilvl w:val="4"/>
        <w:numId w:val="5"/>
      </w:numPr>
      <w:spacing w:before="240" w:after="60"/>
      <w:outlineLvl w:val="4"/>
    </w:pPr>
    <w:rPr>
      <w:b/>
      <w:bCs/>
      <w:i/>
      <w:iCs/>
      <w:sz w:val="26"/>
      <w:szCs w:val="26"/>
    </w:rPr>
  </w:style>
  <w:style w:type="paragraph" w:styleId="Heading6">
    <w:name w:val="heading 6"/>
    <w:basedOn w:val="Normal"/>
    <w:next w:val="Normal"/>
    <w:uiPriority w:val="99"/>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uiPriority w:val="99"/>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uiPriority w:val="99"/>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uiPriority w:val="99"/>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basedOn w:val="DefaultParagraphFont"/>
    <w:rsid w:val="00566AB4"/>
    <w:rPr>
      <w:rFonts w:ascii="Arial" w:hAnsi="Arial"/>
      <w:vertAlign w:val="superscript"/>
    </w:rPr>
  </w:style>
  <w:style w:type="paragraph" w:styleId="FootnoteText">
    <w:name w:val="footnote text"/>
    <w:aliases w:val="ACMA Footnote Text,ABA Footnote Text"/>
    <w:basedOn w:val="Normal"/>
    <w:link w:val="FootnoteTextChar"/>
    <w:rsid w:val="00AA7B15"/>
    <w:pPr>
      <w:spacing w:after="0" w:line="200" w:lineRule="atLeast"/>
    </w:pPr>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character" w:customStyle="1" w:styleId="HeaderChar">
    <w:name w:val="Header Char"/>
    <w:basedOn w:val="DefaultParagraphFont"/>
    <w:link w:val="Header"/>
    <w:rsid w:val="009E783D"/>
    <w:rPr>
      <w:rFonts w:ascii="Arial" w:hAnsi="Arial"/>
      <w:sz w:val="16"/>
    </w:rPr>
  </w:style>
  <w:style w:type="paragraph" w:customStyle="1" w:styleId="ReportTitle">
    <w:name w:val="Report Title"/>
    <w:basedOn w:val="Normal"/>
    <w:rsid w:val="009E783D"/>
    <w:pPr>
      <w:spacing w:after="0" w:line="560" w:lineRule="exact"/>
    </w:pPr>
    <w:rPr>
      <w:b/>
      <w:color w:val="4D4D4F"/>
      <w:spacing w:val="-28"/>
      <w:sz w:val="53"/>
    </w:rPr>
  </w:style>
  <w:style w:type="paragraph" w:customStyle="1" w:styleId="ReportSubtitle">
    <w:name w:val="Report Sub title"/>
    <w:basedOn w:val="Normal"/>
    <w:rsid w:val="009E783D"/>
    <w:pPr>
      <w:spacing w:after="0" w:line="560" w:lineRule="exact"/>
    </w:pPr>
    <w:rPr>
      <w:color w:val="808285"/>
      <w:spacing w:val="-28"/>
      <w:sz w:val="53"/>
    </w:rPr>
  </w:style>
  <w:style w:type="paragraph" w:customStyle="1" w:styleId="ReportDate">
    <w:name w:val="Report Date"/>
    <w:basedOn w:val="ReportSubtitle"/>
    <w:rsid w:val="009E783D"/>
    <w:pPr>
      <w:spacing w:line="240" w:lineRule="auto"/>
    </w:pPr>
    <w:rPr>
      <w:caps/>
      <w:spacing w:val="-10"/>
      <w:sz w:val="20"/>
    </w:rPr>
  </w:style>
  <w:style w:type="paragraph" w:customStyle="1" w:styleId="Bodysubheader0">
    <w:name w:val="Body sub header"/>
    <w:basedOn w:val="Normal"/>
    <w:next w:val="Normal"/>
    <w:rsid w:val="003F7E3A"/>
    <w:pPr>
      <w:spacing w:after="40"/>
    </w:pPr>
    <w:rPr>
      <w:b/>
      <w:i/>
    </w:rPr>
  </w:style>
  <w:style w:type="paragraph" w:customStyle="1" w:styleId="ExecSummaryHeading">
    <w:name w:val="Exec Summary Heading"/>
    <w:basedOn w:val="Normal"/>
    <w:rsid w:val="009E783D"/>
    <w:pPr>
      <w:spacing w:after="1440" w:line="550" w:lineRule="exact"/>
    </w:pPr>
    <w:rPr>
      <w:b/>
      <w:color w:val="4D4D4F"/>
      <w:spacing w:val="-18"/>
      <w:sz w:val="53"/>
    </w:rPr>
  </w:style>
  <w:style w:type="character" w:customStyle="1" w:styleId="FootnoteTextChar">
    <w:name w:val="Footnote Text Char"/>
    <w:aliases w:val="ACMA Footnote Text Char,ABA Footnote Text Char"/>
    <w:basedOn w:val="DefaultParagraphFont"/>
    <w:link w:val="FootnoteText"/>
    <w:rsid w:val="00AA7B15"/>
    <w:rPr>
      <w:rFonts w:ascii="Arial" w:hAnsi="Arial"/>
      <w:sz w:val="16"/>
      <w:szCs w:val="16"/>
    </w:rPr>
  </w:style>
  <w:style w:type="paragraph" w:styleId="TOC9">
    <w:name w:val="toc 9"/>
    <w:aliases w:val="TOC ExecSumm"/>
    <w:basedOn w:val="Normal"/>
    <w:next w:val="Normal"/>
    <w:rsid w:val="009E783D"/>
    <w:pPr>
      <w:tabs>
        <w:tab w:val="right" w:pos="7660"/>
      </w:tabs>
      <w:spacing w:before="280" w:after="0" w:line="320" w:lineRule="exact"/>
    </w:pPr>
    <w:rPr>
      <w:b/>
      <w:noProof/>
      <w:color w:val="808285"/>
      <w:sz w:val="28"/>
      <w:szCs w:val="28"/>
    </w:rPr>
  </w:style>
  <w:style w:type="paragraph" w:customStyle="1" w:styleId="ChapterHeading">
    <w:name w:val="Chapter Heading"/>
    <w:basedOn w:val="Normal"/>
    <w:rsid w:val="009E783D"/>
    <w:pPr>
      <w:spacing w:after="0" w:line="560" w:lineRule="exact"/>
    </w:pPr>
    <w:rPr>
      <w:color w:val="808285"/>
      <w:spacing w:val="-28"/>
      <w:sz w:val="53"/>
    </w:rPr>
  </w:style>
  <w:style w:type="character" w:customStyle="1" w:styleId="apple-style-span">
    <w:name w:val="apple-style-span"/>
    <w:basedOn w:val="DefaultParagraphFont"/>
    <w:rsid w:val="009E783D"/>
  </w:style>
  <w:style w:type="paragraph" w:customStyle="1" w:styleId="ACMABodyText">
    <w:name w:val="ACMA Body Text"/>
    <w:link w:val="ACMABodyTextChar"/>
    <w:rsid w:val="009E783D"/>
    <w:pPr>
      <w:suppressAutoHyphens/>
      <w:spacing w:before="80" w:after="120" w:line="280" w:lineRule="atLeast"/>
    </w:pPr>
    <w:rPr>
      <w:rFonts w:ascii="Arial" w:hAnsi="Arial"/>
      <w:lang w:eastAsia="en-US"/>
    </w:rPr>
  </w:style>
  <w:style w:type="character" w:customStyle="1" w:styleId="ACMABodyTextChar">
    <w:name w:val="ACMA Body Text Char"/>
    <w:basedOn w:val="DefaultParagraphFont"/>
    <w:link w:val="ACMABodyText"/>
    <w:locked/>
    <w:rsid w:val="009E783D"/>
    <w:rPr>
      <w:rFonts w:ascii="Arial" w:hAnsi="Arial"/>
      <w:lang w:eastAsia="en-US"/>
    </w:rPr>
  </w:style>
  <w:style w:type="paragraph" w:customStyle="1" w:styleId="ACMABulletLevel1">
    <w:name w:val="ACMA Bullet Level 1"/>
    <w:uiPriority w:val="99"/>
    <w:rsid w:val="009E783D"/>
    <w:pPr>
      <w:numPr>
        <w:numId w:val="10"/>
      </w:numPr>
      <w:spacing w:after="120"/>
    </w:pPr>
    <w:rPr>
      <w:rFonts w:ascii="Arial" w:hAnsi="Arial"/>
      <w:lang w:eastAsia="en-US"/>
    </w:rPr>
  </w:style>
  <w:style w:type="paragraph" w:customStyle="1" w:styleId="ACMAHeading2">
    <w:name w:val="ACMA Heading 2"/>
    <w:next w:val="ACMABodyText"/>
    <w:uiPriority w:val="99"/>
    <w:rsid w:val="009E783D"/>
    <w:pPr>
      <w:keepNext/>
      <w:suppressAutoHyphens/>
      <w:spacing w:before="240"/>
      <w:outlineLvl w:val="2"/>
    </w:pPr>
    <w:rPr>
      <w:rFonts w:ascii="Arial" w:hAnsi="Arial" w:cs="Arial"/>
      <w:b/>
      <w:bCs/>
      <w:caps/>
      <w:sz w:val="26"/>
      <w:szCs w:val="26"/>
      <w:lang w:val="en-US" w:eastAsia="en-US"/>
    </w:rPr>
  </w:style>
  <w:style w:type="paragraph" w:customStyle="1" w:styleId="Pa11">
    <w:name w:val="Pa11"/>
    <w:basedOn w:val="Normal"/>
    <w:next w:val="Normal"/>
    <w:uiPriority w:val="99"/>
    <w:rsid w:val="009E783D"/>
    <w:pPr>
      <w:widowControl w:val="0"/>
      <w:autoSpaceDE w:val="0"/>
      <w:autoSpaceDN w:val="0"/>
      <w:adjustRightInd w:val="0"/>
      <w:spacing w:after="160" w:line="201" w:lineRule="atLeast"/>
    </w:pPr>
    <w:rPr>
      <w:rFonts w:ascii="Univers" w:eastAsia="SimSun" w:hAnsi="Univers" w:cs="Univers"/>
      <w:sz w:val="24"/>
      <w:lang w:val="en-US" w:eastAsia="en-US"/>
    </w:rPr>
  </w:style>
  <w:style w:type="paragraph" w:customStyle="1" w:styleId="Pa12">
    <w:name w:val="Pa12"/>
    <w:basedOn w:val="Normal"/>
    <w:next w:val="Normal"/>
    <w:uiPriority w:val="99"/>
    <w:rsid w:val="009E783D"/>
    <w:pPr>
      <w:widowControl w:val="0"/>
      <w:autoSpaceDE w:val="0"/>
      <w:autoSpaceDN w:val="0"/>
      <w:adjustRightInd w:val="0"/>
      <w:spacing w:after="160" w:line="241" w:lineRule="atLeast"/>
    </w:pPr>
    <w:rPr>
      <w:rFonts w:ascii="Univers" w:eastAsia="SimSun" w:hAnsi="Univers" w:cs="Univers"/>
      <w:sz w:val="24"/>
      <w:lang w:val="en-US" w:eastAsia="en-US"/>
    </w:rPr>
  </w:style>
  <w:style w:type="paragraph" w:styleId="BodyText">
    <w:name w:val="Body Text"/>
    <w:basedOn w:val="Normal"/>
    <w:link w:val="BodyTextChar"/>
    <w:uiPriority w:val="99"/>
    <w:rsid w:val="009E783D"/>
    <w:pPr>
      <w:spacing w:after="0" w:line="240" w:lineRule="auto"/>
    </w:pPr>
    <w:rPr>
      <w:i/>
      <w:iCs/>
      <w:color w:val="999999"/>
      <w:lang w:eastAsia="en-US"/>
    </w:rPr>
  </w:style>
  <w:style w:type="character" w:customStyle="1" w:styleId="BodyTextChar">
    <w:name w:val="Body Text Char"/>
    <w:basedOn w:val="DefaultParagraphFont"/>
    <w:link w:val="BodyText"/>
    <w:uiPriority w:val="99"/>
    <w:rsid w:val="009E783D"/>
    <w:rPr>
      <w:rFonts w:ascii="Arial" w:hAnsi="Arial"/>
      <w:i/>
      <w:iCs/>
      <w:color w:val="999999"/>
      <w:sz w:val="20"/>
      <w:lang w:eastAsia="en-US"/>
    </w:rPr>
  </w:style>
  <w:style w:type="paragraph" w:customStyle="1" w:styleId="LegislationLvl1">
    <w:name w:val="Legislation Lvl 1"/>
    <w:uiPriority w:val="99"/>
    <w:rsid w:val="009E783D"/>
    <w:pPr>
      <w:numPr>
        <w:ilvl w:val="2"/>
        <w:numId w:val="11"/>
      </w:numPr>
      <w:tabs>
        <w:tab w:val="clear" w:pos="2436"/>
        <w:tab w:val="num" w:pos="851"/>
        <w:tab w:val="num" w:pos="1176"/>
      </w:tabs>
      <w:ind w:left="850" w:hanging="493"/>
    </w:pPr>
    <w:rPr>
      <w:rFonts w:ascii="Arial" w:hAnsi="Arial"/>
      <w:sz w:val="22"/>
      <w:szCs w:val="22"/>
      <w:lang w:eastAsia="en-US"/>
    </w:rPr>
  </w:style>
  <w:style w:type="paragraph" w:customStyle="1" w:styleId="LegislationLvl2">
    <w:name w:val="Legislation Lvl 2"/>
    <w:uiPriority w:val="99"/>
    <w:rsid w:val="009E783D"/>
    <w:pPr>
      <w:numPr>
        <w:ilvl w:val="3"/>
        <w:numId w:val="11"/>
      </w:numPr>
      <w:tabs>
        <w:tab w:val="clear" w:pos="2796"/>
        <w:tab w:val="num" w:pos="1418"/>
        <w:tab w:val="num" w:pos="1536"/>
      </w:tabs>
      <w:ind w:left="1418" w:hanging="567"/>
    </w:pPr>
    <w:rPr>
      <w:rFonts w:ascii="Arial" w:hAnsi="Arial"/>
      <w:sz w:val="22"/>
      <w:szCs w:val="22"/>
      <w:lang w:eastAsia="en-US"/>
    </w:rPr>
  </w:style>
  <w:style w:type="paragraph" w:customStyle="1" w:styleId="LegislationLvl3">
    <w:name w:val="Legislation Lvl 3"/>
    <w:uiPriority w:val="99"/>
    <w:rsid w:val="009E783D"/>
    <w:pPr>
      <w:tabs>
        <w:tab w:val="num" w:pos="1985"/>
        <w:tab w:val="num" w:pos="2436"/>
      </w:tabs>
      <w:ind w:left="1985" w:hanging="567"/>
    </w:pPr>
    <w:rPr>
      <w:rFonts w:ascii="Arial" w:hAnsi="Arial"/>
      <w:sz w:val="22"/>
      <w:szCs w:val="22"/>
      <w:lang w:eastAsia="en-US"/>
    </w:rPr>
  </w:style>
  <w:style w:type="paragraph" w:customStyle="1" w:styleId="LegislationLvl4">
    <w:name w:val="Legislation Lvl 4"/>
    <w:uiPriority w:val="99"/>
    <w:rsid w:val="009E783D"/>
    <w:pPr>
      <w:tabs>
        <w:tab w:val="num" w:pos="2694"/>
        <w:tab w:val="num" w:pos="2796"/>
      </w:tabs>
      <w:ind w:left="2694" w:hanging="426"/>
    </w:pPr>
    <w:rPr>
      <w:rFonts w:ascii="Arial" w:hAnsi="Arial"/>
      <w:sz w:val="22"/>
      <w:szCs w:val="22"/>
      <w:lang w:eastAsia="en-US"/>
    </w:rPr>
  </w:style>
  <w:style w:type="paragraph" w:styleId="ListParagraph">
    <w:name w:val="List Paragraph"/>
    <w:basedOn w:val="Normal"/>
    <w:uiPriority w:val="34"/>
    <w:qFormat/>
    <w:rsid w:val="009E783D"/>
    <w:pPr>
      <w:spacing w:after="0"/>
      <w:ind w:left="720"/>
      <w:contextualSpacing/>
    </w:pPr>
    <w:rPr>
      <w:rFonts w:ascii="HelveticaNeueLT Std Lt" w:hAnsi="HelveticaNeueLT Std Lt"/>
    </w:rPr>
  </w:style>
  <w:style w:type="paragraph" w:customStyle="1" w:styleId="ExampleText">
    <w:name w:val="Example Text"/>
    <w:basedOn w:val="Normal"/>
    <w:rsid w:val="009E783D"/>
    <w:pPr>
      <w:spacing w:line="260" w:lineRule="exact"/>
    </w:pPr>
    <w:rPr>
      <w:rFonts w:ascii="Book Antiqua" w:hAnsi="Book Antiqua"/>
      <w:i/>
      <w:color w:val="FF0000"/>
      <w:lang w:eastAsia="en-US"/>
    </w:rPr>
  </w:style>
  <w:style w:type="paragraph" w:customStyle="1" w:styleId="Default">
    <w:name w:val="Default"/>
    <w:rsid w:val="009E783D"/>
    <w:pPr>
      <w:autoSpaceDE w:val="0"/>
      <w:autoSpaceDN w:val="0"/>
      <w:adjustRightInd w:val="0"/>
    </w:pPr>
    <w:rPr>
      <w:rFonts w:ascii="Symbol" w:hAnsi="Symbol" w:cs="Symbol"/>
      <w:color w:val="000000"/>
    </w:rPr>
  </w:style>
  <w:style w:type="character" w:customStyle="1" w:styleId="EndnoteTextChar">
    <w:name w:val="Endnote Text Char"/>
    <w:basedOn w:val="DefaultParagraphFont"/>
    <w:link w:val="EndnoteText"/>
    <w:semiHidden/>
    <w:rsid w:val="009E783D"/>
    <w:rPr>
      <w:rFonts w:ascii="HelveticaNeueLT Std Lt" w:hAnsi="HelveticaNeueLT Std Lt"/>
    </w:rPr>
  </w:style>
  <w:style w:type="paragraph" w:styleId="EndnoteText">
    <w:name w:val="endnote text"/>
    <w:basedOn w:val="Normal"/>
    <w:link w:val="EndnoteTextChar"/>
    <w:semiHidden/>
    <w:rsid w:val="009E783D"/>
    <w:pPr>
      <w:spacing w:after="0" w:line="240" w:lineRule="auto"/>
    </w:pPr>
    <w:rPr>
      <w:rFonts w:ascii="HelveticaNeueLT Std Lt" w:hAnsi="HelveticaNeueLT Std Lt"/>
      <w:sz w:val="24"/>
    </w:rPr>
  </w:style>
  <w:style w:type="character" w:customStyle="1" w:styleId="EndnoteTextChar1">
    <w:name w:val="Endnote Text Char1"/>
    <w:basedOn w:val="DefaultParagraphFont"/>
    <w:semiHidden/>
    <w:rsid w:val="009E783D"/>
    <w:rPr>
      <w:rFonts w:ascii="Arial" w:hAnsi="Arial"/>
      <w:sz w:val="20"/>
      <w:szCs w:val="20"/>
    </w:rPr>
  </w:style>
  <w:style w:type="paragraph" w:customStyle="1" w:styleId="R1">
    <w:name w:val="R1"/>
    <w:aliases w:val="1. or 1.(1)"/>
    <w:basedOn w:val="Normal"/>
    <w:next w:val="P1"/>
    <w:rsid w:val="009E783D"/>
    <w:pPr>
      <w:tabs>
        <w:tab w:val="right" w:pos="1080"/>
        <w:tab w:val="left" w:pos="1260"/>
        <w:tab w:val="left" w:pos="1800"/>
      </w:tabs>
      <w:autoSpaceDE w:val="0"/>
      <w:autoSpaceDN w:val="0"/>
      <w:spacing w:before="120" w:after="0" w:line="240" w:lineRule="auto"/>
      <w:jc w:val="both"/>
    </w:pPr>
    <w:rPr>
      <w:rFonts w:ascii="Times" w:hAnsi="Times" w:cs="Times"/>
      <w:sz w:val="26"/>
      <w:szCs w:val="26"/>
    </w:rPr>
  </w:style>
  <w:style w:type="paragraph" w:customStyle="1" w:styleId="P1">
    <w:name w:val="P1"/>
    <w:aliases w:val="(a)"/>
    <w:basedOn w:val="Normal"/>
    <w:rsid w:val="009E783D"/>
    <w:pPr>
      <w:tabs>
        <w:tab w:val="right" w:pos="1080"/>
      </w:tabs>
      <w:autoSpaceDE w:val="0"/>
      <w:autoSpaceDN w:val="0"/>
      <w:spacing w:before="40" w:after="0" w:line="260" w:lineRule="atLeast"/>
      <w:ind w:left="1276" w:hanging="1280"/>
      <w:jc w:val="both"/>
    </w:pPr>
    <w:rPr>
      <w:rFonts w:ascii="Times" w:hAnsi="Times" w:cs="Times"/>
      <w:sz w:val="26"/>
      <w:szCs w:val="26"/>
    </w:rPr>
  </w:style>
  <w:style w:type="paragraph" w:styleId="Revision">
    <w:name w:val="Revision"/>
    <w:hidden/>
    <w:uiPriority w:val="99"/>
    <w:semiHidden/>
    <w:rsid w:val="009E783D"/>
    <w:rPr>
      <w:rFonts w:ascii="Arial" w:hAnsi="Arial"/>
      <w:sz w:val="20"/>
    </w:rPr>
  </w:style>
  <w:style w:type="table" w:customStyle="1" w:styleId="TableGrid1">
    <w:name w:val="Table Grid1"/>
    <w:basedOn w:val="TableNormal"/>
    <w:next w:val="TableGrid"/>
    <w:uiPriority w:val="59"/>
    <w:rsid w:val="009E783D"/>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aliases w:val="a"/>
    <w:basedOn w:val="Normal"/>
    <w:link w:val="paragraphChar"/>
    <w:rsid w:val="009E783D"/>
    <w:pPr>
      <w:tabs>
        <w:tab w:val="right" w:pos="1531"/>
      </w:tabs>
      <w:spacing w:before="40" w:after="0" w:line="240" w:lineRule="auto"/>
      <w:ind w:left="1644" w:hanging="1644"/>
    </w:pPr>
    <w:rPr>
      <w:rFonts w:ascii="Times New Roman" w:hAnsi="Times New Roman"/>
      <w:sz w:val="22"/>
      <w:szCs w:val="20"/>
    </w:rPr>
  </w:style>
  <w:style w:type="paragraph" w:customStyle="1" w:styleId="Definition">
    <w:name w:val="Definition"/>
    <w:aliases w:val="dd"/>
    <w:basedOn w:val="Normal"/>
    <w:rsid w:val="009E783D"/>
    <w:pPr>
      <w:spacing w:before="180" w:after="0" w:line="240" w:lineRule="auto"/>
      <w:ind w:left="1134"/>
    </w:pPr>
    <w:rPr>
      <w:rFonts w:ascii="Times New Roman" w:hAnsi="Times New Roman"/>
      <w:sz w:val="22"/>
      <w:szCs w:val="20"/>
    </w:rPr>
  </w:style>
  <w:style w:type="character" w:customStyle="1" w:styleId="paragraphChar">
    <w:name w:val="paragraph Char"/>
    <w:aliases w:val="a Char"/>
    <w:basedOn w:val="DefaultParagraphFont"/>
    <w:link w:val="paragraph"/>
    <w:rsid w:val="009E783D"/>
    <w:rPr>
      <w:sz w:val="22"/>
      <w:szCs w:val="20"/>
    </w:rPr>
  </w:style>
  <w:style w:type="table" w:customStyle="1" w:styleId="TableGrid2">
    <w:name w:val="Table Grid2"/>
    <w:basedOn w:val="TableNormal"/>
    <w:next w:val="TableGrid"/>
    <w:uiPriority w:val="59"/>
    <w:rsid w:val="009E783D"/>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GridTable31">
    <w:name w:val="Grid Table 31"/>
    <w:basedOn w:val="Normal"/>
    <w:qFormat/>
    <w:rsid w:val="006D3409"/>
    <w:pPr>
      <w:spacing w:after="0" w:line="240" w:lineRule="auto"/>
    </w:pPr>
    <w:rPr>
      <w:b/>
      <w:color w:val="4D4D4F"/>
      <w:spacing w:val="-28"/>
      <w:sz w:val="53"/>
    </w:rPr>
  </w:style>
  <w:style w:type="character" w:styleId="EndnoteReference">
    <w:name w:val="endnote reference"/>
    <w:basedOn w:val="DefaultParagraphFont"/>
    <w:semiHidden/>
    <w:unhideWhenUsed/>
    <w:rsid w:val="00995F09"/>
    <w:rPr>
      <w:vertAlign w:val="superscript"/>
    </w:rPr>
  </w:style>
  <w:style w:type="character" w:customStyle="1" w:styleId="Heading2Char">
    <w:name w:val="Heading 2 Char"/>
    <w:basedOn w:val="DefaultParagraphFont"/>
    <w:link w:val="Heading2"/>
    <w:uiPriority w:val="99"/>
    <w:rsid w:val="00F31CCF"/>
    <w:rPr>
      <w:rFonts w:ascii="Arial" w:hAnsi="Arial" w:cs="Arial"/>
      <w:b/>
      <w:bCs/>
      <w:iCs/>
      <w:sz w:val="28"/>
      <w:szCs w:val="28"/>
    </w:rPr>
  </w:style>
  <w:style w:type="paragraph" w:customStyle="1" w:styleId="hr">
    <w:name w:val="hr"/>
    <w:basedOn w:val="Normal"/>
    <w:rsid w:val="0087520B"/>
    <w:pPr>
      <w:spacing w:before="100" w:beforeAutospacing="1" w:after="100" w:afterAutospacing="1" w:line="240" w:lineRule="auto"/>
    </w:pPr>
    <w:rPr>
      <w:rFonts w:ascii="Times New Roman" w:hAnsi="Times New Roman"/>
      <w:sz w:val="24"/>
    </w:rPr>
  </w:style>
  <w:style w:type="paragraph" w:customStyle="1" w:styleId="r10">
    <w:name w:val="r1"/>
    <w:basedOn w:val="Normal"/>
    <w:rsid w:val="0087520B"/>
    <w:pPr>
      <w:spacing w:before="100" w:beforeAutospacing="1" w:after="100" w:afterAutospacing="1" w:line="240" w:lineRule="auto"/>
    </w:pPr>
    <w:rPr>
      <w:rFonts w:ascii="Times New Roman" w:hAnsi="Times New Roman"/>
      <w:sz w:val="24"/>
    </w:rPr>
  </w:style>
  <w:style w:type="paragraph" w:customStyle="1" w:styleId="p10">
    <w:name w:val="p1"/>
    <w:basedOn w:val="Normal"/>
    <w:rsid w:val="0087520B"/>
    <w:pPr>
      <w:spacing w:before="100" w:beforeAutospacing="1" w:after="100" w:afterAutospacing="1" w:line="240" w:lineRule="auto"/>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7431885">
      <w:bodyDiv w:val="1"/>
      <w:marLeft w:val="0"/>
      <w:marRight w:val="0"/>
      <w:marTop w:val="0"/>
      <w:marBottom w:val="0"/>
      <w:divBdr>
        <w:top w:val="none" w:sz="0" w:space="0" w:color="auto"/>
        <w:left w:val="none" w:sz="0" w:space="0" w:color="auto"/>
        <w:bottom w:val="none" w:sz="0" w:space="0" w:color="auto"/>
        <w:right w:val="none" w:sz="0" w:space="0" w:color="auto"/>
      </w:divBdr>
    </w:div>
    <w:div w:id="285966053">
      <w:bodyDiv w:val="1"/>
      <w:marLeft w:val="0"/>
      <w:marRight w:val="0"/>
      <w:marTop w:val="0"/>
      <w:marBottom w:val="0"/>
      <w:divBdr>
        <w:top w:val="none" w:sz="0" w:space="0" w:color="auto"/>
        <w:left w:val="none" w:sz="0" w:space="0" w:color="auto"/>
        <w:bottom w:val="none" w:sz="0" w:space="0" w:color="auto"/>
        <w:right w:val="none" w:sz="0" w:space="0" w:color="auto"/>
      </w:divBdr>
    </w:div>
    <w:div w:id="373046240">
      <w:bodyDiv w:val="1"/>
      <w:marLeft w:val="0"/>
      <w:marRight w:val="0"/>
      <w:marTop w:val="0"/>
      <w:marBottom w:val="0"/>
      <w:divBdr>
        <w:top w:val="none" w:sz="0" w:space="0" w:color="auto"/>
        <w:left w:val="none" w:sz="0" w:space="0" w:color="auto"/>
        <w:bottom w:val="none" w:sz="0" w:space="0" w:color="auto"/>
        <w:right w:val="none" w:sz="0" w:space="0" w:color="auto"/>
      </w:divBdr>
    </w:div>
    <w:div w:id="483622118">
      <w:bodyDiv w:val="1"/>
      <w:marLeft w:val="0"/>
      <w:marRight w:val="0"/>
      <w:marTop w:val="0"/>
      <w:marBottom w:val="0"/>
      <w:divBdr>
        <w:top w:val="none" w:sz="0" w:space="0" w:color="auto"/>
        <w:left w:val="none" w:sz="0" w:space="0" w:color="auto"/>
        <w:bottom w:val="none" w:sz="0" w:space="0" w:color="auto"/>
        <w:right w:val="none" w:sz="0" w:space="0" w:color="auto"/>
      </w:divBdr>
    </w:div>
    <w:div w:id="672337755">
      <w:bodyDiv w:val="1"/>
      <w:marLeft w:val="0"/>
      <w:marRight w:val="0"/>
      <w:marTop w:val="0"/>
      <w:marBottom w:val="0"/>
      <w:divBdr>
        <w:top w:val="none" w:sz="0" w:space="0" w:color="auto"/>
        <w:left w:val="none" w:sz="0" w:space="0" w:color="auto"/>
        <w:bottom w:val="none" w:sz="0" w:space="0" w:color="auto"/>
        <w:right w:val="none" w:sz="0" w:space="0" w:color="auto"/>
      </w:divBdr>
    </w:div>
    <w:div w:id="1266767196">
      <w:bodyDiv w:val="1"/>
      <w:marLeft w:val="0"/>
      <w:marRight w:val="0"/>
      <w:marTop w:val="0"/>
      <w:marBottom w:val="0"/>
      <w:divBdr>
        <w:top w:val="none" w:sz="0" w:space="0" w:color="auto"/>
        <w:left w:val="none" w:sz="0" w:space="0" w:color="auto"/>
        <w:bottom w:val="none" w:sz="0" w:space="0" w:color="auto"/>
        <w:right w:val="none" w:sz="0" w:space="0" w:color="auto"/>
      </w:divBdr>
      <w:divsChild>
        <w:div w:id="1611085863">
          <w:marLeft w:val="0"/>
          <w:marRight w:val="0"/>
          <w:marTop w:val="0"/>
          <w:marBottom w:val="0"/>
          <w:divBdr>
            <w:top w:val="none" w:sz="0" w:space="0" w:color="auto"/>
            <w:left w:val="none" w:sz="0" w:space="0" w:color="auto"/>
            <w:bottom w:val="none" w:sz="0" w:space="0" w:color="auto"/>
            <w:right w:val="none" w:sz="0" w:space="0" w:color="auto"/>
          </w:divBdr>
          <w:divsChild>
            <w:div w:id="1475559614">
              <w:marLeft w:val="0"/>
              <w:marRight w:val="0"/>
              <w:marTop w:val="0"/>
              <w:marBottom w:val="0"/>
              <w:divBdr>
                <w:top w:val="none" w:sz="0" w:space="0" w:color="auto"/>
                <w:left w:val="none" w:sz="0" w:space="0" w:color="auto"/>
                <w:bottom w:val="none" w:sz="0" w:space="0" w:color="auto"/>
                <w:right w:val="none" w:sz="0" w:space="0" w:color="auto"/>
              </w:divBdr>
              <w:divsChild>
                <w:div w:id="1204711064">
                  <w:marLeft w:val="0"/>
                  <w:marRight w:val="0"/>
                  <w:marTop w:val="0"/>
                  <w:marBottom w:val="0"/>
                  <w:divBdr>
                    <w:top w:val="none" w:sz="0" w:space="0" w:color="auto"/>
                    <w:left w:val="none" w:sz="0" w:space="0" w:color="auto"/>
                    <w:bottom w:val="none" w:sz="0" w:space="0" w:color="auto"/>
                    <w:right w:val="none" w:sz="0" w:space="0" w:color="auto"/>
                  </w:divBdr>
                  <w:divsChild>
                    <w:div w:id="1014694123">
                      <w:marLeft w:val="0"/>
                      <w:marRight w:val="0"/>
                      <w:marTop w:val="0"/>
                      <w:marBottom w:val="0"/>
                      <w:divBdr>
                        <w:top w:val="none" w:sz="0" w:space="0" w:color="auto"/>
                        <w:left w:val="none" w:sz="0" w:space="0" w:color="auto"/>
                        <w:bottom w:val="none" w:sz="0" w:space="0" w:color="auto"/>
                        <w:right w:val="none" w:sz="0" w:space="0" w:color="auto"/>
                      </w:divBdr>
                      <w:divsChild>
                        <w:div w:id="452094198">
                          <w:marLeft w:val="0"/>
                          <w:marRight w:val="0"/>
                          <w:marTop w:val="0"/>
                          <w:marBottom w:val="0"/>
                          <w:divBdr>
                            <w:top w:val="none" w:sz="0" w:space="0" w:color="auto"/>
                            <w:left w:val="none" w:sz="0" w:space="0" w:color="auto"/>
                            <w:bottom w:val="none" w:sz="0" w:space="0" w:color="auto"/>
                            <w:right w:val="none" w:sz="0" w:space="0" w:color="auto"/>
                          </w:divBdr>
                          <w:divsChild>
                            <w:div w:id="192958240">
                              <w:marLeft w:val="0"/>
                              <w:marRight w:val="0"/>
                              <w:marTop w:val="0"/>
                              <w:marBottom w:val="0"/>
                              <w:divBdr>
                                <w:top w:val="none" w:sz="0" w:space="0" w:color="auto"/>
                                <w:left w:val="none" w:sz="0" w:space="0" w:color="auto"/>
                                <w:bottom w:val="none" w:sz="0" w:space="0" w:color="auto"/>
                                <w:right w:val="none" w:sz="0" w:space="0" w:color="auto"/>
                              </w:divBdr>
                              <w:divsChild>
                                <w:div w:id="1309016368">
                                  <w:marLeft w:val="0"/>
                                  <w:marRight w:val="0"/>
                                  <w:marTop w:val="0"/>
                                  <w:marBottom w:val="0"/>
                                  <w:divBdr>
                                    <w:top w:val="none" w:sz="0" w:space="0" w:color="auto"/>
                                    <w:left w:val="none" w:sz="0" w:space="0" w:color="auto"/>
                                    <w:bottom w:val="none" w:sz="0" w:space="0" w:color="auto"/>
                                    <w:right w:val="none" w:sz="0" w:space="0" w:color="auto"/>
                                  </w:divBdr>
                                  <w:divsChild>
                                    <w:div w:id="1379403682">
                                      <w:marLeft w:val="0"/>
                                      <w:marRight w:val="0"/>
                                      <w:marTop w:val="0"/>
                                      <w:marBottom w:val="0"/>
                                      <w:divBdr>
                                        <w:top w:val="none" w:sz="0" w:space="0" w:color="auto"/>
                                        <w:left w:val="none" w:sz="0" w:space="0" w:color="auto"/>
                                        <w:bottom w:val="none" w:sz="0" w:space="0" w:color="auto"/>
                                        <w:right w:val="none" w:sz="0" w:space="0" w:color="auto"/>
                                      </w:divBdr>
                                      <w:divsChild>
                                        <w:div w:id="151794507">
                                          <w:marLeft w:val="0"/>
                                          <w:marRight w:val="0"/>
                                          <w:marTop w:val="0"/>
                                          <w:marBottom w:val="0"/>
                                          <w:divBdr>
                                            <w:top w:val="none" w:sz="0" w:space="0" w:color="auto"/>
                                            <w:left w:val="none" w:sz="0" w:space="0" w:color="auto"/>
                                            <w:bottom w:val="none" w:sz="0" w:space="0" w:color="auto"/>
                                            <w:right w:val="none" w:sz="0" w:space="0" w:color="auto"/>
                                          </w:divBdr>
                                          <w:divsChild>
                                            <w:div w:id="920337709">
                                              <w:marLeft w:val="0"/>
                                              <w:marRight w:val="0"/>
                                              <w:marTop w:val="0"/>
                                              <w:marBottom w:val="0"/>
                                              <w:divBdr>
                                                <w:top w:val="none" w:sz="0" w:space="0" w:color="auto"/>
                                                <w:left w:val="none" w:sz="0" w:space="0" w:color="auto"/>
                                                <w:bottom w:val="none" w:sz="0" w:space="0" w:color="auto"/>
                                                <w:right w:val="none" w:sz="0" w:space="0" w:color="auto"/>
                                              </w:divBdr>
                                              <w:divsChild>
                                                <w:div w:id="1585335092">
                                                  <w:marLeft w:val="0"/>
                                                  <w:marRight w:val="0"/>
                                                  <w:marTop w:val="0"/>
                                                  <w:marBottom w:val="0"/>
                                                  <w:divBdr>
                                                    <w:top w:val="none" w:sz="0" w:space="0" w:color="auto"/>
                                                    <w:left w:val="none" w:sz="0" w:space="0" w:color="auto"/>
                                                    <w:bottom w:val="none" w:sz="0" w:space="0" w:color="auto"/>
                                                    <w:right w:val="none" w:sz="0" w:space="0" w:color="auto"/>
                                                  </w:divBdr>
                                                  <w:divsChild>
                                                    <w:div w:id="1844005442">
                                                      <w:marLeft w:val="0"/>
                                                      <w:marRight w:val="0"/>
                                                      <w:marTop w:val="0"/>
                                                      <w:marBottom w:val="0"/>
                                                      <w:divBdr>
                                                        <w:top w:val="none" w:sz="0" w:space="0" w:color="auto"/>
                                                        <w:left w:val="none" w:sz="0" w:space="0" w:color="auto"/>
                                                        <w:bottom w:val="none" w:sz="0" w:space="0" w:color="auto"/>
                                                        <w:right w:val="none" w:sz="0" w:space="0" w:color="auto"/>
                                                      </w:divBdr>
                                                      <w:divsChild>
                                                        <w:div w:id="1922375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35906907">
      <w:bodyDiv w:val="1"/>
      <w:marLeft w:val="0"/>
      <w:marRight w:val="0"/>
      <w:marTop w:val="0"/>
      <w:marBottom w:val="0"/>
      <w:divBdr>
        <w:top w:val="none" w:sz="0" w:space="0" w:color="auto"/>
        <w:left w:val="none" w:sz="0" w:space="0" w:color="auto"/>
        <w:bottom w:val="none" w:sz="0" w:space="0" w:color="auto"/>
        <w:right w:val="none" w:sz="0" w:space="0" w:color="auto"/>
      </w:divBdr>
    </w:div>
    <w:div w:id="1607615547">
      <w:bodyDiv w:val="1"/>
      <w:marLeft w:val="0"/>
      <w:marRight w:val="0"/>
      <w:marTop w:val="0"/>
      <w:marBottom w:val="0"/>
      <w:divBdr>
        <w:top w:val="none" w:sz="0" w:space="0" w:color="auto"/>
        <w:left w:val="none" w:sz="0" w:space="0" w:color="auto"/>
        <w:bottom w:val="none" w:sz="0" w:space="0" w:color="auto"/>
        <w:right w:val="none" w:sz="0" w:space="0" w:color="auto"/>
      </w:divBdr>
    </w:div>
    <w:div w:id="1614707738">
      <w:bodyDiv w:val="1"/>
      <w:marLeft w:val="0"/>
      <w:marRight w:val="0"/>
      <w:marTop w:val="0"/>
      <w:marBottom w:val="0"/>
      <w:divBdr>
        <w:top w:val="none" w:sz="0" w:space="0" w:color="auto"/>
        <w:left w:val="none" w:sz="0" w:space="0" w:color="auto"/>
        <w:bottom w:val="none" w:sz="0" w:space="0" w:color="auto"/>
        <w:right w:val="none" w:sz="0" w:space="0" w:color="auto"/>
      </w:divBdr>
    </w:div>
    <w:div w:id="1681348917">
      <w:bodyDiv w:val="1"/>
      <w:marLeft w:val="0"/>
      <w:marRight w:val="0"/>
      <w:marTop w:val="0"/>
      <w:marBottom w:val="0"/>
      <w:divBdr>
        <w:top w:val="none" w:sz="0" w:space="0" w:color="auto"/>
        <w:left w:val="none" w:sz="0" w:space="0" w:color="auto"/>
        <w:bottom w:val="none" w:sz="0" w:space="0" w:color="auto"/>
        <w:right w:val="none" w:sz="0" w:space="0" w:color="auto"/>
      </w:divBdr>
    </w:div>
    <w:div w:id="1959599420">
      <w:bodyDiv w:val="1"/>
      <w:marLeft w:val="0"/>
      <w:marRight w:val="0"/>
      <w:marTop w:val="0"/>
      <w:marBottom w:val="0"/>
      <w:divBdr>
        <w:top w:val="none" w:sz="0" w:space="0" w:color="auto"/>
        <w:left w:val="none" w:sz="0" w:space="0" w:color="auto"/>
        <w:bottom w:val="none" w:sz="0" w:space="0" w:color="auto"/>
        <w:right w:val="none" w:sz="0" w:space="0" w:color="auto"/>
      </w:divBdr>
    </w:div>
    <w:div w:id="1962033179">
      <w:bodyDiv w:val="1"/>
      <w:marLeft w:val="0"/>
      <w:marRight w:val="0"/>
      <w:marTop w:val="0"/>
      <w:marBottom w:val="0"/>
      <w:divBdr>
        <w:top w:val="none" w:sz="0" w:space="0" w:color="auto"/>
        <w:left w:val="none" w:sz="0" w:space="0" w:color="auto"/>
        <w:bottom w:val="none" w:sz="0" w:space="0" w:color="auto"/>
        <w:right w:val="none" w:sz="0" w:space="0" w:color="auto"/>
      </w:divBdr>
    </w:div>
    <w:div w:id="2065836211">
      <w:bodyDiv w:val="1"/>
      <w:marLeft w:val="0"/>
      <w:marRight w:val="0"/>
      <w:marTop w:val="0"/>
      <w:marBottom w:val="0"/>
      <w:divBdr>
        <w:top w:val="none" w:sz="0" w:space="0" w:color="auto"/>
        <w:left w:val="none" w:sz="0" w:space="0" w:color="auto"/>
        <w:bottom w:val="none" w:sz="0" w:space="0" w:color="auto"/>
        <w:right w:val="none" w:sz="0" w:space="0" w:color="auto"/>
      </w:divBdr>
    </w:div>
    <w:div w:id="20886444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accc.gov.au/consumers/internet-phone/monitoring-broadband-performance" TargetMode="Externa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www.accan.org.au"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acma.gov.au/theACMA/Consultations/Consultations/Current-and-Closed-Consultations"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eader" Target="header7.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footer" Target="footer8.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candinfo@acma.gov.au" TargetMode="External"/><Relationship Id="rId22" Type="http://schemas.openxmlformats.org/officeDocument/2006/relationships/footer" Target="footer5.xml"/><Relationship Id="rId27" Type="http://schemas.openxmlformats.org/officeDocument/2006/relationships/hyperlink" Target="https://www.accc.gov.au/consumers/internet-phone/monitoring-broadband-performance" TargetMode="External"/><Relationship Id="rId30" Type="http://schemas.openxmlformats.org/officeDocument/2006/relationships/footer" Target="footer7.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8" Type="http://schemas.openxmlformats.org/officeDocument/2006/relationships/hyperlink" Target="https://www.legislation.gov.au/Details/F2017L00542" TargetMode="External"/><Relationship Id="rId13" Type="http://schemas.openxmlformats.org/officeDocument/2006/relationships/hyperlink" Target="https://static.treasury.gov.au/uploads/sites/1/2017/06/PBS-2.pdf" TargetMode="External"/><Relationship Id="rId18" Type="http://schemas.openxmlformats.org/officeDocument/2006/relationships/hyperlink" Target="https://static.treasury.gov.au/uploads/sites/1/2017/06/PBS-2.pdf" TargetMode="External"/><Relationship Id="rId3" Type="http://schemas.openxmlformats.org/officeDocument/2006/relationships/hyperlink" Target="http://www.budget.gov.au/2005-06/myefo/html/11_appendix_a-08.htm" TargetMode="External"/><Relationship Id="rId7" Type="http://schemas.openxmlformats.org/officeDocument/2006/relationships/hyperlink" Target="file:///C:/Users/jjeyalin/AppData/Local/Microsoft/Windows/Temporary%20Internet%20Files/Content.Outlook/PBL3VPYI/www.communications.gov.au/documents/2015-16-dept-comms-and-arts-paes" TargetMode="External"/><Relationship Id="rId12" Type="http://schemas.openxmlformats.org/officeDocument/2006/relationships/hyperlink" Target="http://www.finance.gov.au/resource-management/charging-framework/risk-assessment-template/" TargetMode="External"/><Relationship Id="rId17" Type="http://schemas.openxmlformats.org/officeDocument/2006/relationships/hyperlink" Target="http://www.minister.communications.gov.au/mitch_fifield/news/accc_to_monitor_broadband_performance" TargetMode="External"/><Relationship Id="rId2" Type="http://schemas.openxmlformats.org/officeDocument/2006/relationships/hyperlink" Target="http://www.budget.gov.au/1996-97/STATE4/STATE4.asp" TargetMode="External"/><Relationship Id="rId16" Type="http://schemas.openxmlformats.org/officeDocument/2006/relationships/hyperlink" Target="https://www.accc.gov.au/media-release/accc-to-monitor-australias-broadband-performance" TargetMode="External"/><Relationship Id="rId20" Type="http://schemas.openxmlformats.org/officeDocument/2006/relationships/hyperlink" Target="https://www.finance.gov.au/resource-management/charging-framework/risk-assessment-template/" TargetMode="External"/><Relationship Id="rId1" Type="http://schemas.openxmlformats.org/officeDocument/2006/relationships/hyperlink" Target="http://www.acma.gov.au/Industry/Telco/Carriers-and-service-providers/Licence-fees-annual-levies-and-charges/eligible-revenue-portal-current-year" TargetMode="External"/><Relationship Id="rId6" Type="http://schemas.openxmlformats.org/officeDocument/2006/relationships/hyperlink" Target="http://www.budget.gov.au/2014-15/content/bp2/download/BP2_consolidated.pdf" TargetMode="External"/><Relationship Id="rId11" Type="http://schemas.openxmlformats.org/officeDocument/2006/relationships/hyperlink" Target="http://www.acma.gov.au/theACMA/Library/Corporate-library/Corporate-publications/annual-report" TargetMode="External"/><Relationship Id="rId5" Type="http://schemas.openxmlformats.org/officeDocument/2006/relationships/hyperlink" Target="http://www.budget.gov.au/2013-14/content/bp2/html/bp2_expense-23.htm" TargetMode="External"/><Relationship Id="rId15" Type="http://schemas.openxmlformats.org/officeDocument/2006/relationships/hyperlink" Target="http://www.acma.gov.au/theACMA/Library/Corporate-library/Corporate-publications/annual-report" TargetMode="External"/><Relationship Id="rId10" Type="http://schemas.openxmlformats.org/officeDocument/2006/relationships/hyperlink" Target="https://www.legislation.gov.au/Details/F2018L00060" TargetMode="External"/><Relationship Id="rId19" Type="http://schemas.openxmlformats.org/officeDocument/2006/relationships/hyperlink" Target="http://www.finance.gov.au/resource-management/charging-framework/risk-assessment-template/" TargetMode="External"/><Relationship Id="rId4" Type="http://schemas.openxmlformats.org/officeDocument/2006/relationships/hyperlink" Target="http://www.budget.gov.au/2009-10/content/myefo/html/appendix_a_07.htm" TargetMode="External"/><Relationship Id="rId9" Type="http://schemas.openxmlformats.org/officeDocument/2006/relationships/hyperlink" Target="https://www.legislation.gov.au/Details/F2018L00784" TargetMode="External"/><Relationship Id="rId14" Type="http://schemas.openxmlformats.org/officeDocument/2006/relationships/hyperlink" Target="https://static.treasury.gov.au/uploads/sites/1/2018/02/p2018-261159v3.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6BB213-1E22-4941-98C6-50F5FBA4B6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14490</Words>
  <Characters>82599</Characters>
  <Application>Microsoft Office Word</Application>
  <DocSecurity>4</DocSecurity>
  <Lines>688</Lines>
  <Paragraphs>193</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96896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2019-06-27T08:41:00Z</dcterms:created>
  <dcterms:modified xsi:type="dcterms:W3CDTF">2019-06-27T08:41:00Z</dcterms:modified>
</cp:coreProperties>
</file>